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C9D9E8">
      <w:pPr>
        <w:spacing w:line="360" w:lineRule="auto"/>
        <w:jc w:val="center"/>
        <w:rPr>
          <w:rFonts w:hint="eastAsia" w:ascii="黑体" w:hAnsi="黑体" w:eastAsia="黑体" w:cs="黑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</w:p>
    <w:p w14:paraId="5C0AEA8B">
      <w:pPr>
        <w:spacing w:line="360" w:lineRule="auto"/>
        <w:jc w:val="center"/>
        <w:rPr>
          <w:rFonts w:hint="eastAsia" w:ascii="黑体" w:hAnsi="黑体" w:eastAsia="黑体" w:cs="黑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</w:p>
    <w:p w14:paraId="0A5C2BDC">
      <w:pPr>
        <w:spacing w:line="360" w:lineRule="auto"/>
        <w:ind w:firstLine="1044" w:firstLineChars="200"/>
        <w:jc w:val="both"/>
        <w:outlineLvl w:val="9"/>
        <w:rPr>
          <w:rFonts w:hint="eastAsia" w:ascii="黑体" w:hAnsi="黑体" w:eastAsia="黑体" w:cs="黑体"/>
          <w:b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  <w:t>汕尾市公共资源交易平台</w:t>
      </w:r>
    </w:p>
    <w:p w14:paraId="37758677">
      <w:pPr>
        <w:spacing w:line="360" w:lineRule="auto"/>
        <w:ind w:firstLine="2168" w:firstLineChars="600"/>
        <w:jc w:val="both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国有产权交易系统</w:t>
      </w:r>
    </w:p>
    <w:p w14:paraId="2D131AF7">
      <w:pPr>
        <w:spacing w:line="360" w:lineRule="auto"/>
        <w:jc w:val="center"/>
        <w:rPr>
          <w:rFonts w:hint="eastAsia" w:ascii="黑体" w:hAnsi="黑体" w:eastAsia="黑体" w:cs="黑体"/>
          <w:b/>
          <w:sz w:val="48"/>
          <w:szCs w:val="48"/>
        </w:rPr>
      </w:pPr>
    </w:p>
    <w:p w14:paraId="63B6FF4C">
      <w:pPr>
        <w:spacing w:line="360" w:lineRule="auto"/>
        <w:jc w:val="center"/>
        <w:rPr>
          <w:rFonts w:hint="eastAsia" w:ascii="黑体" w:hAnsi="黑体" w:eastAsia="黑体" w:cs="黑体"/>
          <w:b/>
          <w:sz w:val="48"/>
          <w:szCs w:val="48"/>
        </w:rPr>
      </w:pPr>
    </w:p>
    <w:p w14:paraId="6DD00D5F">
      <w:pPr>
        <w:spacing w:line="360" w:lineRule="auto"/>
        <w:jc w:val="center"/>
        <w:rPr>
          <w:rFonts w:hint="eastAsia" w:ascii="黑体" w:hAnsi="黑体" w:eastAsia="黑体" w:cs="黑体"/>
          <w:b/>
          <w:sz w:val="48"/>
          <w:szCs w:val="48"/>
        </w:rPr>
      </w:pPr>
    </w:p>
    <w:p w14:paraId="308892FF">
      <w:pPr>
        <w:spacing w:line="360" w:lineRule="auto"/>
        <w:ind w:firstLine="2891" w:firstLineChars="800"/>
        <w:jc w:val="both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用户手册</w:t>
      </w:r>
    </w:p>
    <w:p w14:paraId="310EDA0B">
      <w:pPr>
        <w:spacing w:line="360" w:lineRule="auto"/>
        <w:ind w:firstLine="2891" w:firstLineChars="800"/>
        <w:jc w:val="both"/>
        <w:rPr>
          <w:rFonts w:hint="eastAsia" w:ascii="黑体" w:hAnsi="黑体" w:eastAsia="黑体" w:cs="黑体"/>
          <w:b/>
          <w:sz w:val="36"/>
          <w:szCs w:val="36"/>
        </w:rPr>
      </w:pPr>
    </w:p>
    <w:p w14:paraId="6EF1DB11">
      <w:pPr>
        <w:spacing w:line="360" w:lineRule="auto"/>
        <w:ind w:firstLine="2530" w:firstLineChars="700"/>
        <w:jc w:val="both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（委托人分册）</w:t>
      </w:r>
    </w:p>
    <w:p w14:paraId="4B8FAD41">
      <w:pPr>
        <w:spacing w:line="360" w:lineRule="auto"/>
        <w:jc w:val="center"/>
        <w:rPr>
          <w:rFonts w:hint="eastAsia" w:ascii="黑体" w:hAnsi="黑体" w:eastAsia="黑体" w:cs="黑体"/>
          <w:b/>
          <w:sz w:val="52"/>
          <w:szCs w:val="52"/>
        </w:rPr>
      </w:pPr>
    </w:p>
    <w:p w14:paraId="1C5C0138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7E22776D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0757ACC4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0E4A4D4C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0AFA92A0">
      <w:pPr>
        <w:spacing w:line="360" w:lineRule="auto"/>
        <w:ind w:firstLine="1928" w:firstLineChars="600"/>
        <w:jc w:val="both"/>
        <w:outlineLvl w:val="9"/>
        <w:rPr>
          <w:rFonts w:hint="eastAsia"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汕尾市公共资源交易中心</w:t>
      </w:r>
    </w:p>
    <w:p w14:paraId="5541CEEC">
      <w:pPr>
        <w:spacing w:line="360" w:lineRule="auto"/>
        <w:ind w:firstLine="2570" w:firstLineChars="800"/>
        <w:jc w:val="both"/>
        <w:rPr>
          <w:rFonts w:hint="eastAsia"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二零二</w:t>
      </w:r>
      <w:r>
        <w:rPr>
          <w:rFonts w:hint="eastAsia" w:ascii="黑体" w:hAnsi="黑体" w:eastAsia="黑体" w:cs="黑体"/>
          <w:b/>
          <w:sz w:val="32"/>
          <w:szCs w:val="32"/>
          <w:lang w:val="en-US" w:eastAsia="zh-CN"/>
        </w:rPr>
        <w:t>三</w:t>
      </w:r>
      <w:r>
        <w:rPr>
          <w:rFonts w:hint="eastAsia" w:ascii="黑体" w:hAnsi="黑体" w:eastAsia="黑体" w:cs="黑体"/>
          <w:b/>
          <w:sz w:val="32"/>
          <w:szCs w:val="32"/>
        </w:rPr>
        <w:t>年</w:t>
      </w:r>
      <w:r>
        <w:rPr>
          <w:rFonts w:hint="eastAsia" w:ascii="黑体" w:hAnsi="黑体" w:eastAsia="黑体" w:cs="黑体"/>
          <w:b/>
          <w:sz w:val="32"/>
          <w:szCs w:val="32"/>
          <w:lang w:val="en-US" w:eastAsia="zh-CN"/>
        </w:rPr>
        <w:t>六</w:t>
      </w:r>
      <w:r>
        <w:rPr>
          <w:rFonts w:hint="eastAsia" w:ascii="黑体" w:hAnsi="黑体" w:eastAsia="黑体" w:cs="黑体"/>
          <w:b/>
          <w:sz w:val="32"/>
          <w:szCs w:val="32"/>
        </w:rPr>
        <w:t>月</w:t>
      </w:r>
    </w:p>
    <w:p w14:paraId="7C0EAF82">
      <w:pPr>
        <w:spacing w:line="360" w:lineRule="auto"/>
        <w:jc w:val="center"/>
        <w:rPr>
          <w:rFonts w:hint="eastAsia" w:ascii="黑体" w:hAnsi="黑体" w:eastAsia="黑体" w:cs="黑体"/>
          <w:b/>
          <w:sz w:val="28"/>
          <w:szCs w:val="28"/>
        </w:rPr>
      </w:pPr>
    </w:p>
    <w:p w14:paraId="70C56C72">
      <w:pPr>
        <w:spacing w:line="360" w:lineRule="auto"/>
        <w:jc w:val="center"/>
        <w:rPr>
          <w:rFonts w:hint="eastAsia" w:ascii="黑体" w:hAnsi="黑体" w:eastAsia="黑体" w:cs="黑体"/>
          <w:b/>
          <w:sz w:val="28"/>
          <w:szCs w:val="28"/>
        </w:rPr>
      </w:pPr>
    </w:p>
    <w:p w14:paraId="4A93D50C">
      <w:pPr>
        <w:spacing w:line="360" w:lineRule="auto"/>
        <w:rPr>
          <w:rFonts w:ascii="仿宋" w:hAnsi="仿宋" w:eastAsia="仿宋"/>
        </w:rPr>
      </w:pPr>
    </w:p>
    <w:p w14:paraId="3A6EF789">
      <w:pPr>
        <w:pStyle w:val="32"/>
        <w:spacing w:line="360" w:lineRule="auto"/>
        <w:jc w:val="both"/>
        <w:rPr>
          <w:rFonts w:hint="eastAsia" w:ascii="仿宋" w:hAnsi="仿宋" w:eastAsia="仿宋" w:cstheme="minorBidi"/>
          <w:b w:val="0"/>
          <w:bCs w:val="0"/>
          <w:color w:val="auto"/>
          <w:kern w:val="2"/>
          <w:sz w:val="21"/>
          <w:szCs w:val="22"/>
          <w:lang w:val="zh-CN"/>
        </w:rPr>
        <w:sectPr>
          <w:headerReference r:id="rId3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</w:p>
    <w:sdt>
      <w:sdtPr>
        <w:rPr>
          <w:rFonts w:ascii="仿宋" w:hAnsi="仿宋" w:eastAsia="仿宋" w:cstheme="minorBidi"/>
          <w:b w:val="0"/>
          <w:bCs w:val="0"/>
          <w:color w:val="auto"/>
          <w:kern w:val="2"/>
          <w:sz w:val="21"/>
          <w:szCs w:val="22"/>
          <w:lang w:val="zh-CN"/>
        </w:rPr>
        <w:id w:val="22333540"/>
        <w:docPartObj>
          <w:docPartGallery w:val="Table of Contents"/>
          <w:docPartUnique/>
        </w:docPartObj>
      </w:sdtPr>
      <w:sdtEndP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lang w:val="en-US"/>
        </w:rPr>
      </w:sdtEndPr>
      <w:sdtContent>
        <w:p w14:paraId="39DF49F9">
          <w:pPr>
            <w:pStyle w:val="32"/>
            <w:spacing w:line="360" w:lineRule="auto"/>
            <w:jc w:val="center"/>
            <w:rPr>
              <w:rFonts w:ascii="仿宋" w:hAnsi="仿宋" w:eastAsia="仿宋"/>
              <w:color w:val="auto"/>
            </w:rPr>
          </w:pPr>
          <w:r>
            <w:rPr>
              <w:rFonts w:ascii="仿宋" w:hAnsi="仿宋" w:eastAsia="仿宋"/>
              <w:color w:val="auto"/>
              <w:sz w:val="44"/>
              <w:szCs w:val="44"/>
              <w:lang w:val="zh-CN"/>
            </w:rPr>
            <w:t>目录</w:t>
          </w:r>
        </w:p>
        <w:p w14:paraId="0FCC088F">
          <w:pPr>
            <w:pStyle w:val="17"/>
            <w:tabs>
              <w:tab w:val="right" w:leader="dot" w:pos="8306"/>
              <w:tab w:val="clear" w:pos="840"/>
              <w:tab w:val="clear" w:pos="8296"/>
            </w:tabs>
          </w:pPr>
          <w:r>
            <w:rPr>
              <w:rFonts w:hint="eastAsia" w:ascii="仿宋" w:hAnsi="仿宋" w:eastAsia="仿宋" w:cs="仿宋"/>
              <w:b/>
              <w:bCs/>
              <w:sz w:val="24"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/>
              <w:bCs/>
              <w:sz w:val="24"/>
              <w:szCs w:val="24"/>
            </w:rPr>
            <w:instrText xml:space="preserve"> TOC \o "1-3" \h \z \u </w:instrText>
          </w:r>
          <w:r>
            <w:rPr>
              <w:rFonts w:hint="eastAsia" w:ascii="仿宋" w:hAnsi="仿宋" w:eastAsia="仿宋" w:cs="仿宋"/>
              <w:b/>
              <w:bCs/>
              <w:sz w:val="24"/>
              <w:szCs w:val="24"/>
            </w:rPr>
            <w:fldChar w:fldCharType="separate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_Toc3975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1、登录</w:t>
          </w:r>
          <w:r>
            <w:tab/>
          </w:r>
          <w:r>
            <w:fldChar w:fldCharType="begin"/>
          </w:r>
          <w:r>
            <w:instrText xml:space="preserve"> PAGEREF _Toc3975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2DB95607">
          <w:pPr>
            <w:pStyle w:val="17"/>
            <w:tabs>
              <w:tab w:val="right" w:leader="dot" w:pos="8306"/>
              <w:tab w:val="clear" w:pos="840"/>
              <w:tab w:val="clear" w:pos="829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_Toc2648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bCs w:val="0"/>
              <w:szCs w:val="22"/>
              <w:lang w:val="en-US" w:eastAsia="zh-CN"/>
            </w:rPr>
            <w:t>2、业务操作说明</w:t>
          </w:r>
          <w:r>
            <w:tab/>
          </w:r>
          <w:r>
            <w:fldChar w:fldCharType="begin"/>
          </w:r>
          <w:r>
            <w:instrText xml:space="preserve"> PAGEREF _Toc2648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06CF6BE3">
          <w:pPr>
            <w:pStyle w:val="2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_Toc21966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2.1、交易进场</w:t>
          </w:r>
          <w:r>
            <w:tab/>
          </w:r>
          <w:r>
            <w:fldChar w:fldCharType="begin"/>
          </w:r>
          <w:r>
            <w:instrText xml:space="preserve"> PAGEREF _Toc21966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ABCA3A1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_Toc26528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2.1.1、</w:t>
          </w:r>
          <w:r>
            <w:rPr>
              <w:rFonts w:hint="eastAsia"/>
            </w:rPr>
            <w:t>交易</w:t>
          </w:r>
          <w:r>
            <w:rPr>
              <w:rFonts w:hint="eastAsia"/>
              <w:lang w:val="en-US" w:eastAsia="zh-CN"/>
            </w:rPr>
            <w:t>进场申请</w:t>
          </w:r>
          <w:r>
            <w:tab/>
          </w:r>
          <w:r>
            <w:fldChar w:fldCharType="begin"/>
          </w:r>
          <w:r>
            <w:instrText xml:space="preserve"> PAGEREF _Toc26528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232272D5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_Toc7612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2.1.2、交易进场确认</w:t>
          </w:r>
          <w:r>
            <w:tab/>
          </w:r>
          <w:r>
            <w:fldChar w:fldCharType="begin"/>
          </w:r>
          <w:r>
            <w:instrText xml:space="preserve"> PAGEREF _Toc7612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2308964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_Toc8222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2.1.3、交易委托查询</w:t>
          </w:r>
          <w:r>
            <w:tab/>
          </w:r>
          <w:r>
            <w:fldChar w:fldCharType="begin"/>
          </w:r>
          <w:r>
            <w:instrText xml:space="preserve"> PAGEREF _Toc8222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26678CE">
          <w:pPr>
            <w:pStyle w:val="2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_Toc13446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2.2、成交结果确认</w:t>
          </w:r>
          <w:r>
            <w:tab/>
          </w:r>
          <w:r>
            <w:fldChar w:fldCharType="begin"/>
          </w:r>
          <w:r>
            <w:instrText xml:space="preserve"> PAGEREF _Toc13446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016D9849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_Toc18328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2.2.1、成交结果确认</w:t>
          </w:r>
          <w:r>
            <w:tab/>
          </w:r>
          <w:r>
            <w:fldChar w:fldCharType="begin"/>
          </w:r>
          <w:r>
            <w:instrText xml:space="preserve"> PAGEREF _Toc18328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2E153D31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_Toc29870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2.2.1、成交结果查看</w:t>
          </w:r>
          <w:r>
            <w:tab/>
          </w:r>
          <w:r>
            <w:fldChar w:fldCharType="begin"/>
          </w:r>
          <w:r>
            <w:instrText xml:space="preserve"> PAGEREF _Toc29870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966C328">
          <w:pPr>
            <w:pStyle w:val="2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_Toc29945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2.3、</w:t>
          </w:r>
          <w:r>
            <w:rPr>
              <w:rFonts w:hint="eastAsia"/>
            </w:rPr>
            <w:t>合同文件备案</w:t>
          </w:r>
          <w:r>
            <w:tab/>
          </w:r>
          <w:r>
            <w:fldChar w:fldCharType="begin"/>
          </w:r>
          <w:r>
            <w:instrText xml:space="preserve"> PAGEREF _Toc29945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7692E235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_Toc28194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2.2.1、合同文件上传</w:t>
          </w:r>
          <w:r>
            <w:tab/>
          </w:r>
          <w:r>
            <w:fldChar w:fldCharType="begin"/>
          </w:r>
          <w:r>
            <w:instrText xml:space="preserve"> PAGEREF _Toc28194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EF275A9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_Toc8823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2.2.1、合同文件查看</w:t>
          </w:r>
          <w:r>
            <w:tab/>
          </w:r>
          <w:r>
            <w:fldChar w:fldCharType="begin"/>
          </w:r>
          <w:r>
            <w:instrText xml:space="preserve"> PAGEREF _Toc8823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77B32A32">
          <w:pPr>
            <w:spacing w:line="360" w:lineRule="auto"/>
            <w:rPr>
              <w:rFonts w:ascii="仿宋" w:hAnsi="仿宋" w:eastAsia="仿宋" w:cs="仿宋"/>
              <w:b/>
              <w:bCs/>
              <w:sz w:val="24"/>
              <w:szCs w:val="24"/>
            </w:rPr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</w:sdtContent>
    </w:sdt>
    <w:p w14:paraId="6CBBCDDD">
      <w:pPr>
        <w:spacing w:line="360" w:lineRule="auto"/>
        <w:rPr>
          <w:rFonts w:ascii="仿宋" w:hAnsi="仿宋" w:eastAsia="仿宋"/>
        </w:rPr>
      </w:pPr>
    </w:p>
    <w:p w14:paraId="5152C2EC">
      <w:pPr>
        <w:spacing w:line="360" w:lineRule="auto"/>
        <w:rPr>
          <w:rFonts w:ascii="仿宋" w:hAnsi="仿宋" w:eastAsia="仿宋"/>
        </w:rPr>
      </w:pPr>
    </w:p>
    <w:p w14:paraId="3B94168B">
      <w:pPr>
        <w:spacing w:line="360" w:lineRule="auto"/>
        <w:rPr>
          <w:rFonts w:ascii="仿宋" w:hAnsi="仿宋" w:eastAsia="仿宋"/>
        </w:rPr>
      </w:pPr>
    </w:p>
    <w:p w14:paraId="45D04922">
      <w:pPr>
        <w:spacing w:line="360" w:lineRule="auto"/>
        <w:rPr>
          <w:rFonts w:ascii="仿宋" w:hAnsi="仿宋" w:eastAsia="仿宋"/>
        </w:rPr>
      </w:pPr>
    </w:p>
    <w:p w14:paraId="46F8613A">
      <w:pPr>
        <w:spacing w:line="360" w:lineRule="auto"/>
        <w:rPr>
          <w:rFonts w:ascii="仿宋" w:hAnsi="仿宋" w:eastAsia="仿宋"/>
        </w:rPr>
      </w:pPr>
    </w:p>
    <w:p w14:paraId="25E05FE3">
      <w:pPr>
        <w:spacing w:line="360" w:lineRule="auto"/>
        <w:rPr>
          <w:rFonts w:ascii="仿宋" w:hAnsi="仿宋" w:eastAsia="仿宋"/>
        </w:rPr>
      </w:pPr>
    </w:p>
    <w:p w14:paraId="24D3CB7D">
      <w:pPr>
        <w:spacing w:line="360" w:lineRule="auto"/>
        <w:rPr>
          <w:rFonts w:ascii="仿宋" w:hAnsi="仿宋" w:eastAsia="仿宋"/>
        </w:rPr>
      </w:pPr>
    </w:p>
    <w:p w14:paraId="172A905D">
      <w:pPr>
        <w:spacing w:line="360" w:lineRule="auto"/>
        <w:rPr>
          <w:rFonts w:ascii="仿宋" w:hAnsi="仿宋" w:eastAsia="仿宋"/>
        </w:rPr>
      </w:pPr>
    </w:p>
    <w:p w14:paraId="1291285C">
      <w:pPr>
        <w:spacing w:line="360" w:lineRule="auto"/>
        <w:rPr>
          <w:rFonts w:ascii="仿宋" w:hAnsi="仿宋" w:eastAsia="仿宋"/>
        </w:rPr>
      </w:pPr>
    </w:p>
    <w:p w14:paraId="779785EB">
      <w:pPr>
        <w:spacing w:line="360" w:lineRule="auto"/>
        <w:rPr>
          <w:rFonts w:ascii="仿宋" w:hAnsi="仿宋" w:eastAsia="仿宋"/>
        </w:rPr>
      </w:pPr>
    </w:p>
    <w:p w14:paraId="3CA33257">
      <w:pPr>
        <w:spacing w:line="360" w:lineRule="auto"/>
        <w:rPr>
          <w:rFonts w:ascii="仿宋" w:hAnsi="仿宋" w:eastAsia="仿宋"/>
        </w:rPr>
      </w:pPr>
    </w:p>
    <w:p w14:paraId="3355454C">
      <w:pPr>
        <w:pStyle w:val="2"/>
        <w:rPr>
          <w:rFonts w:ascii="仿宋" w:hAnsi="仿宋" w:eastAsia="仿宋"/>
        </w:rPr>
      </w:pPr>
    </w:p>
    <w:p w14:paraId="298794B1">
      <w:pPr>
        <w:rPr>
          <w:rFonts w:ascii="仿宋" w:hAnsi="仿宋" w:eastAsia="仿宋"/>
        </w:rPr>
      </w:pPr>
    </w:p>
    <w:p w14:paraId="2610DDC0">
      <w:pPr>
        <w:pStyle w:val="2"/>
        <w:rPr>
          <w:rFonts w:ascii="仿宋" w:hAnsi="仿宋" w:eastAsia="仿宋"/>
        </w:rPr>
      </w:pPr>
    </w:p>
    <w:p w14:paraId="69B5B142"/>
    <w:p w14:paraId="5A1D7796">
      <w:pPr>
        <w:spacing w:line="360" w:lineRule="auto"/>
        <w:rPr>
          <w:rFonts w:ascii="仿宋" w:hAnsi="仿宋" w:eastAsia="仿宋"/>
        </w:rPr>
      </w:pPr>
    </w:p>
    <w:p w14:paraId="2C91D695">
      <w:pPr>
        <w:pStyle w:val="3"/>
        <w:numPr>
          <w:ilvl w:val="0"/>
          <w:numId w:val="0"/>
        </w:numPr>
        <w:bidi w:val="0"/>
        <w:spacing w:line="360" w:lineRule="auto"/>
        <w:rPr>
          <w:rFonts w:hint="eastAsia"/>
          <w:lang w:val="en-US" w:eastAsia="zh-CN"/>
        </w:rPr>
        <w:sectPr>
          <w:footerReference r:id="rId4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  <w:bookmarkStart w:id="0" w:name="_Toc30401"/>
      <w:bookmarkStart w:id="1" w:name="_Toc11491"/>
      <w:bookmarkStart w:id="2" w:name="_Toc3975"/>
    </w:p>
    <w:p w14:paraId="573216C2">
      <w:pPr>
        <w:pStyle w:val="3"/>
        <w:numPr>
          <w:ilvl w:val="0"/>
          <w:numId w:val="0"/>
        </w:numPr>
        <w:bidi w:val="0"/>
        <w:spacing w:line="360" w:lineRule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一、</w:t>
      </w:r>
      <w:bookmarkEnd w:id="0"/>
      <w:bookmarkEnd w:id="1"/>
      <w:r>
        <w:rPr>
          <w:rFonts w:hint="eastAsia"/>
          <w:lang w:val="en-US" w:eastAsia="zh-CN"/>
        </w:rPr>
        <w:t>登录</w:t>
      </w:r>
      <w:bookmarkEnd w:id="2"/>
    </w:p>
    <w:p w14:paraId="084B324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bookmarkStart w:id="3" w:name="_Toc10621"/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本地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登录：</w:t>
      </w:r>
    </w:p>
    <w:p w14:paraId="46BAE78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https://jy.swggzy.cn/login</w:t>
      </w:r>
    </w:p>
    <w:p w14:paraId="32020E8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省平台地址:</w:t>
      </w:r>
    </w:p>
    <w:p w14:paraId="1CA893A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instrText xml:space="preserve"> HYPERLINK "https://ygp.gdzwfw.gov.cn/ggzy-portal/index.html#/441500/jyxt" </w:instrTex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fldChar w:fldCharType="separate"/>
      </w:r>
      <w:r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https://ygp.gdzwfw.gov.cn/ggzy-portal/index.html#/441500/jyxt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fldChar w:fldCharType="end"/>
      </w:r>
    </w:p>
    <w:p w14:paraId="4215EAB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门户地址：</w:t>
      </w:r>
    </w:p>
    <w:p w14:paraId="1CA6A2D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http://www.shanwei.gov.cn/swggzy/</w:t>
      </w:r>
    </w:p>
    <w:p w14:paraId="01E23CD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建议使用360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极速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浏览器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版本12.0或以上，极速模式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</w:p>
    <w:p w14:paraId="302B5E57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510155"/>
            <wp:effectExtent l="0" t="0" r="3810" b="4445"/>
            <wp:docPr id="4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2B3C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进入登录界面，输入正确的用户名和密码，然后点击【登录】，即可进入系统。</w:t>
      </w:r>
    </w:p>
    <w:p w14:paraId="2C2216C3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登录系统后，在首页面板可以看到待处理的待办事项。点击其中一个待办事项可以快速进行业务办理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也可点击“产权电子交易”进行业务办理。</w:t>
      </w:r>
    </w:p>
    <w:p w14:paraId="2C577BA3">
      <w:pPr>
        <w:pStyle w:val="12"/>
        <w:spacing w:line="360" w:lineRule="auto"/>
      </w:pPr>
      <w:r>
        <w:drawing>
          <wp:inline distT="0" distB="0" distL="114300" distR="114300">
            <wp:extent cx="5266690" cy="2511425"/>
            <wp:effectExtent l="0" t="0" r="3810" b="31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p w14:paraId="5ECA0CE6">
      <w:pPr>
        <w:pStyle w:val="3"/>
        <w:numPr>
          <w:ilvl w:val="0"/>
          <w:numId w:val="0"/>
        </w:numPr>
        <w:bidi w:val="0"/>
        <w:spacing w:beforeLines="0" w:beforeAutospacing="0" w:afterLines="0" w:afterAutospacing="0" w:line="360" w:lineRule="auto"/>
        <w:ind w:leftChars="0"/>
        <w:rPr>
          <w:rFonts w:hint="eastAsia"/>
          <w:bCs w:val="0"/>
          <w:szCs w:val="22"/>
          <w:lang w:val="en-US" w:eastAsia="zh-CN"/>
        </w:rPr>
      </w:pPr>
      <w:bookmarkStart w:id="4" w:name="_Toc23468"/>
      <w:bookmarkStart w:id="5" w:name="_Toc30913"/>
      <w:bookmarkStart w:id="6" w:name="_Toc2648"/>
      <w:r>
        <w:rPr>
          <w:rFonts w:hint="eastAsia"/>
          <w:bCs w:val="0"/>
          <w:szCs w:val="22"/>
          <w:lang w:val="en-US" w:eastAsia="zh-CN"/>
        </w:rPr>
        <w:t>二、</w:t>
      </w:r>
      <w:bookmarkEnd w:id="4"/>
      <w:bookmarkEnd w:id="5"/>
      <w:r>
        <w:rPr>
          <w:rFonts w:hint="eastAsia"/>
          <w:bCs w:val="0"/>
          <w:szCs w:val="22"/>
          <w:lang w:val="en-US" w:eastAsia="zh-CN"/>
        </w:rPr>
        <w:t>业务操作说明</w:t>
      </w:r>
      <w:bookmarkEnd w:id="6"/>
    </w:p>
    <w:p w14:paraId="72FA4E66">
      <w:pPr>
        <w:pStyle w:val="4"/>
        <w:numPr>
          <w:ilvl w:val="1"/>
          <w:numId w:val="0"/>
        </w:numPr>
        <w:bidi w:val="0"/>
        <w:spacing w:line="360" w:lineRule="auto"/>
      </w:pPr>
      <w:bookmarkStart w:id="7" w:name="_Toc32314"/>
      <w:bookmarkStart w:id="8" w:name="_Toc20114"/>
      <w:bookmarkStart w:id="9" w:name="_Toc21966"/>
      <w:r>
        <w:rPr>
          <w:rFonts w:hint="eastAsia"/>
          <w:lang w:val="en-US" w:eastAsia="zh-CN"/>
        </w:rPr>
        <w:t>1、</w:t>
      </w:r>
      <w:bookmarkEnd w:id="7"/>
      <w:bookmarkEnd w:id="8"/>
      <w:r>
        <w:rPr>
          <w:rFonts w:hint="eastAsia"/>
          <w:lang w:val="en-US" w:eastAsia="zh-CN"/>
        </w:rPr>
        <w:t>交易进场</w:t>
      </w:r>
      <w:bookmarkEnd w:id="9"/>
    </w:p>
    <w:p w14:paraId="139A4077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交易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宋体"/>
          <w:sz w:val="24"/>
          <w:szCs w:val="24"/>
        </w:rPr>
        <w:t>包括委托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人</w:t>
      </w:r>
      <w:r>
        <w:rPr>
          <w:rFonts w:hint="eastAsia" w:ascii="宋体" w:hAnsi="宋体" w:eastAsia="宋体" w:cs="宋体"/>
          <w:sz w:val="24"/>
          <w:szCs w:val="24"/>
        </w:rPr>
        <w:t>填写交易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进场申请</w:t>
      </w:r>
      <w:r>
        <w:rPr>
          <w:rFonts w:hint="eastAsia" w:ascii="宋体" w:hAnsi="宋体" w:eastAsia="宋体" w:cs="宋体"/>
          <w:sz w:val="24"/>
          <w:szCs w:val="24"/>
        </w:rPr>
        <w:t>，由中心产权交易部经办受理、部长审核、中心分管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领导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主管</w:t>
      </w:r>
      <w:r>
        <w:rPr>
          <w:rFonts w:hint="eastAsia" w:ascii="宋体" w:hAnsi="宋体" w:eastAsia="宋体" w:cs="宋体"/>
          <w:sz w:val="24"/>
          <w:szCs w:val="24"/>
        </w:rPr>
        <w:t>领导审核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及委托人确认</w:t>
      </w:r>
      <w:r>
        <w:rPr>
          <w:rFonts w:hint="eastAsia" w:ascii="宋体" w:hAnsi="宋体" w:eastAsia="宋体" w:cs="宋体"/>
          <w:sz w:val="24"/>
          <w:szCs w:val="24"/>
        </w:rPr>
        <w:t>五部分内容，具体操作如下：</w:t>
      </w:r>
    </w:p>
    <w:p w14:paraId="72986898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drawing>
          <wp:inline distT="0" distB="0" distL="114300" distR="114300">
            <wp:extent cx="5273675" cy="276225"/>
            <wp:effectExtent l="0" t="0" r="9525" b="3175"/>
            <wp:docPr id="7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5B57A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</w:rPr>
      </w:pPr>
      <w:bookmarkStart w:id="10" w:name="_Toc27372"/>
      <w:bookmarkStart w:id="11" w:name="_Toc27345"/>
      <w:bookmarkStart w:id="12" w:name="_Toc26528"/>
      <w:r>
        <w:rPr>
          <w:rFonts w:hint="eastAsia"/>
          <w:lang w:val="en-US" w:eastAsia="zh-CN"/>
        </w:rPr>
        <w:t>1.1、</w:t>
      </w:r>
      <w:r>
        <w:rPr>
          <w:rFonts w:hint="eastAsia"/>
        </w:rPr>
        <w:t>交易</w:t>
      </w:r>
      <w:bookmarkEnd w:id="10"/>
      <w:bookmarkEnd w:id="11"/>
      <w:r>
        <w:rPr>
          <w:rFonts w:hint="eastAsia"/>
          <w:lang w:val="en-US" w:eastAsia="zh-CN"/>
        </w:rPr>
        <w:t>进场申请</w:t>
      </w:r>
      <w:bookmarkEnd w:id="12"/>
    </w:p>
    <w:p w14:paraId="1459C822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委托人登录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汕尾市公共资源交易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平台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 xml:space="preserve">产权交易 &gt; 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申请”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新增交易申请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可进行交易项目进场申请。</w:t>
      </w:r>
    </w:p>
    <w:p w14:paraId="057535D4">
      <w:pPr>
        <w:spacing w:line="360" w:lineRule="auto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690" cy="2466340"/>
            <wp:effectExtent l="0" t="0" r="3810" b="10160"/>
            <wp:docPr id="3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EDD51">
      <w:pPr>
        <w:spacing w:line="360" w:lineRule="auto"/>
        <w:ind w:firstLine="482" w:firstLineChars="200"/>
        <w:rPr>
          <w:rFonts w:hint="eastAsia" w:ascii="仿宋" w:hAnsi="仿宋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操作1：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交易项目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申请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界面后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，填写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项目基本信息、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委托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编辑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委托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申请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材料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39BBEB41">
      <w:pPr>
        <w:spacing w:line="360" w:lineRule="auto"/>
      </w:pPr>
      <w:r>
        <w:drawing>
          <wp:inline distT="0" distB="0" distL="114300" distR="114300">
            <wp:extent cx="5269865" cy="4839335"/>
            <wp:effectExtent l="0" t="0" r="0" b="0"/>
            <wp:docPr id="3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rcRect b="2398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83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EEC00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操作2：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点击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项目标的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新建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进入标的编辑页，填写标的信息、竞买信息、上传项目标的图片、标的附件后，点击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保存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按钮，完成标的新建，一个项目可创建多个标的；</w:t>
      </w:r>
    </w:p>
    <w:p w14:paraId="28F568C6">
      <w:pPr>
        <w:spacing w:line="360" w:lineRule="auto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361315"/>
            <wp:effectExtent l="0" t="0" r="10795" b="6985"/>
            <wp:docPr id="4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E54BC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3858260"/>
            <wp:effectExtent l="0" t="0" r="1270" b="2540"/>
            <wp:docPr id="4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85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CE6EA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标的编辑完成后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提交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按钮，完成交易进场委托。</w:t>
      </w:r>
    </w:p>
    <w:p w14:paraId="73CCC240">
      <w:pPr>
        <w:spacing w:line="360" w:lineRule="auto"/>
        <w:rPr>
          <w:rFonts w:hint="eastAsia" w:asciiTheme="minorEastAsia" w:hAnsiTheme="minorEastAsia" w:cstheme="minorEastAsia"/>
          <w:sz w:val="24"/>
          <w:szCs w:val="24"/>
          <w:lang w:eastAsia="zh-CN"/>
        </w:rPr>
      </w:pPr>
      <w:r>
        <w:drawing>
          <wp:inline distT="0" distB="0" distL="114300" distR="114300">
            <wp:extent cx="5262880" cy="2070735"/>
            <wp:effectExtent l="0" t="0" r="7620" b="12065"/>
            <wp:docPr id="4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667CE">
      <w:pPr>
        <w:spacing w:line="360" w:lineRule="auto"/>
      </w:pPr>
    </w:p>
    <w:p w14:paraId="512A70E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13" w:name="_Toc7612"/>
      <w:bookmarkStart w:id="14" w:name="_Toc7980"/>
      <w:bookmarkStart w:id="15" w:name="_Toc26805"/>
      <w:r>
        <w:rPr>
          <w:rFonts w:hint="eastAsia"/>
          <w:lang w:val="en-US" w:eastAsia="zh-CN"/>
        </w:rPr>
        <w:t>1.2、交易进场确认</w:t>
      </w:r>
      <w:bookmarkEnd w:id="13"/>
    </w:p>
    <w:p w14:paraId="3829552B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主管领导交易进场审批通过后，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 xml:space="preserve">产权交易 &gt; 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确认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可进行交易公告确认。</w:t>
      </w:r>
    </w:p>
    <w:p w14:paraId="07945DA8">
      <w:pPr>
        <w:spacing w:line="360" w:lineRule="auto"/>
        <w:rPr>
          <w:rFonts w:hint="default"/>
          <w:lang w:val="en-US" w:eastAsia="zh-CN"/>
        </w:rPr>
      </w:pPr>
    </w:p>
    <w:p w14:paraId="5EEC8744">
      <w:pPr>
        <w:spacing w:line="360" w:lineRule="auto"/>
      </w:pPr>
      <w:r>
        <w:drawing>
          <wp:inline distT="0" distB="0" distL="114300" distR="114300">
            <wp:extent cx="5266690" cy="2319655"/>
            <wp:effectExtent l="0" t="0" r="3810" b="4445"/>
            <wp:docPr id="5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C8D79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操作1：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确认交易公告界面后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，对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交易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文件进行确认，确认无误后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电子签章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；</w:t>
      </w:r>
    </w:p>
    <w:p w14:paraId="0C9964D4">
      <w:pPr>
        <w:spacing w:line="360" w:lineRule="auto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4150" cy="8851265"/>
            <wp:effectExtent l="0" t="0" r="6350" b="635"/>
            <wp:docPr id="6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85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91BB0">
      <w:pPr>
        <w:widowControl/>
        <w:spacing w:line="360" w:lineRule="auto"/>
        <w:ind w:firstLine="482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入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签章界面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委托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人</w:t>
      </w:r>
      <w:r>
        <w:rPr>
          <w:rFonts w:hint="eastAsia" w:asciiTheme="minorEastAsia" w:hAnsiTheme="minorEastAsia" w:cstheme="minorEastAsia"/>
          <w:b w:val="0"/>
          <w:bCs w:val="0"/>
          <w:color w:val="auto"/>
          <w:sz w:val="24"/>
          <w:szCs w:val="24"/>
          <w:lang w:eastAsia="zh-CN"/>
        </w:rPr>
        <w:t>插入数字证书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w:t>，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输入</w:t>
      </w:r>
      <w:r>
        <w:rPr>
          <w:rFonts w:hint="eastAsia" w:asciiTheme="minorEastAsia" w:hAnsiTheme="minorEastAsia" w:cstheme="minorEastAsia"/>
          <w:b w:val="0"/>
          <w:bCs w:val="0"/>
          <w:color w:val="0C17C7"/>
          <w:sz w:val="24"/>
          <w:szCs w:val="24"/>
          <w:lang w:val="en-US" w:eastAsia="zh-CN"/>
        </w:rPr>
        <w:t>证书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密码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【确定】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按钮；</w:t>
      </w:r>
    </w:p>
    <w:p w14:paraId="332E4527"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67960" cy="3216910"/>
            <wp:effectExtent l="0" t="0" r="2540" b="8890"/>
            <wp:docPr id="5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1DECF">
      <w:pPr>
        <w:widowControl/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p w14:paraId="1D13CBF0">
      <w:pPr>
        <w:spacing w:line="360" w:lineRule="auto"/>
        <w:ind w:firstLine="482" w:firstLineChars="200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1347470</wp:posOffset>
            </wp:positionH>
            <wp:positionV relativeFrom="paragraph">
              <wp:posOffset>26670</wp:posOffset>
            </wp:positionV>
            <wp:extent cx="314325" cy="247650"/>
            <wp:effectExtent l="0" t="0" r="3175" b="6350"/>
            <wp:wrapNone/>
            <wp:docPr id="5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点击【    】，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获取电子签章，移至盖章位置单击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鼠标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左键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盖章完成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2706AFC4">
      <w:pPr>
        <w:widowControl/>
        <w:tabs>
          <w:tab w:val="left" w:pos="7360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ab/>
      </w:r>
    </w:p>
    <w:p w14:paraId="0F2CA5C4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69865" cy="3194685"/>
            <wp:effectExtent l="0" t="0" r="635" b="5715"/>
            <wp:docPr id="5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C1F41">
      <w:pPr>
        <w:widowControl/>
        <w:tabs>
          <w:tab w:val="left" w:pos="7360"/>
        </w:tabs>
        <w:spacing w:line="360" w:lineRule="auto"/>
        <w:jc w:val="left"/>
      </w:pPr>
    </w:p>
    <w:p w14:paraId="7E754D11">
      <w:pPr>
        <w:widowControl/>
        <w:tabs>
          <w:tab w:val="left" w:pos="7360"/>
        </w:tabs>
        <w:spacing w:line="360" w:lineRule="auto"/>
        <w:ind w:firstLine="482" w:firstLineChars="200"/>
        <w:jc w:val="left"/>
        <w:rPr>
          <w:rFonts w:hint="eastAsia" w:eastAsiaTheme="minorEastAsia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提交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签章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5658EE8A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72405" cy="463550"/>
            <wp:effectExtent l="0" t="0" r="10795" b="6350"/>
            <wp:docPr id="6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E1DAE">
      <w:pPr>
        <w:widowControl/>
        <w:tabs>
          <w:tab w:val="left" w:pos="7360"/>
        </w:tabs>
        <w:spacing w:line="360" w:lineRule="auto"/>
        <w:jc w:val="left"/>
      </w:pPr>
    </w:p>
    <w:p w14:paraId="1E77C74A">
      <w:pPr>
        <w:widowControl/>
        <w:tabs>
          <w:tab w:val="left" w:pos="7360"/>
        </w:tabs>
        <w:spacing w:line="360" w:lineRule="auto"/>
        <w:ind w:firstLine="482" w:firstLineChars="20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操作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签章完成后，点击</w:t>
      </w:r>
      <w:r>
        <w:rPr>
          <w:rFonts w:hint="eastAsia" w:ascii="宋体" w:hAnsi="宋体" w:eastAsia="宋体" w:cs="宋体"/>
          <w:b/>
          <w:bCs/>
          <w:color w:val="0C17C7"/>
          <w:sz w:val="24"/>
          <w:szCs w:val="24"/>
          <w:lang w:val="en-US" w:eastAsia="zh-CN"/>
        </w:rPr>
        <w:t>【确认】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按钮，</w:t>
      </w:r>
      <w:r>
        <w:rPr>
          <w:rFonts w:hint="eastAsia" w:ascii="宋体" w:hAnsi="宋体" w:eastAsia="宋体" w:cs="宋体"/>
          <w:sz w:val="24"/>
          <w:szCs w:val="24"/>
        </w:rPr>
        <w:t>完成交易文件确认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 w14:paraId="3999E0FF">
      <w:pPr>
        <w:spacing w:line="360" w:lineRule="auto"/>
      </w:pPr>
    </w:p>
    <w:p w14:paraId="6408652F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4062730" cy="9440545"/>
            <wp:effectExtent l="0" t="0" r="1270" b="8255"/>
            <wp:docPr id="5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62730" cy="944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5C6B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16" w:name="_Toc8222"/>
      <w:r>
        <w:rPr>
          <w:rFonts w:hint="eastAsia"/>
          <w:lang w:val="en-US" w:eastAsia="zh-CN"/>
        </w:rPr>
        <w:t>1.3、交易委托查询</w:t>
      </w:r>
      <w:bookmarkEnd w:id="14"/>
      <w:bookmarkEnd w:id="15"/>
      <w:bookmarkEnd w:id="16"/>
    </w:p>
    <w:p w14:paraId="1402B171"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 xml:space="preserve">产权交易 &gt; 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进场查询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查看历史委托项目。</w:t>
      </w:r>
    </w:p>
    <w:p w14:paraId="3F4C8722"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72405" cy="2446020"/>
            <wp:effectExtent l="0" t="0" r="10795" b="5080"/>
            <wp:docPr id="6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C7434">
      <w:pPr>
        <w:pStyle w:val="4"/>
        <w:numPr>
          <w:ilvl w:val="1"/>
          <w:numId w:val="0"/>
        </w:numPr>
        <w:bidi w:val="0"/>
        <w:spacing w:line="360" w:lineRule="auto"/>
      </w:pPr>
      <w:bookmarkStart w:id="17" w:name="_Toc13446"/>
      <w:bookmarkStart w:id="18" w:name="_Toc68"/>
      <w:bookmarkStart w:id="19" w:name="_Toc8432"/>
      <w:r>
        <w:rPr>
          <w:rFonts w:hint="eastAsia"/>
          <w:lang w:val="en-US" w:eastAsia="zh-CN"/>
        </w:rPr>
        <w:t>2、成交结果确认</w:t>
      </w:r>
      <w:bookmarkEnd w:id="17"/>
    </w:p>
    <w:p w14:paraId="456BDE8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成交结果确认</w:t>
      </w:r>
      <w:r>
        <w:rPr>
          <w:rFonts w:hint="eastAsia" w:ascii="宋体" w:hAnsi="宋体" w:eastAsia="宋体" w:cs="宋体"/>
          <w:sz w:val="24"/>
          <w:szCs w:val="24"/>
        </w:rPr>
        <w:t>包括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竞得人上传资格审查材料</w:t>
      </w:r>
      <w:r>
        <w:rPr>
          <w:rFonts w:hint="eastAsia" w:ascii="宋体" w:hAnsi="宋体" w:eastAsia="宋体" w:cs="宋体"/>
          <w:sz w:val="24"/>
          <w:szCs w:val="24"/>
        </w:rPr>
        <w:t>，由中心产权交易部经办受理、部长审核、中心分管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领导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主管</w:t>
      </w:r>
      <w:r>
        <w:rPr>
          <w:rFonts w:hint="eastAsia" w:ascii="宋体" w:hAnsi="宋体" w:eastAsia="宋体" w:cs="宋体"/>
          <w:sz w:val="24"/>
          <w:szCs w:val="24"/>
        </w:rPr>
        <w:t>领导审核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委托人确认及竞得人确认七</w:t>
      </w:r>
      <w:r>
        <w:rPr>
          <w:rFonts w:hint="eastAsia" w:ascii="宋体" w:hAnsi="宋体" w:eastAsia="宋体" w:cs="宋体"/>
          <w:sz w:val="24"/>
          <w:szCs w:val="24"/>
        </w:rPr>
        <w:t>部分内容，具体操作如下：</w:t>
      </w:r>
    </w:p>
    <w:p w14:paraId="42ED9C58"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231775"/>
            <wp:effectExtent l="0" t="0" r="12065" b="9525"/>
            <wp:docPr id="6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0348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0" w:name="_Toc18328"/>
      <w:r>
        <w:rPr>
          <w:rFonts w:hint="eastAsia"/>
          <w:lang w:val="en-US" w:eastAsia="zh-CN"/>
        </w:rPr>
        <w:t>2.1、成交结果确认</w:t>
      </w:r>
      <w:bookmarkEnd w:id="20"/>
    </w:p>
    <w:p w14:paraId="7CE83A97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主管领导对成交结果确认后，委托人需成交结果进行确认。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委托人登录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汕尾市公共资源交易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平台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成交结果确认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确认成交结果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确认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可进行成交结果确认。</w:t>
      </w:r>
    </w:p>
    <w:p w14:paraId="7D43DB4B">
      <w:pPr>
        <w:spacing w:line="360" w:lineRule="auto"/>
      </w:pPr>
      <w:r>
        <w:drawing>
          <wp:inline distT="0" distB="0" distL="114300" distR="114300">
            <wp:extent cx="5263515" cy="2381250"/>
            <wp:effectExtent l="0" t="0" r="6985" b="6350"/>
            <wp:docPr id="7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3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4B171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操作1：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确认资格审查材料页面后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，对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交易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文件进行确认，确认无误后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电子签章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；</w:t>
      </w:r>
    </w:p>
    <w:p w14:paraId="6100C19C">
      <w:pPr>
        <w:spacing w:line="360" w:lineRule="auto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055" cy="3527425"/>
            <wp:effectExtent l="0" t="0" r="4445" b="3175"/>
            <wp:docPr id="7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3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52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CA86B">
      <w:pPr>
        <w:widowControl/>
        <w:spacing w:line="360" w:lineRule="auto"/>
        <w:ind w:firstLine="482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入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签章界面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委托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人</w:t>
      </w:r>
      <w:r>
        <w:rPr>
          <w:rFonts w:hint="eastAsia" w:asciiTheme="minorEastAsia" w:hAnsiTheme="minorEastAsia" w:cstheme="minorEastAsia"/>
          <w:b w:val="0"/>
          <w:bCs w:val="0"/>
          <w:color w:val="auto"/>
          <w:sz w:val="24"/>
          <w:szCs w:val="24"/>
          <w:lang w:eastAsia="zh-CN"/>
        </w:rPr>
        <w:t>插入数字证书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w:t>，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输入</w:t>
      </w:r>
      <w:r>
        <w:rPr>
          <w:rFonts w:hint="eastAsia" w:asciiTheme="minorEastAsia" w:hAnsiTheme="minorEastAsia" w:cstheme="minorEastAsia"/>
          <w:b w:val="0"/>
          <w:bCs w:val="0"/>
          <w:color w:val="0C17C7"/>
          <w:sz w:val="24"/>
          <w:szCs w:val="24"/>
          <w:lang w:val="en-US" w:eastAsia="zh-CN"/>
        </w:rPr>
        <w:t>证书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密码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【确定】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按钮；</w:t>
      </w:r>
    </w:p>
    <w:p w14:paraId="64AED695"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67960" cy="3216910"/>
            <wp:effectExtent l="0" t="0" r="2540" b="8890"/>
            <wp:docPr id="8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3449C">
      <w:pPr>
        <w:widowControl/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p w14:paraId="1CBBA8A7">
      <w:pPr>
        <w:spacing w:line="360" w:lineRule="auto"/>
        <w:ind w:firstLine="482" w:firstLineChars="200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column">
              <wp:posOffset>1347470</wp:posOffset>
            </wp:positionH>
            <wp:positionV relativeFrom="paragraph">
              <wp:posOffset>26670</wp:posOffset>
            </wp:positionV>
            <wp:extent cx="314325" cy="247650"/>
            <wp:effectExtent l="0" t="0" r="3175" b="6350"/>
            <wp:wrapNone/>
            <wp:docPr id="8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2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点击【    】，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获取电子签章，移至盖章位置单击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鼠标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左键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盖章完成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23D1D665">
      <w:pPr>
        <w:widowControl/>
        <w:tabs>
          <w:tab w:val="left" w:pos="7360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ab/>
      </w:r>
    </w:p>
    <w:p w14:paraId="3903BC43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69865" cy="3194685"/>
            <wp:effectExtent l="0" t="0" r="635" b="5715"/>
            <wp:docPr id="8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F286D">
      <w:pPr>
        <w:widowControl/>
        <w:tabs>
          <w:tab w:val="left" w:pos="7360"/>
        </w:tabs>
        <w:spacing w:line="360" w:lineRule="auto"/>
        <w:jc w:val="left"/>
      </w:pPr>
    </w:p>
    <w:p w14:paraId="4CA99B02">
      <w:pPr>
        <w:widowControl/>
        <w:tabs>
          <w:tab w:val="left" w:pos="7360"/>
        </w:tabs>
        <w:spacing w:line="360" w:lineRule="auto"/>
        <w:ind w:firstLine="482" w:firstLineChars="200"/>
        <w:jc w:val="left"/>
        <w:rPr>
          <w:rFonts w:hint="eastAsia" w:eastAsiaTheme="minorEastAsia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提交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签章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76464100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72405" cy="463550"/>
            <wp:effectExtent l="0" t="0" r="10795" b="6350"/>
            <wp:docPr id="8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2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436B5">
      <w:pPr>
        <w:widowControl/>
        <w:tabs>
          <w:tab w:val="left" w:pos="7360"/>
        </w:tabs>
        <w:spacing w:line="360" w:lineRule="auto"/>
        <w:jc w:val="left"/>
      </w:pPr>
    </w:p>
    <w:p w14:paraId="571ECC01">
      <w:pPr>
        <w:widowControl/>
        <w:tabs>
          <w:tab w:val="left" w:pos="7360"/>
        </w:tabs>
        <w:spacing w:line="360" w:lineRule="auto"/>
        <w:ind w:firstLine="482" w:firstLineChars="200"/>
        <w:jc w:val="left"/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操作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签章完成后，点击</w:t>
      </w:r>
      <w:r>
        <w:rPr>
          <w:rFonts w:hint="eastAsia" w:ascii="宋体" w:hAnsi="宋体" w:eastAsia="宋体" w:cs="宋体"/>
          <w:b/>
          <w:bCs/>
          <w:color w:val="0C17C7"/>
          <w:sz w:val="24"/>
          <w:szCs w:val="24"/>
          <w:lang w:val="en-US" w:eastAsia="zh-CN"/>
        </w:rPr>
        <w:t>【确认通过】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按钮，</w:t>
      </w:r>
      <w:r>
        <w:rPr>
          <w:rFonts w:hint="eastAsia" w:ascii="宋体" w:hAnsi="宋体" w:eastAsia="宋体" w:cs="宋体"/>
          <w:sz w:val="24"/>
          <w:szCs w:val="24"/>
        </w:rPr>
        <w:t>完成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成交结果</w:t>
      </w:r>
      <w:r>
        <w:rPr>
          <w:rFonts w:hint="eastAsia" w:ascii="宋体" w:hAnsi="宋体" w:eastAsia="宋体" w:cs="宋体"/>
          <w:sz w:val="24"/>
          <w:szCs w:val="24"/>
        </w:rPr>
        <w:t>确认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 w14:paraId="2BFF2E19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7960" cy="1003935"/>
            <wp:effectExtent l="0" t="0" r="2540" b="12065"/>
            <wp:docPr id="7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3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0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85D6C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1" w:name="_Toc29870"/>
      <w:r>
        <w:rPr>
          <w:rFonts w:hint="eastAsia"/>
          <w:lang w:val="en-US" w:eastAsia="zh-CN"/>
        </w:rPr>
        <w:t>2.2、成交结果查看</w:t>
      </w:r>
      <w:bookmarkEnd w:id="21"/>
    </w:p>
    <w:p w14:paraId="71860E82">
      <w:pPr>
        <w:spacing w:line="360" w:lineRule="auto"/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成交结果确认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查看成交结果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查看历史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成交结果确认项目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 w14:paraId="21956B89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1402715"/>
            <wp:effectExtent l="0" t="0" r="6985" b="6985"/>
            <wp:docPr id="86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3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4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7BAAD">
      <w:pPr>
        <w:pStyle w:val="4"/>
        <w:numPr>
          <w:ilvl w:val="1"/>
          <w:numId w:val="0"/>
        </w:numPr>
        <w:bidi w:val="0"/>
        <w:spacing w:line="360" w:lineRule="auto"/>
        <w:rPr>
          <w:rFonts w:hint="eastAsia"/>
        </w:rPr>
      </w:pPr>
      <w:bookmarkStart w:id="22" w:name="_Toc29945"/>
      <w:r>
        <w:rPr>
          <w:rFonts w:hint="eastAsia"/>
          <w:lang w:val="en-US" w:eastAsia="zh-CN"/>
        </w:rPr>
        <w:t>3、</w:t>
      </w:r>
      <w:r>
        <w:rPr>
          <w:rFonts w:hint="eastAsia"/>
        </w:rPr>
        <w:t>合同文件备案</w:t>
      </w:r>
      <w:bookmarkEnd w:id="22"/>
    </w:p>
    <w:p w14:paraId="03AA2516">
      <w:pPr>
        <w:spacing w:line="360" w:lineRule="auto"/>
        <w:jc w:val="center"/>
        <w:rPr>
          <w:rFonts w:hint="eastAsia"/>
        </w:rPr>
      </w:pPr>
      <w:r>
        <w:drawing>
          <wp:inline distT="0" distB="0" distL="114300" distR="114300">
            <wp:extent cx="4032250" cy="361950"/>
            <wp:effectExtent l="0" t="0" r="6350" b="6350"/>
            <wp:docPr id="8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3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32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CDBB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3" w:name="_Toc28194"/>
      <w:r>
        <w:rPr>
          <w:rFonts w:hint="eastAsia"/>
          <w:lang w:val="en-US" w:eastAsia="zh-CN"/>
        </w:rPr>
        <w:t>3.1、合同文件上传</w:t>
      </w:r>
      <w:bookmarkEnd w:id="23"/>
    </w:p>
    <w:p w14:paraId="42517C45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委托方与竞得人签订合同后，需对合同文件进行备案。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委托人登录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汕尾市公共资源交易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平台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合同备案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上传合同文件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上传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可进行合同文件备案。</w:t>
      </w:r>
    </w:p>
    <w:p w14:paraId="2F67966F">
      <w:pPr>
        <w:spacing w:line="360" w:lineRule="auto"/>
        <w:rPr>
          <w:rFonts w:hint="eastAsia"/>
          <w:lang w:val="en-US" w:eastAsia="zh-CN"/>
        </w:rPr>
      </w:pPr>
    </w:p>
    <w:p w14:paraId="1287E3A1">
      <w:pPr>
        <w:spacing w:line="360" w:lineRule="auto"/>
      </w:pPr>
      <w:r>
        <w:drawing>
          <wp:inline distT="0" distB="0" distL="114300" distR="114300">
            <wp:extent cx="5266690" cy="2183765"/>
            <wp:effectExtent l="0" t="0" r="3810" b="635"/>
            <wp:docPr id="8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3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8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6FCEF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操作：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上传合同文件页面后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  <w:lang w:val="en-US" w:eastAsia="zh-CN"/>
        </w:rPr>
        <w:t>【上传】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宋体"/>
          <w:sz w:val="24"/>
          <w:szCs w:val="24"/>
        </w:rPr>
        <w:t>上传备案合同，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上传完毕后</w:t>
      </w:r>
      <w:r>
        <w:rPr>
          <w:rFonts w:hint="eastAsia" w:ascii="宋体" w:hAnsi="宋体" w:eastAsia="宋体" w:cs="宋体"/>
          <w:sz w:val="24"/>
          <w:szCs w:val="24"/>
        </w:rPr>
        <w:t>点击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</w:rPr>
        <w:t>提交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完成合同文件备案流程。</w:t>
      </w:r>
    </w:p>
    <w:p w14:paraId="38EF7704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drawing>
          <wp:inline distT="0" distB="0" distL="114300" distR="114300">
            <wp:extent cx="5273040" cy="3749675"/>
            <wp:effectExtent l="0" t="0" r="10160" b="9525"/>
            <wp:docPr id="9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4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4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CD908">
      <w:pPr>
        <w:spacing w:line="360" w:lineRule="auto"/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委托方对合同文件备案完成后，电子化流程就完成了。</w:t>
      </w:r>
    </w:p>
    <w:p w14:paraId="4E2E43B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4" w:name="_Toc8823"/>
      <w:r>
        <w:rPr>
          <w:rFonts w:hint="eastAsia"/>
          <w:lang w:val="en-US" w:eastAsia="zh-CN"/>
        </w:rPr>
        <w:t>3.2、合同文件查看</w:t>
      </w:r>
      <w:bookmarkEnd w:id="24"/>
    </w:p>
    <w:p w14:paraId="5C44BC35">
      <w:pPr>
        <w:spacing w:line="360" w:lineRule="auto"/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合同备案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查看合同文件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查看历史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备案合同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 w14:paraId="2C9412D4">
      <w:pPr>
        <w:spacing w:line="360" w:lineRule="auto"/>
        <w:jc w:val="right"/>
        <w:rPr>
          <w:rFonts w:hint="default"/>
          <w:lang w:val="en-US" w:eastAsia="zh-CN"/>
        </w:rPr>
      </w:pPr>
    </w:p>
    <w:p w14:paraId="04736590">
      <w:pPr>
        <w:spacing w:line="360" w:lineRule="auto"/>
      </w:pPr>
      <w:r>
        <w:drawing>
          <wp:inline distT="0" distB="0" distL="114300" distR="114300">
            <wp:extent cx="5270500" cy="1593850"/>
            <wp:effectExtent l="0" t="0" r="0" b="6350"/>
            <wp:docPr id="93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4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59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8D351">
      <w:pPr>
        <w:pStyle w:val="3"/>
        <w:numPr>
          <w:ilvl w:val="0"/>
          <w:numId w:val="0"/>
        </w:numPr>
        <w:bidi w:val="0"/>
        <w:spacing w:line="360" w:lineRule="auto"/>
        <w:ind w:leftChars="0"/>
        <w:rPr>
          <w:rFonts w:hint="eastAsia"/>
          <w:lang w:val="en-US" w:eastAsia="zh-CN"/>
        </w:rPr>
      </w:pPr>
      <w:bookmarkStart w:id="25" w:name="_Toc24962"/>
      <w:bookmarkStart w:id="26" w:name="_Toc1461"/>
      <w:r>
        <w:rPr>
          <w:rFonts w:hint="eastAsia"/>
          <w:lang w:val="en-US" w:eastAsia="zh-CN"/>
        </w:rPr>
        <w:t>三、技术支持</w:t>
      </w:r>
      <w:bookmarkEnd w:id="25"/>
      <w:bookmarkEnd w:id="26"/>
    </w:p>
    <w:p w14:paraId="32815B91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技术支持联系人：</w:t>
      </w:r>
    </w:p>
    <w:p w14:paraId="7B79D33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cs="Times New Roman" w:eastAsia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郭工：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 w:bidi="ar-SA"/>
        </w:rPr>
        <w:t>13929310456</w:t>
      </w:r>
      <w:bookmarkStart w:id="27" w:name="_GoBack"/>
      <w:bookmarkEnd w:id="27"/>
    </w:p>
    <w:p w14:paraId="62585EC8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/>
          <w:lang w:val="en-US" w:eastAsia="zh-CN"/>
        </w:rPr>
      </w:pPr>
      <w:r>
        <w:rPr>
          <w:rFonts w:hint="eastAsia" w:ascii="宋体" w:hAnsi="宋体" w:cs="Times New Roman"/>
          <w:kern w:val="2"/>
          <w:sz w:val="24"/>
          <w:szCs w:val="24"/>
          <w:lang w:val="en-US" w:eastAsia="zh-CN" w:bidi="ar-SA"/>
        </w:rPr>
        <w:t>时间（周一至周五）：8：30-12：00   14：30-18：00</w:t>
      </w:r>
    </w:p>
    <w:p w14:paraId="2187E36E">
      <w:pPr>
        <w:pStyle w:val="2"/>
        <w:rPr>
          <w:rFonts w:hint="eastAsia"/>
          <w:lang w:val="en-US" w:eastAsia="zh-CN"/>
        </w:rPr>
      </w:pPr>
    </w:p>
    <w:p w14:paraId="390D6086">
      <w:pPr>
        <w:pStyle w:val="2"/>
        <w:ind w:left="0" w:leftChars="0" w:firstLine="0" w:firstLineChars="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</w:p>
    <w:p w14:paraId="5C3109CC">
      <w:pPr>
        <w:rPr>
          <w:rFonts w:hint="eastAsia"/>
          <w:lang w:val="en-US" w:eastAsia="zh-CN"/>
        </w:rPr>
      </w:pPr>
    </w:p>
    <w:p w14:paraId="17BC6154">
      <w:pPr>
        <w:pStyle w:val="3"/>
        <w:numPr>
          <w:ilvl w:val="0"/>
          <w:numId w:val="0"/>
        </w:numPr>
        <w:bidi w:val="0"/>
        <w:spacing w:line="360" w:lineRule="auto"/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附件：汕尾市公共资源国有产权交易系统流程图：</w:t>
      </w:r>
    </w:p>
    <w:bookmarkEnd w:id="18"/>
    <w:bookmarkEnd w:id="19"/>
    <w:p w14:paraId="785303EF">
      <w:p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760085" cy="4398645"/>
            <wp:effectExtent l="0" t="0" r="5715" b="825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9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9EC2DE3">
    <w:pPr>
      <w:pStyle w:val="1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0DE398">
    <w:pPr>
      <w:pStyle w:val="15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4926F00">
                          <w:pPr>
                            <w:pStyle w:val="1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4926F00">
                    <w:pPr>
                      <w:pStyle w:val="1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29D28D">
    <w:pPr>
      <w:pStyle w:val="16"/>
      <w:jc w:val="both"/>
      <w:rPr>
        <w:rFonts w:hint="default" w:eastAsiaTheme="minorEastAsia"/>
        <w:lang w:val="en-US" w:eastAsia="zh-CN"/>
      </w:rPr>
    </w:pPr>
    <w:r>
      <w:rPr>
        <w:rFonts w:hint="eastAsia"/>
        <w:lang w:val="en-US" w:eastAsia="zh-CN"/>
      </w:rPr>
      <w:t>汕尾市公共资源国有产权交易系统-委托人操作手册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B093B90"/>
    <w:multiLevelType w:val="multilevel"/>
    <w:tmpl w:val="5B093B90"/>
    <w:lvl w:ilvl="0" w:tentative="0">
      <w:start w:val="1"/>
      <w:numFmt w:val="decimal"/>
      <w:pStyle w:val="3"/>
      <w:lvlText w:val="%1."/>
      <w:lvlJc w:val="left"/>
      <w:pPr>
        <w:ind w:left="4827" w:hanging="432"/>
      </w:pPr>
      <w:rPr>
        <w:rFonts w:hint="eastAsia"/>
      </w:rPr>
    </w:lvl>
    <w:lvl w:ilvl="1" w:tentative="0">
      <w:start w:val="1"/>
      <w:numFmt w:val="decimal"/>
      <w:pStyle w:val="4"/>
      <w:lvlText w:val="%1.%2."/>
      <w:lvlJc w:val="left"/>
      <w:pPr>
        <w:ind w:left="4971" w:hanging="576"/>
      </w:pPr>
      <w:rPr>
        <w:rFonts w:hint="eastAsia"/>
      </w:rPr>
    </w:lvl>
    <w:lvl w:ilvl="2" w:tentative="0">
      <w:start w:val="1"/>
      <w:numFmt w:val="decimal"/>
      <w:pStyle w:val="5"/>
      <w:lvlText w:val="%1.%2.%3."/>
      <w:lvlJc w:val="left"/>
      <w:pPr>
        <w:ind w:left="5115" w:hanging="720"/>
      </w:pPr>
      <w:rPr>
        <w:rFonts w:hint="eastAsia"/>
        <w:b w:val="0"/>
      </w:rPr>
    </w:lvl>
    <w:lvl w:ilvl="3" w:tentative="0">
      <w:start w:val="1"/>
      <w:numFmt w:val="decimal"/>
      <w:pStyle w:val="6"/>
      <w:lvlText w:val="%1.%2.%3.%4."/>
      <w:lvlJc w:val="left"/>
      <w:pPr>
        <w:ind w:left="5259" w:hanging="864"/>
      </w:pPr>
      <w:rPr>
        <w:rFonts w:hint="eastAsia"/>
      </w:rPr>
    </w:lvl>
    <w:lvl w:ilvl="4" w:tentative="0">
      <w:start w:val="1"/>
      <w:numFmt w:val="decimal"/>
      <w:pStyle w:val="7"/>
      <w:lvlText w:val="%1.%2.%3.%4.%5."/>
      <w:lvlJc w:val="left"/>
      <w:pPr>
        <w:ind w:left="5403" w:hanging="1008"/>
      </w:pPr>
      <w:rPr>
        <w:rFonts w:hint="eastAsia"/>
      </w:rPr>
    </w:lvl>
    <w:lvl w:ilvl="5" w:tentative="0">
      <w:start w:val="1"/>
      <w:numFmt w:val="decimal"/>
      <w:pStyle w:val="8"/>
      <w:lvlText w:val="%1.%2.%3.%4.%5.%6"/>
      <w:lvlJc w:val="left"/>
      <w:pPr>
        <w:ind w:left="5547" w:hanging="1152"/>
      </w:pPr>
      <w:rPr>
        <w:rFonts w:hint="eastAsia"/>
      </w:rPr>
    </w:lvl>
    <w:lvl w:ilvl="6" w:tentative="0">
      <w:start w:val="1"/>
      <w:numFmt w:val="decimal"/>
      <w:pStyle w:val="9"/>
      <w:lvlText w:val="%1.%2.%3.%4.%5.%6.%7"/>
      <w:lvlJc w:val="left"/>
      <w:pPr>
        <w:ind w:left="5691" w:hanging="1296"/>
      </w:pPr>
      <w:rPr>
        <w:rFonts w:hint="eastAsia"/>
      </w:rPr>
    </w:lvl>
    <w:lvl w:ilvl="7" w:tentative="0">
      <w:start w:val="1"/>
      <w:numFmt w:val="decimal"/>
      <w:pStyle w:val="10"/>
      <w:lvlText w:val="%1.%2.%3.%4.%5.%6.%7.%8"/>
      <w:lvlJc w:val="left"/>
      <w:pPr>
        <w:ind w:left="5835" w:hanging="1440"/>
      </w:pPr>
      <w:rPr>
        <w:rFonts w:hint="eastAsia"/>
      </w:rPr>
    </w:lvl>
    <w:lvl w:ilvl="8" w:tentative="0">
      <w:start w:val="1"/>
      <w:numFmt w:val="decimal"/>
      <w:pStyle w:val="11"/>
      <w:lvlText w:val="%1.%2.%3.%4.%5.%6.%7.%8.%9"/>
      <w:lvlJc w:val="left"/>
      <w:pPr>
        <w:ind w:left="5979" w:hanging="1584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2M2I5ODA2ZGEyZTlmMDdlZWMwOTg0ZjRhZjcyMDcifQ=="/>
  </w:docVars>
  <w:rsids>
    <w:rsidRoot w:val="00C97C30"/>
    <w:rsid w:val="0000686F"/>
    <w:rsid w:val="00071FE1"/>
    <w:rsid w:val="000D432A"/>
    <w:rsid w:val="00103FC9"/>
    <w:rsid w:val="00110450"/>
    <w:rsid w:val="00133F1A"/>
    <w:rsid w:val="00143169"/>
    <w:rsid w:val="001508F1"/>
    <w:rsid w:val="00152A8D"/>
    <w:rsid w:val="00160D46"/>
    <w:rsid w:val="0019078A"/>
    <w:rsid w:val="00253065"/>
    <w:rsid w:val="00264070"/>
    <w:rsid w:val="003226E4"/>
    <w:rsid w:val="003308E5"/>
    <w:rsid w:val="004C6C9D"/>
    <w:rsid w:val="004D3151"/>
    <w:rsid w:val="004D3AD6"/>
    <w:rsid w:val="005B6F54"/>
    <w:rsid w:val="00632283"/>
    <w:rsid w:val="006D52E6"/>
    <w:rsid w:val="007448DF"/>
    <w:rsid w:val="00780156"/>
    <w:rsid w:val="007F5A1A"/>
    <w:rsid w:val="00831DC8"/>
    <w:rsid w:val="00832AE0"/>
    <w:rsid w:val="009E7604"/>
    <w:rsid w:val="00A0159F"/>
    <w:rsid w:val="00A9631D"/>
    <w:rsid w:val="00AB3B39"/>
    <w:rsid w:val="00AD4551"/>
    <w:rsid w:val="00B4587A"/>
    <w:rsid w:val="00BE2D8D"/>
    <w:rsid w:val="00BF79B3"/>
    <w:rsid w:val="00C97C30"/>
    <w:rsid w:val="00CB1FB3"/>
    <w:rsid w:val="00D445AF"/>
    <w:rsid w:val="00DA55E0"/>
    <w:rsid w:val="00DB38A1"/>
    <w:rsid w:val="00EB649B"/>
    <w:rsid w:val="00F02362"/>
    <w:rsid w:val="01007D34"/>
    <w:rsid w:val="01553B68"/>
    <w:rsid w:val="01AC3A93"/>
    <w:rsid w:val="027576D7"/>
    <w:rsid w:val="03BB1AC4"/>
    <w:rsid w:val="04756378"/>
    <w:rsid w:val="047D4F7B"/>
    <w:rsid w:val="05690D25"/>
    <w:rsid w:val="06690065"/>
    <w:rsid w:val="069E0BE2"/>
    <w:rsid w:val="07C03DF5"/>
    <w:rsid w:val="096F3D50"/>
    <w:rsid w:val="09F67E30"/>
    <w:rsid w:val="0A182626"/>
    <w:rsid w:val="0A2D5AFE"/>
    <w:rsid w:val="0C06225E"/>
    <w:rsid w:val="0C7D128A"/>
    <w:rsid w:val="0CB338B5"/>
    <w:rsid w:val="0CF87B8D"/>
    <w:rsid w:val="0ECF32AD"/>
    <w:rsid w:val="0F9A2902"/>
    <w:rsid w:val="109217ED"/>
    <w:rsid w:val="11F052D6"/>
    <w:rsid w:val="13B730D8"/>
    <w:rsid w:val="15A24B34"/>
    <w:rsid w:val="1658613E"/>
    <w:rsid w:val="174315AD"/>
    <w:rsid w:val="18550589"/>
    <w:rsid w:val="19901F7B"/>
    <w:rsid w:val="19AD155D"/>
    <w:rsid w:val="1A807414"/>
    <w:rsid w:val="1ADA4EB8"/>
    <w:rsid w:val="1BA353BE"/>
    <w:rsid w:val="1DE57CB9"/>
    <w:rsid w:val="1DFE41B6"/>
    <w:rsid w:val="1E7B7A3D"/>
    <w:rsid w:val="20177613"/>
    <w:rsid w:val="22AD1B3D"/>
    <w:rsid w:val="23D23D1B"/>
    <w:rsid w:val="29886243"/>
    <w:rsid w:val="29E21E34"/>
    <w:rsid w:val="2A3F3258"/>
    <w:rsid w:val="2C937DF1"/>
    <w:rsid w:val="2D0E3B7C"/>
    <w:rsid w:val="2D232844"/>
    <w:rsid w:val="2EBC6082"/>
    <w:rsid w:val="2F541B5B"/>
    <w:rsid w:val="302E3742"/>
    <w:rsid w:val="31F870DB"/>
    <w:rsid w:val="340E03D3"/>
    <w:rsid w:val="36213F2D"/>
    <w:rsid w:val="36676EF3"/>
    <w:rsid w:val="37DD46AF"/>
    <w:rsid w:val="38A91BEE"/>
    <w:rsid w:val="38AA5930"/>
    <w:rsid w:val="38B0293D"/>
    <w:rsid w:val="38FD2911"/>
    <w:rsid w:val="39B02FFF"/>
    <w:rsid w:val="3A74665C"/>
    <w:rsid w:val="3BCD43A9"/>
    <w:rsid w:val="3DC56D68"/>
    <w:rsid w:val="41EA0777"/>
    <w:rsid w:val="42D812EB"/>
    <w:rsid w:val="43DA3B96"/>
    <w:rsid w:val="48B12F1D"/>
    <w:rsid w:val="4A81528C"/>
    <w:rsid w:val="4AB81CA0"/>
    <w:rsid w:val="4ADA20A4"/>
    <w:rsid w:val="4AE81798"/>
    <w:rsid w:val="4CEB7B3A"/>
    <w:rsid w:val="4DE7380B"/>
    <w:rsid w:val="4ECA7021"/>
    <w:rsid w:val="4F02606E"/>
    <w:rsid w:val="4F904396"/>
    <w:rsid w:val="51CB1BE4"/>
    <w:rsid w:val="548E104C"/>
    <w:rsid w:val="560D65FC"/>
    <w:rsid w:val="5661640E"/>
    <w:rsid w:val="59A40196"/>
    <w:rsid w:val="5C7F2AAC"/>
    <w:rsid w:val="5EB75270"/>
    <w:rsid w:val="63327CDA"/>
    <w:rsid w:val="634D74EE"/>
    <w:rsid w:val="640A3216"/>
    <w:rsid w:val="642231A6"/>
    <w:rsid w:val="650225FD"/>
    <w:rsid w:val="65C25051"/>
    <w:rsid w:val="65D21A67"/>
    <w:rsid w:val="6635067F"/>
    <w:rsid w:val="672D7487"/>
    <w:rsid w:val="68252C56"/>
    <w:rsid w:val="68D47B70"/>
    <w:rsid w:val="69701294"/>
    <w:rsid w:val="6A7E3B99"/>
    <w:rsid w:val="6AD36262"/>
    <w:rsid w:val="6D570C95"/>
    <w:rsid w:val="701A1E3E"/>
    <w:rsid w:val="70284456"/>
    <w:rsid w:val="70D32F6E"/>
    <w:rsid w:val="7152227D"/>
    <w:rsid w:val="73E949B6"/>
    <w:rsid w:val="74C65755"/>
    <w:rsid w:val="76C744FF"/>
    <w:rsid w:val="777001A6"/>
    <w:rsid w:val="79064715"/>
    <w:rsid w:val="7CF77369"/>
    <w:rsid w:val="7D357221"/>
    <w:rsid w:val="7D517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3">
    <w:name w:val="heading 1"/>
    <w:basedOn w:val="1"/>
    <w:next w:val="1"/>
    <w:link w:val="22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3"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5">
    <w:name w:val="heading 3"/>
    <w:basedOn w:val="1"/>
    <w:next w:val="1"/>
    <w:link w:val="24"/>
    <w:unhideWhenUsed/>
    <w:qFormat/>
    <w:uiPriority w:val="9"/>
    <w:pPr>
      <w:keepNext/>
      <w:keepLines/>
      <w:numPr>
        <w:ilvl w:val="2"/>
        <w:numId w:val="1"/>
      </w:numPr>
      <w:spacing w:before="120" w:after="120" w:line="415" w:lineRule="auto"/>
      <w:outlineLvl w:val="2"/>
    </w:pPr>
    <w:rPr>
      <w:rFonts w:eastAsia="宋体"/>
      <w:b/>
      <w:bCs/>
      <w:sz w:val="24"/>
      <w:szCs w:val="32"/>
    </w:rPr>
  </w:style>
  <w:style w:type="paragraph" w:styleId="6">
    <w:name w:val="heading 4"/>
    <w:basedOn w:val="1"/>
    <w:next w:val="1"/>
    <w:link w:val="25"/>
    <w:unhideWhenUsed/>
    <w:qFormat/>
    <w:uiPriority w:val="9"/>
    <w:pPr>
      <w:keepNext/>
      <w:keepLines/>
      <w:numPr>
        <w:ilvl w:val="3"/>
        <w:numId w:val="1"/>
      </w:numPr>
      <w:spacing w:before="120" w:after="120" w:line="377" w:lineRule="auto"/>
      <w:outlineLvl w:val="3"/>
    </w:pPr>
    <w:rPr>
      <w:rFonts w:eastAsia="宋体" w:asciiTheme="majorHAnsi" w:hAnsiTheme="majorHAnsi" w:cstheme="majorBidi"/>
      <w:b/>
      <w:bCs/>
      <w:sz w:val="24"/>
      <w:szCs w:val="28"/>
    </w:rPr>
  </w:style>
  <w:style w:type="paragraph" w:styleId="7">
    <w:name w:val="heading 5"/>
    <w:basedOn w:val="1"/>
    <w:next w:val="1"/>
    <w:link w:val="26"/>
    <w:semiHidden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8">
    <w:name w:val="heading 6"/>
    <w:basedOn w:val="1"/>
    <w:next w:val="1"/>
    <w:link w:val="27"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9">
    <w:name w:val="heading 7"/>
    <w:basedOn w:val="1"/>
    <w:next w:val="1"/>
    <w:link w:val="28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10">
    <w:name w:val="heading 8"/>
    <w:basedOn w:val="1"/>
    <w:next w:val="1"/>
    <w:link w:val="29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1">
    <w:name w:val="heading 9"/>
    <w:basedOn w:val="1"/>
    <w:next w:val="1"/>
    <w:link w:val="30"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2">
    <w:name w:val="annotation text"/>
    <w:basedOn w:val="1"/>
    <w:semiHidden/>
    <w:unhideWhenUsed/>
    <w:qFormat/>
    <w:uiPriority w:val="99"/>
    <w:pPr>
      <w:jc w:val="left"/>
    </w:pPr>
  </w:style>
  <w:style w:type="paragraph" w:styleId="1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4">
    <w:name w:val="Balloon Text"/>
    <w:basedOn w:val="1"/>
    <w:link w:val="31"/>
    <w:semiHidden/>
    <w:unhideWhenUsed/>
    <w:qFormat/>
    <w:uiPriority w:val="99"/>
    <w:rPr>
      <w:sz w:val="18"/>
      <w:szCs w:val="18"/>
    </w:rPr>
  </w:style>
  <w:style w:type="paragraph" w:styleId="15">
    <w:name w:val="footer"/>
    <w:basedOn w:val="1"/>
    <w:link w:val="3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6">
    <w:name w:val="header"/>
    <w:basedOn w:val="1"/>
    <w:link w:val="3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7">
    <w:name w:val="toc 1"/>
    <w:basedOn w:val="1"/>
    <w:next w:val="1"/>
    <w:unhideWhenUsed/>
    <w:qFormat/>
    <w:uiPriority w:val="39"/>
    <w:pPr>
      <w:tabs>
        <w:tab w:val="left" w:pos="840"/>
        <w:tab w:val="right" w:leader="dot" w:pos="8296"/>
      </w:tabs>
      <w:spacing w:line="360" w:lineRule="auto"/>
    </w:pPr>
  </w:style>
  <w:style w:type="character" w:styleId="20">
    <w:name w:val="Hyperlink"/>
    <w:basedOn w:val="19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styleId="21">
    <w:name w:val="annotation reference"/>
    <w:basedOn w:val="19"/>
    <w:semiHidden/>
    <w:unhideWhenUsed/>
    <w:qFormat/>
    <w:uiPriority w:val="99"/>
    <w:rPr>
      <w:sz w:val="21"/>
      <w:szCs w:val="21"/>
    </w:rPr>
  </w:style>
  <w:style w:type="character" w:customStyle="1" w:styleId="22">
    <w:name w:val="标题 1 字符"/>
    <w:basedOn w:val="19"/>
    <w:link w:val="3"/>
    <w:qFormat/>
    <w:uiPriority w:val="9"/>
    <w:rPr>
      <w:b/>
      <w:bCs/>
      <w:kern w:val="44"/>
      <w:sz w:val="44"/>
      <w:szCs w:val="44"/>
    </w:rPr>
  </w:style>
  <w:style w:type="character" w:customStyle="1" w:styleId="23">
    <w:name w:val="标题 2 字符"/>
    <w:basedOn w:val="19"/>
    <w:link w:val="4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4">
    <w:name w:val="标题 3 字符"/>
    <w:basedOn w:val="19"/>
    <w:link w:val="5"/>
    <w:qFormat/>
    <w:uiPriority w:val="9"/>
    <w:rPr>
      <w:rFonts w:eastAsia="宋体"/>
      <w:b/>
      <w:bCs/>
      <w:sz w:val="24"/>
      <w:szCs w:val="32"/>
    </w:rPr>
  </w:style>
  <w:style w:type="character" w:customStyle="1" w:styleId="25">
    <w:name w:val="标题 4 字符"/>
    <w:basedOn w:val="19"/>
    <w:link w:val="6"/>
    <w:qFormat/>
    <w:uiPriority w:val="9"/>
    <w:rPr>
      <w:rFonts w:eastAsia="宋体" w:asciiTheme="majorHAnsi" w:hAnsiTheme="majorHAnsi" w:cstheme="majorBidi"/>
      <w:b/>
      <w:bCs/>
      <w:sz w:val="24"/>
      <w:szCs w:val="28"/>
    </w:rPr>
  </w:style>
  <w:style w:type="character" w:customStyle="1" w:styleId="26">
    <w:name w:val="标题 5 字符"/>
    <w:basedOn w:val="19"/>
    <w:link w:val="7"/>
    <w:semiHidden/>
    <w:qFormat/>
    <w:uiPriority w:val="9"/>
    <w:rPr>
      <w:b/>
      <w:bCs/>
      <w:sz w:val="28"/>
      <w:szCs w:val="28"/>
    </w:rPr>
  </w:style>
  <w:style w:type="character" w:customStyle="1" w:styleId="27">
    <w:name w:val="标题 6 字符"/>
    <w:basedOn w:val="19"/>
    <w:link w:val="8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8">
    <w:name w:val="标题 7 字符"/>
    <w:basedOn w:val="19"/>
    <w:link w:val="9"/>
    <w:semiHidden/>
    <w:qFormat/>
    <w:uiPriority w:val="9"/>
    <w:rPr>
      <w:b/>
      <w:bCs/>
      <w:sz w:val="24"/>
      <w:szCs w:val="24"/>
    </w:rPr>
  </w:style>
  <w:style w:type="character" w:customStyle="1" w:styleId="29">
    <w:name w:val="标题 8 字符"/>
    <w:basedOn w:val="19"/>
    <w:link w:val="10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30">
    <w:name w:val="标题 9 字符"/>
    <w:basedOn w:val="19"/>
    <w:link w:val="11"/>
    <w:semiHidden/>
    <w:qFormat/>
    <w:uiPriority w:val="9"/>
    <w:rPr>
      <w:rFonts w:asciiTheme="majorHAnsi" w:hAnsiTheme="majorHAnsi" w:eastAsiaTheme="majorEastAsia" w:cstheme="majorBidi"/>
      <w:szCs w:val="21"/>
    </w:rPr>
  </w:style>
  <w:style w:type="character" w:customStyle="1" w:styleId="31">
    <w:name w:val="批注框文本 字符"/>
    <w:basedOn w:val="19"/>
    <w:link w:val="14"/>
    <w:semiHidden/>
    <w:qFormat/>
    <w:uiPriority w:val="99"/>
    <w:rPr>
      <w:sz w:val="18"/>
      <w:szCs w:val="18"/>
    </w:rPr>
  </w:style>
  <w:style w:type="paragraph" w:customStyle="1" w:styleId="32">
    <w:name w:val="TOC 标题1"/>
    <w:basedOn w:val="3"/>
    <w:next w:val="1"/>
    <w:semiHidden/>
    <w:unhideWhenUsed/>
    <w:qFormat/>
    <w:uiPriority w:val="39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33">
    <w:name w:val="页眉 字符"/>
    <w:basedOn w:val="19"/>
    <w:link w:val="16"/>
    <w:qFormat/>
    <w:uiPriority w:val="99"/>
    <w:rPr>
      <w:sz w:val="18"/>
      <w:szCs w:val="18"/>
    </w:rPr>
  </w:style>
  <w:style w:type="character" w:customStyle="1" w:styleId="34">
    <w:name w:val="页脚 字符"/>
    <w:basedOn w:val="19"/>
    <w:link w:val="15"/>
    <w:qFormat/>
    <w:uiPriority w:val="99"/>
    <w:rPr>
      <w:sz w:val="18"/>
      <w:szCs w:val="18"/>
    </w:rPr>
  </w:style>
  <w:style w:type="paragraph" w:styleId="3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6" Type="http://schemas.openxmlformats.org/officeDocument/2006/relationships/fontTable" Target="fontTable.xml"/><Relationship Id="rId35" Type="http://schemas.openxmlformats.org/officeDocument/2006/relationships/customXml" Target="../customXml/item2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8A2C5A4-FCB3-4602-B352-12FEEDAF387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671</Words>
  <Characters>838</Characters>
  <Lines>18</Lines>
  <Paragraphs>5</Paragraphs>
  <TotalTime>1</TotalTime>
  <ScaleCrop>false</ScaleCrop>
  <LinksUpToDate>false</LinksUpToDate>
  <CharactersWithSpaces>882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2021-12-13T03:00:00Z</dcterms:created>
  <dc:creator>Administrator</dc:creator>
  <cp:lastModifiedBy>GJ</cp:lastModifiedBy>
  <dcterms:modified xsi:type="dcterms:W3CDTF">2025-11-27T09:30:26Z</dcterms:modified>
  <cp:revision>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493EFDA695ED48DE9CB6341B68E8E8D0</vt:lpwstr>
  </property>
  <property fmtid="{D5CDD505-2E9C-101B-9397-08002B2CF9AE}" pid="4" name="KSOTemplateDocerSaveRecord">
    <vt:lpwstr>eyJoZGlkIjoiZTY4MTZkNDFjMzE5ZmE2ZTNiZmVhNThhYWE3ODMwM2EiLCJ1c2VySWQiOiI2MDI1NDE0MzgifQ==</vt:lpwstr>
  </property>
</Properties>
</file>