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7781BDF">
      <w:pPr>
        <w:jc w:val="center"/>
        <w:rPr>
          <w:rFonts w:ascii="黑体" w:eastAsia="黑体" w:cs="黑体"/>
          <w:b/>
          <w:sz w:val="48"/>
          <w:szCs w:val="48"/>
          <w:lang w:bidi="ar"/>
        </w:rPr>
      </w:pPr>
    </w:p>
    <w:p w14:paraId="41E2222F">
      <w:pPr>
        <w:jc w:val="center"/>
        <w:rPr>
          <w:rFonts w:hint="default" w:ascii="黑体" w:eastAsia="黑体"/>
          <w:b/>
          <w:sz w:val="48"/>
          <w:szCs w:val="48"/>
          <w:lang w:val="en-US" w:eastAsia="zh-CN"/>
        </w:rPr>
      </w:pPr>
      <w:r>
        <w:rPr>
          <w:rFonts w:hint="eastAsia" w:ascii="黑体" w:eastAsia="黑体" w:cs="黑体"/>
          <w:b/>
          <w:sz w:val="48"/>
          <w:szCs w:val="48"/>
          <w:lang w:val="en-US" w:eastAsia="zh-CN" w:bidi="ar"/>
        </w:rPr>
        <w:t>汕尾市公共资源交易平台</w:t>
      </w:r>
    </w:p>
    <w:p w14:paraId="08CCCEF9">
      <w:pPr>
        <w:widowControl/>
        <w:adjustRightInd w:val="0"/>
        <w:snapToGrid w:val="0"/>
        <w:spacing w:after="200"/>
        <w:jc w:val="center"/>
        <w:rPr>
          <w:rFonts w:hint="default" w:ascii="黑体" w:eastAsia="黑体"/>
          <w:b/>
          <w:sz w:val="48"/>
          <w:szCs w:val="48"/>
          <w:lang w:val="en-US" w:eastAsia="zh-CN"/>
        </w:rPr>
      </w:pPr>
      <w:r>
        <w:rPr>
          <w:rFonts w:hint="eastAsia" w:ascii="黑体" w:eastAsia="黑体"/>
          <w:b/>
          <w:sz w:val="48"/>
          <w:szCs w:val="48"/>
          <w:lang w:val="en-US" w:eastAsia="zh-CN"/>
        </w:rPr>
        <w:t>土地与矿业权交易</w:t>
      </w:r>
    </w:p>
    <w:p w14:paraId="605996A4">
      <w:pPr>
        <w:widowControl/>
        <w:adjustRightInd w:val="0"/>
        <w:snapToGrid w:val="0"/>
        <w:spacing w:after="200"/>
        <w:jc w:val="center"/>
        <w:rPr>
          <w:rFonts w:ascii="黑体" w:hAnsi="Tahoma" w:eastAsia="黑体" w:cs="Times New Roman"/>
          <w:b/>
          <w:kern w:val="0"/>
          <w:sz w:val="48"/>
          <w:szCs w:val="48"/>
        </w:rPr>
      </w:pPr>
      <w:r>
        <w:rPr>
          <w:rFonts w:hint="eastAsia" w:ascii="黑体" w:hAnsi="Tahoma" w:eastAsia="黑体" w:cs="Times New Roman"/>
          <w:b/>
          <w:kern w:val="0"/>
          <w:sz w:val="48"/>
          <w:szCs w:val="48"/>
        </w:rPr>
        <w:t>（竞买人）</w:t>
      </w:r>
    </w:p>
    <w:p w14:paraId="21A34348">
      <w:pPr>
        <w:widowControl/>
        <w:adjustRightInd w:val="0"/>
        <w:snapToGrid w:val="0"/>
        <w:spacing w:before="1440" w:after="200"/>
        <w:jc w:val="center"/>
        <w:rPr>
          <w:rFonts w:ascii="黑体" w:hAnsi="宋体" w:eastAsia="黑体" w:cs="Times New Roman"/>
          <w:b/>
          <w:kern w:val="0"/>
          <w:sz w:val="52"/>
          <w:szCs w:val="52"/>
        </w:rPr>
      </w:pPr>
      <w:r>
        <w:rPr>
          <w:rFonts w:hint="eastAsia" w:ascii="黑体" w:hAnsi="宋体" w:eastAsia="黑体" w:cs="Times New Roman"/>
          <w:b/>
          <w:kern w:val="0"/>
          <w:sz w:val="52"/>
          <w:szCs w:val="52"/>
        </w:rPr>
        <w:t>用</w:t>
      </w:r>
    </w:p>
    <w:p w14:paraId="1E64F2C6">
      <w:pPr>
        <w:widowControl/>
        <w:adjustRightInd w:val="0"/>
        <w:snapToGrid w:val="0"/>
        <w:spacing w:before="360" w:after="312" w:afterLines="100"/>
        <w:jc w:val="center"/>
        <w:rPr>
          <w:rFonts w:ascii="黑体" w:hAnsi="宋体" w:eastAsia="黑体" w:cs="Times New Roman"/>
          <w:b/>
          <w:kern w:val="0"/>
          <w:sz w:val="52"/>
          <w:szCs w:val="52"/>
        </w:rPr>
      </w:pPr>
      <w:r>
        <w:rPr>
          <w:rFonts w:hint="eastAsia" w:ascii="黑体" w:hAnsi="宋体" w:eastAsia="黑体" w:cs="Times New Roman"/>
          <w:b/>
          <w:kern w:val="0"/>
          <w:sz w:val="52"/>
          <w:szCs w:val="52"/>
        </w:rPr>
        <w:t>户</w:t>
      </w:r>
    </w:p>
    <w:p w14:paraId="2D826E73">
      <w:pPr>
        <w:widowControl/>
        <w:adjustRightInd w:val="0"/>
        <w:snapToGrid w:val="0"/>
        <w:spacing w:before="360" w:after="312" w:afterLines="100"/>
        <w:jc w:val="center"/>
        <w:rPr>
          <w:rFonts w:ascii="黑体" w:hAnsi="宋体" w:eastAsia="黑体" w:cs="Times New Roman"/>
          <w:b/>
          <w:kern w:val="0"/>
          <w:sz w:val="52"/>
          <w:szCs w:val="52"/>
        </w:rPr>
      </w:pPr>
      <w:r>
        <w:rPr>
          <w:rFonts w:hint="eastAsia" w:ascii="黑体" w:hAnsi="宋体" w:eastAsia="黑体" w:cs="Times New Roman"/>
          <w:b/>
          <w:kern w:val="0"/>
          <w:sz w:val="52"/>
          <w:szCs w:val="52"/>
        </w:rPr>
        <w:t>手</w:t>
      </w:r>
    </w:p>
    <w:p w14:paraId="682776D9">
      <w:pPr>
        <w:widowControl/>
        <w:adjustRightInd w:val="0"/>
        <w:snapToGrid w:val="0"/>
        <w:spacing w:before="360" w:after="312" w:afterLines="100"/>
        <w:jc w:val="center"/>
        <w:rPr>
          <w:rFonts w:ascii="黑体" w:hAnsi="宋体" w:eastAsia="黑体" w:cs="Times New Roman"/>
          <w:b/>
          <w:kern w:val="0"/>
          <w:sz w:val="52"/>
          <w:szCs w:val="52"/>
        </w:rPr>
      </w:pPr>
      <w:r>
        <w:rPr>
          <w:rFonts w:hint="eastAsia" w:ascii="黑体" w:hAnsi="宋体" w:eastAsia="黑体" w:cs="Times New Roman"/>
          <w:b/>
          <w:kern w:val="0"/>
          <w:sz w:val="52"/>
          <w:szCs w:val="52"/>
        </w:rPr>
        <w:t>册</w:t>
      </w:r>
    </w:p>
    <w:p w14:paraId="4337D1C4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31E815DC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21B7EDD9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1C0A812B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13A9B8E8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1D757E42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71CEC801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3B286355">
      <w:pPr>
        <w:widowControl/>
        <w:adjustRightInd w:val="0"/>
        <w:snapToGrid w:val="0"/>
        <w:spacing w:after="200"/>
        <w:jc w:val="center"/>
        <w:rPr>
          <w:rFonts w:ascii="Tahoma" w:hAnsi="Tahoma" w:eastAsia="黑体" w:cs="Times New Roman"/>
          <w:b/>
          <w:bCs/>
          <w:kern w:val="0"/>
          <w:sz w:val="28"/>
        </w:rPr>
      </w:pPr>
    </w:p>
    <w:p w14:paraId="5942192E">
      <w:pPr>
        <w:widowControl/>
        <w:adjustRightInd w:val="0"/>
        <w:snapToGrid w:val="0"/>
        <w:spacing w:after="200"/>
        <w:jc w:val="center"/>
        <w:rPr>
          <w:rFonts w:hint="default" w:ascii="Tahoma" w:hAnsi="Tahoma" w:eastAsia="黑体" w:cs="Times New Roman"/>
          <w:b/>
          <w:bCs/>
          <w:kern w:val="0"/>
          <w:sz w:val="28"/>
          <w:lang w:val="en-US" w:eastAsia="zh-CN"/>
        </w:rPr>
      </w:pPr>
      <w:r>
        <w:rPr>
          <w:rFonts w:hint="eastAsia" w:ascii="Tahoma" w:hAnsi="Tahoma" w:eastAsia="黑体" w:cs="Times New Roman"/>
          <w:b/>
          <w:bCs/>
          <w:kern w:val="0"/>
          <w:sz w:val="28"/>
          <w:lang w:val="en-US" w:eastAsia="zh-CN"/>
        </w:rPr>
        <w:t>汕尾市公共资源交易中心</w:t>
      </w:r>
    </w:p>
    <w:p w14:paraId="73B3BF95">
      <w:pPr>
        <w:widowControl/>
        <w:adjustRightInd w:val="0"/>
        <w:snapToGrid w:val="0"/>
        <w:spacing w:after="200"/>
        <w:jc w:val="center"/>
        <w:rPr>
          <w:rFonts w:ascii="Tahoma" w:hAnsi="Tahoma" w:eastAsia="黑体" w:cs="Times New Roman"/>
          <w:b/>
          <w:bCs/>
          <w:kern w:val="0"/>
          <w:sz w:val="28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Tahoma" w:hAnsi="Tahoma" w:eastAsia="黑体" w:cs="Times New Roman"/>
          <w:b/>
          <w:bCs/>
          <w:kern w:val="0"/>
          <w:sz w:val="28"/>
        </w:rPr>
        <w:t>202</w:t>
      </w:r>
      <w:r>
        <w:rPr>
          <w:rFonts w:hint="eastAsia" w:ascii="Tahoma" w:hAnsi="Tahoma" w:eastAsia="黑体" w:cs="Times New Roman"/>
          <w:b/>
          <w:bCs/>
          <w:kern w:val="0"/>
          <w:sz w:val="28"/>
          <w:lang w:val="en-US" w:eastAsia="zh-CN"/>
        </w:rPr>
        <w:t>4</w:t>
      </w:r>
      <w:r>
        <w:rPr>
          <w:rFonts w:hint="eastAsia" w:ascii="Tahoma" w:hAnsi="Tahoma" w:eastAsia="黑体" w:cs="Times New Roman"/>
          <w:b/>
          <w:bCs/>
          <w:kern w:val="0"/>
          <w:sz w:val="28"/>
        </w:rPr>
        <w:t>年</w:t>
      </w:r>
      <w:r>
        <w:rPr>
          <w:rFonts w:hint="eastAsia" w:ascii="Tahoma" w:hAnsi="Tahoma" w:eastAsia="黑体" w:cs="Times New Roman"/>
          <w:b/>
          <w:bCs/>
          <w:kern w:val="0"/>
          <w:sz w:val="28"/>
          <w:lang w:val="en-US" w:eastAsia="zh-CN"/>
        </w:rPr>
        <w:t>6</w:t>
      </w:r>
      <w:r>
        <w:rPr>
          <w:rFonts w:hint="eastAsia" w:ascii="Tahoma" w:hAnsi="Tahoma" w:eastAsia="黑体" w:cs="Times New Roman"/>
          <w:b/>
          <w:bCs/>
          <w:kern w:val="0"/>
          <w:sz w:val="28"/>
        </w:rPr>
        <w:t>月</w:t>
      </w:r>
    </w:p>
    <w:sdt>
      <w:sdtP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zh-CN"/>
        </w:rPr>
        <w:id w:val="1636069038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2"/>
          <w:lang w:val="zh-CN"/>
        </w:rPr>
      </w:sdtEndPr>
      <w:sdtContent>
        <w:p w14:paraId="4C57FF84">
          <w:pPr>
            <w:pStyle w:val="19"/>
            <w:jc w:val="center"/>
          </w:pPr>
          <w:r>
            <w:rPr>
              <w:lang w:val="zh-CN"/>
            </w:rPr>
            <w:t>目录</w:t>
          </w:r>
        </w:p>
        <w:p w14:paraId="2E96590A">
          <w:pPr>
            <w:pStyle w:val="9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TOC \o "1-3" \h \z \u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_Toc2980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一. </w:t>
          </w:r>
          <w:r>
            <w:rPr>
              <w:rFonts w:hint="eastAsia" w:ascii="黑体" w:hAnsi="Calibri" w:eastAsia="黑体" w:cs="Times New Roman"/>
            </w:rPr>
            <w:t>登录</w:t>
          </w:r>
          <w:r>
            <w:tab/>
          </w:r>
          <w:r>
            <w:fldChar w:fldCharType="begin"/>
          </w:r>
          <w:r>
            <w:instrText xml:space="preserve"> PAGEREF _Toc2980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62D5AF90">
          <w:pPr>
            <w:pStyle w:val="9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_Toc12488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二. </w:t>
          </w:r>
          <w:r>
            <w:rPr>
              <w:rFonts w:hint="eastAsia" w:ascii="黑体" w:hAnsi="Calibri" w:eastAsia="黑体" w:cs="Times New Roman"/>
            </w:rPr>
            <w:t>业务操作说明</w:t>
          </w:r>
          <w:r>
            <w:tab/>
          </w:r>
          <w:r>
            <w:fldChar w:fldCharType="begin"/>
          </w:r>
          <w:r>
            <w:instrText xml:space="preserve"> PAGEREF _Toc12488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2883DFC3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_Toc31598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企业入库</w:t>
          </w:r>
          <w:r>
            <w:tab/>
          </w:r>
          <w:r>
            <w:fldChar w:fldCharType="begin"/>
          </w:r>
          <w:r>
            <w:instrText xml:space="preserve"> PAGEREF _Toc31598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07E0411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_Toc12281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企业注册</w:t>
          </w:r>
          <w:r>
            <w:tab/>
          </w:r>
          <w:r>
            <w:fldChar w:fldCharType="begin"/>
          </w:r>
          <w:r>
            <w:instrText xml:space="preserve"> PAGEREF _Toc12281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5354F425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_Toc19665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企业资料完善</w:t>
          </w:r>
          <w:r>
            <w:tab/>
          </w:r>
          <w:r>
            <w:fldChar w:fldCharType="begin"/>
          </w:r>
          <w:r>
            <w:instrText xml:space="preserve"> PAGEREF _Toc19665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0A7A1AE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_Toc7952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企业资料更新到汕尾交易平台</w:t>
          </w:r>
          <w:r>
            <w:tab/>
          </w:r>
          <w:r>
            <w:fldChar w:fldCharType="begin"/>
          </w:r>
          <w:r>
            <w:instrText xml:space="preserve"> PAGEREF _Toc7952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84BFD81">
          <w:pPr>
            <w:pStyle w:val="9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_Toc25965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三. </w:t>
          </w:r>
          <w:r>
            <w:rPr>
              <w:rFonts w:hint="eastAsia" w:ascii="黑体" w:hAnsi="Calibri" w:eastAsia="黑体" w:cs="Times New Roman"/>
            </w:rPr>
            <w:t>业务流程</w:t>
          </w:r>
          <w:r>
            <w:tab/>
          </w:r>
          <w:r>
            <w:fldChar w:fldCharType="begin"/>
          </w:r>
          <w:r>
            <w:instrText xml:space="preserve"> PAGEREF _Toc25965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23054104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_Toc29879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/>
            </w:rPr>
            <w:t>2.1 竞买人报名</w:t>
          </w:r>
          <w:r>
            <w:tab/>
          </w:r>
          <w:r>
            <w:fldChar w:fldCharType="begin"/>
          </w:r>
          <w:r>
            <w:instrText xml:space="preserve"> PAGEREF _Toc29879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0412428C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_Toc4778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/>
            </w:rPr>
            <w:t>2.1.1 竞投报名</w:t>
          </w:r>
          <w:r>
            <w:tab/>
          </w:r>
          <w:r>
            <w:fldChar w:fldCharType="begin"/>
          </w:r>
          <w:r>
            <w:instrText xml:space="preserve"> PAGEREF _Toc4778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71F23D02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_Toc15505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/>
            </w:rPr>
            <w:t>2.1.2 报名查询</w:t>
          </w:r>
          <w:r>
            <w:tab/>
          </w:r>
          <w:r>
            <w:fldChar w:fldCharType="begin"/>
          </w:r>
          <w:r>
            <w:instrText xml:space="preserve"> PAGEREF _Toc15505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2D855C28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_Toc15883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ascii="宋体" w:hAnsi="宋体" w:eastAsia="宋体"/>
            </w:rPr>
            <w:t xml:space="preserve">2.2 </w:t>
          </w:r>
          <w:r>
            <w:rPr>
              <w:rFonts w:hint="eastAsia" w:ascii="宋体" w:hAnsi="宋体" w:eastAsia="宋体"/>
            </w:rPr>
            <w:t>缴纳保证金</w:t>
          </w:r>
          <w:r>
            <w:tab/>
          </w:r>
          <w:r>
            <w:fldChar w:fldCharType="begin"/>
          </w:r>
          <w:r>
            <w:instrText xml:space="preserve"> PAGEREF _Toc15883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BB543E6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_Toc23739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ascii="宋体" w:hAnsi="宋体" w:eastAsia="宋体"/>
            </w:rPr>
            <w:t xml:space="preserve">2.3 </w:t>
          </w:r>
          <w:r>
            <w:rPr>
              <w:rFonts w:hint="eastAsia" w:ascii="宋体" w:hAnsi="宋体" w:eastAsia="宋体"/>
            </w:rPr>
            <w:t>交易竞价</w:t>
          </w:r>
          <w:r>
            <w:tab/>
          </w:r>
          <w:r>
            <w:fldChar w:fldCharType="begin"/>
          </w:r>
          <w:r>
            <w:instrText xml:space="preserve"> PAGEREF _Toc23739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BE54991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_Toc30016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ascii="宋体" w:hAnsi="宋体" w:eastAsia="宋体"/>
            </w:rPr>
            <w:t xml:space="preserve">2.4 </w:t>
          </w:r>
          <w:r>
            <w:rPr>
              <w:rFonts w:hint="eastAsia" w:ascii="宋体" w:hAnsi="宋体" w:eastAsia="宋体"/>
            </w:rPr>
            <w:t>查看成交通知书</w:t>
          </w:r>
          <w:r>
            <w:tab/>
          </w:r>
          <w:r>
            <w:fldChar w:fldCharType="begin"/>
          </w:r>
          <w:r>
            <w:instrText xml:space="preserve"> PAGEREF _Toc30016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75B622A1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_Toc29734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ascii="宋体" w:hAnsi="宋体" w:eastAsia="宋体"/>
            </w:rPr>
            <w:t xml:space="preserve">2.5 </w:t>
          </w:r>
          <w:r>
            <w:rPr>
              <w:rFonts w:hint="eastAsia" w:ascii="宋体" w:hAnsi="宋体" w:eastAsia="宋体"/>
            </w:rPr>
            <w:t>提交资格材料</w:t>
          </w:r>
          <w:r>
            <w:tab/>
          </w:r>
          <w:r>
            <w:fldChar w:fldCharType="begin"/>
          </w:r>
          <w:r>
            <w:instrText xml:space="preserve"> PAGEREF _Toc29734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DBAA549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_Toc27527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/>
            </w:rPr>
            <w:t>2.</w:t>
          </w:r>
          <w:r>
            <w:rPr>
              <w:rFonts w:ascii="宋体" w:hAnsi="宋体" w:eastAsia="宋体"/>
            </w:rPr>
            <w:t xml:space="preserve">6 </w:t>
          </w:r>
          <w:r>
            <w:rPr>
              <w:rFonts w:hint="eastAsia" w:ascii="宋体" w:hAnsi="宋体" w:eastAsia="宋体"/>
            </w:rPr>
            <w:t>成交确认书签订</w:t>
          </w:r>
          <w:r>
            <w:tab/>
          </w:r>
          <w:r>
            <w:fldChar w:fldCharType="begin"/>
          </w:r>
          <w:r>
            <w:instrText xml:space="preserve"> PAGEREF _Toc27527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B855E3B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_Toc221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/>
              <w:lang w:val="en-US" w:eastAsia="zh-CN"/>
            </w:rPr>
            <w:t>2.7 合同签订</w:t>
          </w:r>
          <w:r>
            <w:tab/>
          </w:r>
          <w:r>
            <w:fldChar w:fldCharType="begin"/>
          </w:r>
          <w:r>
            <w:instrText xml:space="preserve"> PAGEREF _Toc221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553D4A8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_Toc1887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ascii="宋体" w:hAnsi="宋体" w:eastAsia="宋体"/>
            </w:rPr>
            <w:t>2.</w:t>
          </w:r>
          <w:r>
            <w:rPr>
              <w:rFonts w:hint="eastAsia" w:ascii="宋体" w:hAnsi="宋体" w:eastAsia="宋体"/>
              <w:lang w:val="en-US" w:eastAsia="zh-CN"/>
            </w:rPr>
            <w:t xml:space="preserve">8 </w:t>
          </w:r>
          <w:r>
            <w:rPr>
              <w:rFonts w:hint="eastAsia" w:ascii="宋体" w:hAnsi="宋体" w:eastAsia="宋体"/>
            </w:rPr>
            <w:t>退保证金</w:t>
          </w:r>
          <w:r>
            <w:tab/>
          </w:r>
          <w:r>
            <w:fldChar w:fldCharType="begin"/>
          </w:r>
          <w:r>
            <w:instrText xml:space="preserve"> PAGEREF _Toc1887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2B23FBB5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_Toc13694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/>
            </w:rPr>
            <w:t>2.</w:t>
          </w:r>
          <w:r>
            <w:rPr>
              <w:rFonts w:hint="eastAsia" w:ascii="宋体" w:hAnsi="宋体" w:eastAsia="宋体"/>
              <w:lang w:val="en-US" w:eastAsia="zh-CN"/>
            </w:rPr>
            <w:t>9</w:t>
          </w:r>
          <w:r>
            <w:rPr>
              <w:rFonts w:ascii="宋体" w:hAnsi="宋体" w:eastAsia="宋体"/>
            </w:rPr>
            <w:t xml:space="preserve"> </w:t>
          </w:r>
          <w:r>
            <w:rPr>
              <w:rFonts w:hint="eastAsia" w:ascii="宋体" w:hAnsi="宋体" w:eastAsia="宋体"/>
            </w:rPr>
            <w:t>技术支持</w:t>
          </w:r>
          <w:r>
            <w:tab/>
          </w:r>
          <w:r>
            <w:fldChar w:fldCharType="begin"/>
          </w:r>
          <w:r>
            <w:instrText xml:space="preserve"> PAGEREF _Toc13694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82CCB86">
          <w:r>
            <w:rPr>
              <w:bCs/>
              <w:lang w:val="zh-CN"/>
            </w:rPr>
            <w:fldChar w:fldCharType="end"/>
          </w:r>
        </w:p>
      </w:sdtContent>
    </w:sdt>
    <w:p w14:paraId="303943CA">
      <w:pPr>
        <w:widowControl/>
        <w:jc w:val="left"/>
        <w:rPr>
          <w:rFonts w:ascii="宋体" w:hAnsi="宋体" w:eastAsia="宋体"/>
          <w:b/>
          <w:bCs/>
          <w:kern w:val="44"/>
          <w:sz w:val="44"/>
          <w:szCs w:val="44"/>
        </w:rPr>
      </w:pPr>
    </w:p>
    <w:p w14:paraId="772F3728">
      <w:pPr>
        <w:widowControl/>
        <w:jc w:val="left"/>
        <w:rPr>
          <w:rFonts w:ascii="宋体" w:hAnsi="宋体" w:eastAsia="宋体"/>
          <w:b/>
          <w:bCs/>
          <w:kern w:val="44"/>
          <w:sz w:val="44"/>
          <w:szCs w:val="44"/>
        </w:rPr>
      </w:pPr>
      <w:r>
        <w:rPr>
          <w:rFonts w:ascii="宋体" w:hAnsi="宋体" w:eastAsia="宋体"/>
        </w:rPr>
        <w:br w:type="page"/>
      </w:r>
    </w:p>
    <w:p w14:paraId="5BA4E227">
      <w:pPr>
        <w:pStyle w:val="3"/>
        <w:widowControl w:val="0"/>
        <w:numPr>
          <w:ilvl w:val="0"/>
          <w:numId w:val="1"/>
        </w:numPr>
        <w:adjustRightInd/>
        <w:snapToGrid/>
        <w:ind w:left="420" w:leftChars="0" w:hanging="420" w:firstLineChars="0"/>
        <w:jc w:val="both"/>
        <w:rPr>
          <w:rFonts w:ascii="黑体" w:hAnsi="Calibri" w:eastAsia="黑体" w:cs="Times New Roman"/>
        </w:rPr>
      </w:pPr>
      <w:bookmarkStart w:id="0" w:name="_Toc2980"/>
      <w:bookmarkStart w:id="1" w:name="_Toc11344"/>
      <w:bookmarkStart w:id="2" w:name="_Toc290881815"/>
      <w:bookmarkStart w:id="3" w:name="_Toc28040"/>
      <w:bookmarkStart w:id="4" w:name="_Toc407200889"/>
      <w:r>
        <w:rPr>
          <w:rFonts w:hint="eastAsia" w:ascii="黑体" w:hAnsi="Calibri" w:eastAsia="黑体" w:cs="Times New Roman"/>
        </w:rPr>
        <w:t>登录</w:t>
      </w:r>
      <w:bookmarkEnd w:id="0"/>
      <w:bookmarkEnd w:id="1"/>
      <w:bookmarkEnd w:id="2"/>
      <w:bookmarkEnd w:id="3"/>
      <w:bookmarkEnd w:id="4"/>
    </w:p>
    <w:p w14:paraId="785E50D9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本地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登录：</w:t>
      </w:r>
    </w:p>
    <w:p w14:paraId="1EB8EF33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Style w:val="1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Style w:val="1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https://jy.swggzy.cn/login</w:t>
      </w:r>
    </w:p>
    <w:p w14:paraId="0CD657B5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省平台地址:</w:t>
      </w:r>
    </w:p>
    <w:p w14:paraId="772FF92C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begin"/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instrText xml:space="preserve"> HYPERLINK "https://ygp.gdzwfw.gov.cn/ggzy-portal/index.html#/441500/jyxt" </w:instrTex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separate"/>
      </w:r>
      <w:r>
        <w:rPr>
          <w:rStyle w:val="1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https://ygp.gdzwfw.gov.cn/ggzy-portal/index.html#/441500/jyxt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end"/>
      </w:r>
    </w:p>
    <w:p w14:paraId="5CD7EE0A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门户地址：</w:t>
      </w:r>
    </w:p>
    <w:p w14:paraId="2EBE1891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Style w:val="1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Style w:val="1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http://www.shanwei.gov.cn/swggzy/</w:t>
      </w:r>
    </w:p>
    <w:p w14:paraId="0D4FC444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建议使用360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极速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浏览器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版本12.0或以上，极速模式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747971B8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2510155"/>
            <wp:effectExtent l="0" t="0" r="381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FA894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登录方式有：</w:t>
      </w: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CA登录、广东省统一认证登录</w:t>
      </w:r>
    </w:p>
    <w:p w14:paraId="212D0509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第一次使用的时候需要安装驱动程序，请点击“多CA兼容登录驱动程序下载”，进行驱动程序的安装。</w:t>
      </w:r>
    </w:p>
    <w:p w14:paraId="3DBD8334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注意：</w:t>
      </w:r>
    </w:p>
    <w:p w14:paraId="1E356E7B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支持360浏览器、搜狗浏览器等。为了避免与旧系统的浏览器设置冲突，推荐使用360浏览器；</w:t>
      </w:r>
    </w:p>
    <w:p w14:paraId="1B70C9C0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如果CA登录不了，请确认安装了GDCA的驱动程序，安装成功后桌面上会有两个图标：</w:t>
      </w:r>
    </w:p>
    <w:p w14:paraId="08249AB6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501140" cy="990600"/>
            <wp:effectExtent l="0" t="0" r="10160" b="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0114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FFA9B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kern w:val="2"/>
          <w:sz w:val="24"/>
          <w:szCs w:val="24"/>
          <w:lang w:val="en-US" w:eastAsia="zh-CN"/>
        </w:rPr>
        <w:t>双击“GDCA安全认证服务”，启动CA驱动，然后再打开浏览器进行CA登录。如果服务无法启动，建议卸载GDCA驱动，然后重新安装。</w:t>
      </w:r>
    </w:p>
    <w:p w14:paraId="0F498ED9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如果输入CA的密码正确，但仍然提示“PIN码登录失败”或“获取密码重试次数失败！”，请检查IE是否保存了多余的证书，方法如下：</w:t>
      </w:r>
    </w:p>
    <w:p w14:paraId="68DCBA71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打开IE浏览器；</w:t>
      </w:r>
    </w:p>
    <w:p w14:paraId="6A1C9CB5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点击“设置 &gt; Internet选项”；</w:t>
      </w:r>
    </w:p>
    <w:p w14:paraId="71F61968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点击“内容”标签页，然后点击“证书”；</w:t>
      </w:r>
    </w:p>
    <w:p w14:paraId="1633771D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513455" cy="2834640"/>
            <wp:effectExtent l="0" t="0" r="4445" b="1016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13455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49B11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如果有多余的证书（通常是另外一个企业名称的证书），点击选中该证书，然后点击“删除”，删除多余的证书。删除成功后，重试登录；</w:t>
      </w:r>
    </w:p>
    <w:p w14:paraId="61277594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967480" cy="3710305"/>
            <wp:effectExtent l="0" t="0" r="7620" b="10795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67480" cy="371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DE092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ascii="宋体" w:hAnsi="宋体" w:eastAsia="宋体" w:cs="Times New Roman"/>
          <w:color w:val="FF0000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FF0000"/>
          <w:sz w:val="24"/>
          <w:szCs w:val="24"/>
          <w:lang w:val="en-US" w:eastAsia="zh-CN"/>
        </w:rPr>
        <w:t>如果仍有CA登录问题，可以咨询技术支持人员。</w:t>
      </w:r>
    </w:p>
    <w:p w14:paraId="595EA842">
      <w:pPr>
        <w:pStyle w:val="3"/>
        <w:widowControl w:val="0"/>
        <w:numPr>
          <w:ilvl w:val="0"/>
          <w:numId w:val="1"/>
        </w:numPr>
        <w:adjustRightInd/>
        <w:snapToGrid/>
        <w:ind w:left="420" w:leftChars="0" w:hanging="420" w:firstLineChars="0"/>
        <w:jc w:val="both"/>
        <w:rPr>
          <w:rFonts w:ascii="黑体" w:hAnsi="Calibri" w:eastAsia="黑体" w:cs="Times New Roman"/>
        </w:rPr>
      </w:pPr>
      <w:bookmarkStart w:id="5" w:name="_Toc14441"/>
      <w:bookmarkStart w:id="6" w:name="_Toc12488"/>
      <w:bookmarkStart w:id="7" w:name="_Toc21852"/>
      <w:r>
        <w:rPr>
          <w:rFonts w:hint="eastAsia" w:ascii="黑体" w:hAnsi="Calibri" w:eastAsia="黑体" w:cs="Times New Roman"/>
        </w:rPr>
        <w:t>业务操作说明</w:t>
      </w:r>
      <w:bookmarkEnd w:id="5"/>
      <w:bookmarkEnd w:id="6"/>
      <w:bookmarkEnd w:id="7"/>
    </w:p>
    <w:p w14:paraId="66AD0DFC">
      <w:pPr>
        <w:pStyle w:val="4"/>
        <w:bidi w:val="0"/>
        <w:ind w:left="575" w:leftChars="0" w:hanging="575" w:firstLineChars="0"/>
      </w:pPr>
      <w:bookmarkStart w:id="8" w:name="_Toc8647"/>
      <w:bookmarkStart w:id="9" w:name="_Toc31598"/>
      <w:r>
        <w:rPr>
          <w:rFonts w:hint="eastAsia"/>
          <w:lang w:val="en-US" w:eastAsia="zh-CN"/>
        </w:rPr>
        <w:t>企业入库</w:t>
      </w:r>
      <w:bookmarkEnd w:id="8"/>
      <w:bookmarkEnd w:id="9"/>
    </w:p>
    <w:p w14:paraId="3126454A">
      <w:pPr>
        <w:pStyle w:val="5"/>
        <w:bidi w:val="0"/>
        <w:ind w:left="720" w:leftChars="0" w:hanging="720" w:firstLineChars="0"/>
      </w:pPr>
      <w:bookmarkStart w:id="10" w:name="_Toc26690"/>
      <w:bookmarkStart w:id="11" w:name="_Toc12281"/>
      <w:r>
        <w:rPr>
          <w:rFonts w:hint="eastAsia"/>
          <w:lang w:val="en-US" w:eastAsia="zh-CN"/>
        </w:rPr>
        <w:t>企业注册</w:t>
      </w:r>
      <w:bookmarkEnd w:id="10"/>
      <w:bookmarkEnd w:id="11"/>
    </w:p>
    <w:p w14:paraId="468B5FCB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新入库企业，通过广东省公共资源交易平台门户统一身份认证进行注册。</w:t>
      </w:r>
    </w:p>
    <w:p w14:paraId="71B4D9E1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企业访问省平台：</w:t>
      </w:r>
    </w:p>
    <w:p w14:paraId="33CF3378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begin"/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instrText xml:space="preserve"> HYPERLINK "https://ygp.gdzwfw.gov.cn/ggzy-portal/index.html#/445300/index" </w:instrTex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separate"/>
      </w:r>
      <w:r>
        <w:rPr>
          <w:rStyle w:val="1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https://ygp.gdzwfw.gov.cn/ggzy-portal/index.html#/445300/index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end"/>
      </w:r>
    </w:p>
    <w:p w14:paraId="3A5CAE0E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tabs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</w:t>
      </w:r>
      <w:r>
        <w:rPr>
          <w:rFonts w:hint="eastAsia" w:ascii="宋体" w:hAnsi="宋体" w:eastAsia="宋体" w:cs="宋体"/>
          <w:sz w:val="24"/>
          <w:szCs w:val="24"/>
        </w:rPr>
        <w:t>点击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门户右上方</w:t>
      </w:r>
      <w:r>
        <w:rPr>
          <w:rFonts w:hint="eastAsia" w:ascii="宋体" w:hAnsi="宋体" w:eastAsia="宋体" w:cs="宋体"/>
          <w:sz w:val="24"/>
          <w:szCs w:val="24"/>
        </w:rPr>
        <w:t>【登录】按钮，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跳转到</w:t>
      </w:r>
      <w:r>
        <w:rPr>
          <w:rFonts w:hint="eastAsia" w:ascii="宋体" w:hAnsi="宋体" w:eastAsia="宋体" w:cs="宋体"/>
          <w:sz w:val="24"/>
          <w:szCs w:val="24"/>
        </w:rPr>
        <w:t>广东省统一身份认证平台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页面，如下图：</w:t>
      </w:r>
    </w:p>
    <w:p w14:paraId="68DC3699">
      <w:pPr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6690" cy="2337435"/>
            <wp:effectExtent l="0" t="0" r="3810" b="1206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C40D3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1770" cy="2479040"/>
            <wp:effectExtent l="9525" t="9525" r="14605" b="13335"/>
            <wp:docPr id="7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7904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83FDF1B">
      <w:pPr>
        <w:pStyle w:val="2"/>
        <w:tabs>
          <w:tab w:val="left" w:pos="1260"/>
          <w:tab w:val="right" w:leader="dot" w:pos="9054"/>
        </w:tabs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2、通过以下登录方式，企业可注册/登录广东省公共资源交易平台。</w:t>
      </w:r>
    </w:p>
    <w:p w14:paraId="6D8273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（1）企业法定代表人，选择“个人登录”方式。</w:t>
      </w:r>
    </w:p>
    <w:p w14:paraId="0EBC104D">
      <w:pPr>
        <w:numPr>
          <w:ilvl w:val="0"/>
          <w:numId w:val="4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微信扫一扫-粤省事小程序；（推荐）</w:t>
      </w:r>
    </w:p>
    <w:p w14:paraId="4C26CD23">
      <w:pPr>
        <w:numPr>
          <w:ilvl w:val="0"/>
          <w:numId w:val="4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账号密码；</w:t>
      </w:r>
    </w:p>
    <w:p w14:paraId="72A7988D">
      <w:pPr>
        <w:numPr>
          <w:ilvl w:val="0"/>
          <w:numId w:val="4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网银证书；</w:t>
      </w:r>
    </w:p>
    <w:p w14:paraId="6EDD2F47">
      <w:pPr>
        <w:numPr>
          <w:ilvl w:val="0"/>
          <w:numId w:val="4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CA证书；</w:t>
      </w:r>
    </w:p>
    <w:p w14:paraId="59B5FA9A">
      <w:pPr>
        <w:numPr>
          <w:ilvl w:val="0"/>
          <w:numId w:val="4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电子社保卡；</w:t>
      </w:r>
    </w:p>
    <w:p w14:paraId="7FB0FBE9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国家政务服务平台账号。如下图：</w:t>
      </w:r>
    </w:p>
    <w:p w14:paraId="5F7298E1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1830" cy="2583180"/>
            <wp:effectExtent l="0" t="0" r="1270" b="7620"/>
            <wp:docPr id="8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182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法人登录。</w:t>
      </w:r>
    </w:p>
    <w:p w14:paraId="38E1AE19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微信扫一扫-电子营业执照；（推荐）</w:t>
      </w:r>
    </w:p>
    <w:p w14:paraId="04E7B212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账号密码；</w:t>
      </w:r>
    </w:p>
    <w:p w14:paraId="40D31506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网银证书；</w:t>
      </w:r>
    </w:p>
    <w:p w14:paraId="0C3FAEF4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CA证书；</w:t>
      </w:r>
    </w:p>
    <w:p w14:paraId="018F4794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国家政务服务平台账号。如下图：</w:t>
      </w:r>
    </w:p>
    <w:p w14:paraId="28DD8D1C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1195" cy="2559685"/>
            <wp:effectExtent l="9525" t="9525" r="17780" b="21590"/>
            <wp:docPr id="8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55968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34370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3、在广东省统一身份认证平台登录或注册时遇到问题，请点击“用户帮助”（http://www.gdzwfw.gov.cn/portal/help/index.html），或致电12345提供帮助。</w:t>
      </w:r>
    </w:p>
    <w:p w14:paraId="1EFE484C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3735" cy="2984500"/>
            <wp:effectExtent l="9525" t="9525" r="15240" b="15875"/>
            <wp:docPr id="7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298450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42BA4CE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3735" cy="3097530"/>
            <wp:effectExtent l="9525" t="9525" r="15240" b="17145"/>
            <wp:docPr id="8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3097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9E49293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tabs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  <w:rPr>
          <w:rFonts w:hint="default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、选择角色：企业第一次注册登录成功后，需要选择企业角色为“受让人”。在用户中心，查看角色是否为“受让人”，可以点击“切换”链接进行角色切换。如果要参与土地交易竞买，请选择角色为“受让人”。</w:t>
      </w:r>
    </w:p>
    <w:p w14:paraId="78277B4D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7325" cy="1761490"/>
            <wp:effectExtent l="0" t="0" r="3175" b="3810"/>
            <wp:docPr id="84" name="图片 8" descr="F:/Suling Document/Desktop/图片10000.png图片1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" descr="F:/Suling Document/Desktop/图片10000.png图片10000"/>
                    <pic:cNvPicPr>
                      <a:picLocks noChangeAspect="1"/>
                    </pic:cNvPicPr>
                  </pic:nvPicPr>
                  <pic:blipFill>
                    <a:blip r:embed="rId14"/>
                    <a:srcRect l="18" r="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6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B0239">
      <w:pPr>
        <w:pStyle w:val="5"/>
        <w:bidi w:val="0"/>
        <w:ind w:left="720" w:leftChars="0" w:hanging="720" w:firstLineChars="0"/>
      </w:pPr>
      <w:bookmarkStart w:id="12" w:name="_Toc11088"/>
      <w:bookmarkStart w:id="13" w:name="_Toc19665"/>
      <w:r>
        <w:rPr>
          <w:rFonts w:hint="eastAsia"/>
          <w:lang w:val="en-US" w:eastAsia="zh-CN"/>
        </w:rPr>
        <w:t>企业资料完善</w:t>
      </w:r>
      <w:bookmarkEnd w:id="12"/>
      <w:bookmarkEnd w:id="13"/>
    </w:p>
    <w:p w14:paraId="796B0341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企业注册后，需要完善相关的资料信息。</w:t>
      </w:r>
    </w:p>
    <w:p w14:paraId="220DEFC9">
      <w:pPr>
        <w:pStyle w:val="2"/>
        <w:rPr>
          <w:rFonts w:hint="default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一、基本资料更新</w:t>
      </w:r>
    </w:p>
    <w:p w14:paraId="609C0A83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1、选择“企业介绍－基础信息－基本信息”菜单，查看企业基本信息。如下图：</w:t>
      </w:r>
    </w:p>
    <w:p w14:paraId="208B8B84"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327910"/>
            <wp:effectExtent l="9525" t="9525" r="17780" b="12065"/>
            <wp:docPr id="9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3279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9005432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2、点击“编辑基本信息”按钮，进入“编辑基本信息”页面。填写法人地址、法人证件号码等信息，点击【保存修改】，即可完成编辑。如下图：</w:t>
      </w: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303145"/>
            <wp:effectExtent l="9525" t="9525" r="17780" b="11430"/>
            <wp:docPr id="9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3031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294255"/>
            <wp:effectExtent l="9525" t="9525" r="17780" b="20320"/>
            <wp:docPr id="9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2942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EC298AA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二、营业执照</w:t>
      </w:r>
    </w:p>
    <w:p w14:paraId="52D9269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1、选择“企业介绍－基础信息－营业执照”菜单，查看企业营业执照。如下图：</w:t>
      </w:r>
    </w:p>
    <w:p w14:paraId="12E2F09D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751195" cy="2185035"/>
            <wp:effectExtent l="9525" t="9525" r="17780" b="15240"/>
            <wp:docPr id="10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2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18503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B45A4D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2、点击“编辑营业执照信息”，进入编辑状态，编辑好营业执照号码、营业执照失效时期等内容，点击【保存修改】，即可完成修改。如下图：</w:t>
      </w:r>
    </w:p>
    <w:p w14:paraId="688D834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345430" cy="1979930"/>
            <wp:effectExtent l="9525" t="9525" r="17145" b="17145"/>
            <wp:docPr id="10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2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45430" cy="19799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128E2AB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346065" cy="2211070"/>
            <wp:effectExtent l="9525" t="9525" r="16510" b="14605"/>
            <wp:docPr id="10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2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46065" cy="22110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25E451D">
      <w:pPr>
        <w:ind w:firstLine="420" w:firstLine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三、联系信息</w:t>
      </w:r>
    </w:p>
    <w:p w14:paraId="60A205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基础信息－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联系信息”菜单，查看企业联系信息。如下图：</w:t>
      </w:r>
    </w:p>
    <w:p w14:paraId="1138AF74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5751195" cy="2218690"/>
            <wp:effectExtent l="9525" t="9525" r="17780" b="19685"/>
            <wp:docPr id="10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3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21869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D656F2E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点击“编辑联系信息”，进入编辑状态，编辑好联系人、联系电话等内容，点击【保存修改】，即可完成修改。如下图：</w:t>
      </w:r>
    </w:p>
    <w:p w14:paraId="2556AD2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400040" cy="2051685"/>
            <wp:effectExtent l="9525" t="9525" r="13335" b="21590"/>
            <wp:docPr id="10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3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5168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EE37C87">
      <w:r>
        <w:drawing>
          <wp:inline distT="0" distB="0" distL="114300" distR="114300">
            <wp:extent cx="5400040" cy="2099310"/>
            <wp:effectExtent l="9525" t="9525" r="13335" b="12065"/>
            <wp:docPr id="10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3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993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D9557E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四、基本户</w:t>
      </w:r>
    </w:p>
    <w:p w14:paraId="2D513D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基础信息－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基本户”菜单，查看企业基本户信息。如下图：</w:t>
      </w:r>
    </w:p>
    <w:p w14:paraId="0FAE49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751195" cy="1730375"/>
            <wp:effectExtent l="9525" t="9525" r="17780" b="12700"/>
            <wp:docPr id="110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3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73037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8970A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2、点击“编辑基本户信息”，进入编辑状态，编辑好基本开户银行、基本户账号等内容，点击【保存修改】，即可完成修改。如下图：</w:t>
      </w:r>
    </w:p>
    <w:p w14:paraId="5C3DEB2E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5751195" cy="1789430"/>
            <wp:effectExtent l="9525" t="9525" r="17780" b="17145"/>
            <wp:docPr id="11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3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7894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89B841F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/>
        </w:rPr>
      </w:pPr>
      <w:r>
        <w:drawing>
          <wp:inline distT="0" distB="0" distL="114300" distR="114300">
            <wp:extent cx="5751195" cy="2037715"/>
            <wp:effectExtent l="9525" t="9525" r="17780" b="10160"/>
            <wp:docPr id="10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3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0377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E13CAFA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五、行业许可证书</w:t>
      </w:r>
    </w:p>
    <w:p w14:paraId="4EDCC3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1、选择“企业介绍－资质信息－行业许可证书”菜单，点击【新增行业许可证书】，进入“新增行业许可证书”弹窗页面。如下图：</w:t>
      </w:r>
    </w:p>
    <w:p w14:paraId="442931CD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5751195" cy="1427480"/>
            <wp:effectExtent l="9525" t="9525" r="17780" b="10795"/>
            <wp:docPr id="11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3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274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61499E9">
      <w:r>
        <w:drawing>
          <wp:inline distT="0" distB="0" distL="114300" distR="114300">
            <wp:extent cx="4179570" cy="5039995"/>
            <wp:effectExtent l="9525" t="9525" r="14605" b="17780"/>
            <wp:docPr id="11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3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79570" cy="503999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36A2877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  <w:t>2、填写证书名称、证书编号、发证机构等信息后，点击【立即创建】，即可新增行业许可证书。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如下图：</w:t>
      </w:r>
      <w:r>
        <w:drawing>
          <wp:inline distT="0" distB="0" distL="114300" distR="114300">
            <wp:extent cx="5751195" cy="1503045"/>
            <wp:effectExtent l="9525" t="9525" r="17780" b="11430"/>
            <wp:docPr id="11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3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5030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2ADAA7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3、针对行业许可证书，点击【编辑】按钮，可重新编辑该行业许可证书。</w:t>
      </w:r>
    </w:p>
    <w:p w14:paraId="7F1117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点击【删除】按钮，进入“确认删除”弹窗页面，点击【确认】按钮，即可删除行业许可证书。如下图：</w:t>
      </w:r>
    </w:p>
    <w:p w14:paraId="38840DA4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751195" cy="1250315"/>
            <wp:effectExtent l="9525" t="9525" r="17780" b="10160"/>
            <wp:docPr id="114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3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2503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5A2F5C0">
      <w:r>
        <w:drawing>
          <wp:inline distT="0" distB="0" distL="114300" distR="114300">
            <wp:extent cx="4457700" cy="2533650"/>
            <wp:effectExtent l="9525" t="9525" r="15875" b="9525"/>
            <wp:docPr id="112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4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53365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94056D2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420DEA0A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六、企业资质</w:t>
      </w:r>
    </w:p>
    <w:p w14:paraId="58DC1A41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1、选择“企业介绍－资质信息－企业资质”菜单，点击【新增企业资质信息】，进入“新增企业资质”弹窗页面。如下图：</w:t>
      </w:r>
      <w:r>
        <w:drawing>
          <wp:inline distT="0" distB="0" distL="114300" distR="114300">
            <wp:extent cx="5751195" cy="1464945"/>
            <wp:effectExtent l="9525" t="9525" r="17780" b="11430"/>
            <wp:docPr id="12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4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649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276BA5C">
      <w:r>
        <w:drawing>
          <wp:inline distT="0" distB="0" distL="114300" distR="114300">
            <wp:extent cx="4143375" cy="5419725"/>
            <wp:effectExtent l="9525" t="9525" r="12700" b="19050"/>
            <wp:docPr id="120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4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54197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6A73B5A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2、填写资质名称、资质等级、证书类别等信息后，点击【立即创建】，即可新增企业资质。如下图：</w:t>
      </w:r>
      <w:r>
        <w:drawing>
          <wp:inline distT="0" distB="0" distL="114300" distR="114300">
            <wp:extent cx="5751195" cy="1414780"/>
            <wp:effectExtent l="9525" t="9525" r="17780" b="10795"/>
            <wp:docPr id="119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4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147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13A7E3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3、针对资质信息，点击【查看】按钮，查看详细的资质信息。</w:t>
      </w:r>
    </w:p>
    <w:p w14:paraId="0CA436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点击【编辑】按钮，可重新编辑资质信息。</w:t>
      </w:r>
    </w:p>
    <w:p w14:paraId="288CC7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点击【删除】按钮，进入“确认删除”弹窗页面，点击【确认】按钮，即可删除企业资格证书。如下图：</w:t>
      </w:r>
    </w:p>
    <w:p w14:paraId="2E600D5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746115" cy="1416050"/>
            <wp:effectExtent l="9525" t="9525" r="10160" b="9525"/>
            <wp:docPr id="11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4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46115" cy="141605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86325" cy="2847975"/>
            <wp:effectExtent l="9525" t="9525" r="19050" b="12700"/>
            <wp:docPr id="118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45"/>
                    <pic:cNvPicPr>
                      <a:picLocks noChangeAspect="1"/>
                    </pic:cNvPicPr>
                  </pic:nvPicPr>
                  <pic:blipFill>
                    <a:blip r:embed="rId36"/>
                    <a:srcRect l="1724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284797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E9B7DE9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16FF0B78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七、人员资质</w:t>
      </w:r>
    </w:p>
    <w:p w14:paraId="2B98A43C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</w:pPr>
      <w:r>
        <w:rPr>
          <w:rFonts w:hint="eastAsia" w:ascii="宋体" w:hAnsi="宋体" w:eastAsia="宋体" w:cs="Times New Roman"/>
          <w:kern w:val="2"/>
          <w:sz w:val="24"/>
          <w:szCs w:val="22"/>
          <w:lang w:val="en-US" w:eastAsia="zh-CN" w:bidi="ar-SA"/>
        </w:rPr>
        <w:t>1、选择“企业介绍－资质信息－人员资质”菜单，点击【新增人员资质信息】，进入“新增人员资质”页面。如下图：</w:t>
      </w:r>
      <w:r>
        <w:drawing>
          <wp:inline distT="0" distB="0" distL="114300" distR="114300">
            <wp:extent cx="5751195" cy="1343025"/>
            <wp:effectExtent l="9525" t="9525" r="17780" b="19050"/>
            <wp:docPr id="12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4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3430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ED2C485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039235" cy="3551555"/>
            <wp:effectExtent l="9525" t="9525" r="15240" b="20320"/>
            <wp:docPr id="124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4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039235" cy="35515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676267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2、填写身份证件号码、姓名、性别、职业资格证编号等信息后，点击【立即创建】，即可新增人员资质。如下图：</w:t>
      </w:r>
    </w:p>
    <w:p w14:paraId="60EA751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039995" cy="1151255"/>
            <wp:effectExtent l="9525" t="9525" r="17780" b="20320"/>
            <wp:docPr id="123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4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1512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061E4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3、点击【查看】，可查看人员资质详细信息。如下图：</w:t>
      </w:r>
      <w:r>
        <w:drawing>
          <wp:inline distT="0" distB="0" distL="114300" distR="114300">
            <wp:extent cx="5751195" cy="1195705"/>
            <wp:effectExtent l="9525" t="9525" r="17780" b="13970"/>
            <wp:docPr id="12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4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1957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4BF1975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751195" cy="2176780"/>
            <wp:effectExtent l="9525" t="9525" r="17780" b="10795"/>
            <wp:docPr id="127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5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1767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C6BF1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4、点击【编辑】按钮，可重新编辑该人员资质。点击【删除】按钮，进入“确认删除”弹窗页面，点击【确认】按钮，即可删除人员资质。如下图：</w:t>
      </w:r>
    </w:p>
    <w:p w14:paraId="04D0A190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5751195" cy="1195705"/>
            <wp:effectExtent l="9525" t="9525" r="17780" b="13970"/>
            <wp:docPr id="126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5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1957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6767AAC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3130550" cy="1800225"/>
            <wp:effectExtent l="9525" t="9525" r="9525" b="19050"/>
            <wp:docPr id="128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5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130550" cy="18002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F3F1267">
      <w:pPr>
        <w:rPr>
          <w:rFonts w:hint="default"/>
          <w:lang w:val="en-US" w:eastAsia="zh-CN"/>
        </w:rPr>
      </w:pPr>
    </w:p>
    <w:p w14:paraId="15E399B2">
      <w:pPr>
        <w:rPr>
          <w:rFonts w:hint="eastAsia"/>
        </w:rPr>
      </w:pPr>
    </w:p>
    <w:p w14:paraId="40084242">
      <w:pPr>
        <w:pStyle w:val="5"/>
        <w:bidi w:val="0"/>
        <w:ind w:left="720" w:leftChars="0" w:hanging="720" w:firstLineChars="0"/>
      </w:pPr>
      <w:bookmarkStart w:id="14" w:name="_Toc4502"/>
      <w:bookmarkStart w:id="15" w:name="_Toc7952"/>
      <w:r>
        <w:rPr>
          <w:rFonts w:hint="eastAsia"/>
          <w:lang w:val="en-US" w:eastAsia="zh-CN"/>
        </w:rPr>
        <w:t>企业资料更新到汕尾交易平台</w:t>
      </w:r>
      <w:bookmarkEnd w:id="14"/>
      <w:bookmarkEnd w:id="15"/>
    </w:p>
    <w:p w14:paraId="731CA0F0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企业在省平台维护好相关的资料后，可以通过省平台的交易系统进入汕尾平台。在用户中心点击左上角的省平台图标，进入点击省平台“首页”，在地区选择链接中，选择“汕尾市”。</w:t>
      </w:r>
    </w:p>
    <w:p w14:paraId="1EAF9066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865" cy="2038350"/>
            <wp:effectExtent l="0" t="0" r="635" b="6350"/>
            <wp:docPr id="7" name="图片 7" descr="c331a2b068b8528ee334509270972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331a2b068b8528ee334509270972d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9C2B4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99081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然后在首页中部的“交易系统”，点击“</w:t>
      </w:r>
      <w:r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  <w:t>汕尾市土地与矿业权交易系统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”，进入汕尾市公共资源交易系统。</w:t>
      </w:r>
    </w:p>
    <w:p w14:paraId="0E079F28">
      <w:pPr>
        <w:pStyle w:val="2"/>
        <w:ind w:left="0" w:leftChars="0" w:firstLine="0" w:firstLineChars="0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935B6"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企业在省平台完善相关资料信息后，可以手动将信息同步到汕尾交易平台。点击右上角的“个人设置”菜单，然后在弹出的界面中点击“企业信息编辑”，也可以进入企业资料编辑界面。</w:t>
      </w:r>
    </w:p>
    <w:p w14:paraId="15C675D1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9CCC9">
      <w:pPr>
        <w:rPr>
          <w:rFonts w:hint="eastAsia"/>
          <w:lang w:val="en-US" w:eastAsia="zh-CN"/>
        </w:rPr>
      </w:pPr>
    </w:p>
    <w:p w14:paraId="033BC703">
      <w:pPr>
        <w:pStyle w:val="3"/>
        <w:widowControl w:val="0"/>
        <w:numPr>
          <w:ilvl w:val="0"/>
          <w:numId w:val="1"/>
        </w:numPr>
        <w:adjustRightInd/>
        <w:snapToGrid/>
        <w:ind w:left="420" w:leftChars="0" w:hanging="420" w:firstLineChars="0"/>
        <w:jc w:val="both"/>
        <w:rPr>
          <w:rFonts w:hint="eastAsia" w:ascii="黑体" w:hAnsi="Calibri" w:eastAsia="黑体" w:cs="Times New Roman"/>
        </w:rPr>
      </w:pPr>
      <w:bookmarkStart w:id="16" w:name="_Toc25965"/>
      <w:r>
        <w:rPr>
          <w:rFonts w:hint="eastAsia" w:ascii="黑体" w:hAnsi="Calibri" w:eastAsia="黑体" w:cs="Times New Roman"/>
        </w:rPr>
        <w:t>业务流程</w:t>
      </w:r>
      <w:bookmarkEnd w:id="16"/>
    </w:p>
    <w:p w14:paraId="716DE0A9">
      <w:pPr>
        <w:pStyle w:val="4"/>
      </w:pPr>
      <w:bookmarkStart w:id="17" w:name="_Toc29879"/>
      <w:r>
        <w:rPr>
          <w:rFonts w:hint="eastAsia" w:ascii="宋体" w:hAnsi="宋体" w:eastAsia="宋体"/>
        </w:rPr>
        <w:t>2.1 竞买人报名</w:t>
      </w:r>
      <w:bookmarkEnd w:id="17"/>
    </w:p>
    <w:p w14:paraId="63EBAC7E">
      <w:pPr>
        <w:pStyle w:val="4"/>
        <w:rPr>
          <w:rFonts w:hint="eastAsia" w:ascii="宋体" w:hAnsi="宋体" w:eastAsia="宋体"/>
        </w:rPr>
      </w:pPr>
      <w:bookmarkStart w:id="18" w:name="_Toc4778"/>
      <w:r>
        <w:rPr>
          <w:rFonts w:hint="eastAsia" w:ascii="宋体" w:hAnsi="宋体" w:eastAsia="宋体"/>
        </w:rPr>
        <w:t>2.1.1 竞投报名</w:t>
      </w:r>
      <w:bookmarkEnd w:id="18"/>
    </w:p>
    <w:p w14:paraId="197273DF">
      <w:pPr>
        <w:spacing w:before="62" w:beforeLines="20" w:after="62" w:afterLines="20" w:line="360" w:lineRule="auto"/>
        <w:ind w:firstLine="480" w:firstLineChars="200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竞投人点击菜单</w:t>
      </w:r>
      <w:r>
        <w:rPr>
          <w:rFonts w:hint="eastAsia" w:ascii="宋体" w:hAnsi="宋体" w:eastAsia="宋体" w:cs="Times New Roman"/>
          <w:sz w:val="24"/>
          <w:szCs w:val="24"/>
        </w:rPr>
        <w:t>“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自然资源交易</w:t>
      </w:r>
      <w:r>
        <w:rPr>
          <w:rFonts w:hint="eastAsia" w:ascii="宋体" w:hAnsi="宋体" w:eastAsia="宋体" w:cs="Times New Roman"/>
          <w:sz w:val="24"/>
          <w:szCs w:val="24"/>
        </w:rPr>
        <w:t xml:space="preserve"> &gt;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土地使用权交易或矿业权出让</w:t>
      </w:r>
      <w:r>
        <w:rPr>
          <w:rFonts w:hint="eastAsia" w:ascii="宋体" w:hAnsi="宋体" w:eastAsia="宋体" w:cs="Times New Roman"/>
          <w:sz w:val="24"/>
          <w:szCs w:val="24"/>
        </w:rPr>
        <w:t xml:space="preserve">”, 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在竞买申请处，点击“查看”按钮，即可查看该项目的基本信息，包括土地基本信息、项目附件、项目图片。</w:t>
      </w:r>
    </w:p>
    <w:p w14:paraId="096CBE5B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70500" cy="1469390"/>
            <wp:effectExtent l="0" t="0" r="0" b="381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6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EC86F">
      <w:pPr>
        <w:pStyle w:val="2"/>
      </w:pPr>
      <w:r>
        <w:drawing>
          <wp:inline distT="0" distB="0" distL="114300" distR="114300">
            <wp:extent cx="5269230" cy="3190875"/>
            <wp:effectExtent l="0" t="0" r="1270" b="952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0AA0A">
      <w:pPr>
        <w:spacing w:before="62" w:beforeLines="20" w:after="62" w:afterLines="20" w:line="360" w:lineRule="auto"/>
        <w:ind w:firstLine="480" w:firstLineChars="20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点击“竞买申请”按钮，进入竞投人报名页。</w:t>
      </w:r>
    </w:p>
    <w:p w14:paraId="78F4BE8E">
      <w:pPr>
        <w:numPr>
          <w:ilvl w:val="0"/>
          <w:numId w:val="7"/>
        </w:numPr>
        <w:spacing w:before="62" w:beforeLines="20" w:after="62" w:afterLines="20" w:line="360" w:lineRule="auto"/>
        <w:ind w:firstLine="480" w:firstLineChars="20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先完善好报名信息，信息确认无误后点击“提交申请”；</w:t>
      </w:r>
    </w:p>
    <w:p w14:paraId="0E340302">
      <w:pPr>
        <w:numPr>
          <w:ilvl w:val="0"/>
          <w:numId w:val="7"/>
        </w:numPr>
        <w:spacing w:before="62" w:beforeLines="20" w:after="62" w:afterLines="20" w:line="360" w:lineRule="auto"/>
        <w:ind w:left="0" w:leftChars="0" w:firstLine="480" w:firstLineChars="20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弹出承诺书文本，查看承诺书及竞购申请书；</w:t>
      </w:r>
    </w:p>
    <w:p w14:paraId="4BB91FD1">
      <w:pPr>
        <w:numPr>
          <w:ilvl w:val="0"/>
          <w:numId w:val="7"/>
        </w:numPr>
        <w:spacing w:before="62" w:beforeLines="20" w:after="62" w:afterLines="20" w:line="360" w:lineRule="auto"/>
        <w:ind w:firstLine="480" w:firstLineChars="20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对承诺书及竞购申请书分别加盖电子签章；</w:t>
      </w:r>
    </w:p>
    <w:p w14:paraId="4EE86360">
      <w:pPr>
        <w:numPr>
          <w:ilvl w:val="0"/>
          <w:numId w:val="7"/>
        </w:numPr>
        <w:spacing w:before="62" w:beforeLines="20" w:after="62" w:afterLines="20" w:line="360" w:lineRule="auto"/>
        <w:ind w:firstLine="480" w:firstLineChars="20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点击“同意”按钮，即报名成功，并生成申请编号。</w:t>
      </w:r>
    </w:p>
    <w:p w14:paraId="5FE0E0FE">
      <w:pPr>
        <w:pStyle w:val="2"/>
      </w:pPr>
      <w:r>
        <w:drawing>
          <wp:inline distT="0" distB="0" distL="114300" distR="114300">
            <wp:extent cx="5266690" cy="1673225"/>
            <wp:effectExtent l="0" t="0" r="3810" b="317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7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66422">
      <w:r>
        <w:drawing>
          <wp:inline distT="0" distB="0" distL="114300" distR="114300">
            <wp:extent cx="5269865" cy="3725545"/>
            <wp:effectExtent l="0" t="0" r="635" b="825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72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41E5C">
      <w:pPr>
        <w:pStyle w:val="2"/>
      </w:pPr>
    </w:p>
    <w:p w14:paraId="4A14D950">
      <w:pPr>
        <w:pStyle w:val="2"/>
      </w:pPr>
      <w:r>
        <w:drawing>
          <wp:inline distT="0" distB="0" distL="114300" distR="114300">
            <wp:extent cx="5272405" cy="2896235"/>
            <wp:effectExtent l="0" t="0" r="10795" b="1206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9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8F1D5">
      <w:r>
        <w:drawing>
          <wp:inline distT="0" distB="0" distL="114300" distR="114300">
            <wp:extent cx="5269230" cy="2905125"/>
            <wp:effectExtent l="0" t="0" r="1270" b="3175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B5585">
      <w:r>
        <w:drawing>
          <wp:inline distT="0" distB="0" distL="114300" distR="114300">
            <wp:extent cx="5273675" cy="2998470"/>
            <wp:effectExtent l="0" t="0" r="9525" b="1143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5C71F">
      <w:pPr>
        <w:pStyle w:val="2"/>
        <w:ind w:left="0" w:leftChars="0" w:firstLine="0" w:firstLineChars="0"/>
      </w:pPr>
      <w:r>
        <w:drawing>
          <wp:inline distT="0" distB="0" distL="114300" distR="114300">
            <wp:extent cx="5269230" cy="3071495"/>
            <wp:effectExtent l="0" t="0" r="1270" b="190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7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C047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927985"/>
            <wp:effectExtent l="0" t="0" r="1270" b="5715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2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758BA">
      <w:pPr>
        <w:pStyle w:val="2"/>
        <w:rPr>
          <w:rFonts w:ascii="宋体" w:hAnsi="宋体" w:eastAsia="宋体" w:cs="Times New Roman"/>
          <w:sz w:val="24"/>
          <w:szCs w:val="24"/>
        </w:rPr>
      </w:pPr>
    </w:p>
    <w:p w14:paraId="0664F969">
      <w:pPr>
        <w:pStyle w:val="4"/>
        <w:rPr>
          <w:rFonts w:hint="eastAsia" w:ascii="宋体" w:hAnsi="宋体" w:eastAsia="宋体"/>
        </w:rPr>
      </w:pPr>
      <w:bookmarkStart w:id="19" w:name="_Toc15505"/>
      <w:r>
        <w:rPr>
          <w:rFonts w:hint="eastAsia" w:ascii="宋体" w:hAnsi="宋体" w:eastAsia="宋体"/>
        </w:rPr>
        <w:t>2.1.2 报名查询</w:t>
      </w:r>
      <w:bookmarkEnd w:id="19"/>
    </w:p>
    <w:p w14:paraId="005FBCB4">
      <w:pPr>
        <w:spacing w:before="62" w:beforeLines="20" w:after="62" w:afterLines="20" w:line="360" w:lineRule="auto"/>
        <w:ind w:firstLine="480" w:firstLineChars="20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竞买人点击菜单“</w:t>
      </w:r>
      <w:r>
        <w:rPr>
          <w:rFonts w:hint="eastAsia"/>
          <w:sz w:val="24"/>
          <w:szCs w:val="24"/>
          <w:lang w:val="en-US" w:eastAsia="zh-CN"/>
        </w:rPr>
        <w:t>竞买申请</w:t>
      </w:r>
      <w:r>
        <w:rPr>
          <w:rFonts w:hint="eastAsia"/>
          <w:sz w:val="24"/>
          <w:szCs w:val="24"/>
        </w:rPr>
        <w:t xml:space="preserve"> &gt;</w:t>
      </w:r>
      <w:r>
        <w:rPr>
          <w:rFonts w:hint="eastAsia"/>
          <w:sz w:val="24"/>
          <w:szCs w:val="24"/>
          <w:lang w:val="en-US" w:eastAsia="zh-CN"/>
        </w:rPr>
        <w:t>竞买</w:t>
      </w:r>
      <w:r>
        <w:rPr>
          <w:rFonts w:hint="eastAsia"/>
          <w:sz w:val="24"/>
          <w:szCs w:val="24"/>
        </w:rPr>
        <w:t xml:space="preserve">查询”, </w:t>
      </w:r>
      <w:r>
        <w:rPr>
          <w:rFonts w:hint="eastAsia"/>
          <w:sz w:val="24"/>
          <w:szCs w:val="24"/>
          <w:lang w:val="en-US" w:eastAsia="zh-CN"/>
        </w:rPr>
        <w:t>点击“查看”按钮，可以查看该项目的基本信息以及查看竞购申请书、承诺书。点击“取消申请”，即对该项目取消申请，如需再次申请，需要进入申请页面。</w:t>
      </w:r>
    </w:p>
    <w:p w14:paraId="6FCB7540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2D5FD">
      <w:pPr>
        <w:pStyle w:val="2"/>
        <w:ind w:left="0" w:leftChars="0" w:firstLine="0" w:firstLineChars="0"/>
      </w:pPr>
    </w:p>
    <w:p w14:paraId="44110E29">
      <w:pPr>
        <w:pStyle w:val="2"/>
        <w:ind w:left="0" w:leftChars="0" w:firstLine="0" w:firstLineChars="0"/>
      </w:pPr>
      <w:r>
        <w:drawing>
          <wp:inline distT="0" distB="0" distL="114300" distR="114300">
            <wp:extent cx="5273040" cy="3621405"/>
            <wp:effectExtent l="0" t="0" r="10160" b="10795"/>
            <wp:docPr id="2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62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D8C0F4"/>
    <w:p w14:paraId="7539E3F3">
      <w:pPr>
        <w:pStyle w:val="4"/>
        <w:rPr>
          <w:rFonts w:ascii="宋体" w:hAnsi="宋体" w:eastAsia="宋体"/>
        </w:rPr>
      </w:pPr>
      <w:bookmarkStart w:id="20" w:name="_Toc15883"/>
      <w:r>
        <w:rPr>
          <w:rFonts w:ascii="宋体" w:hAnsi="宋体" w:eastAsia="宋体"/>
        </w:rPr>
        <w:t xml:space="preserve">2.2 </w:t>
      </w:r>
      <w:r>
        <w:rPr>
          <w:rFonts w:hint="eastAsia" w:ascii="宋体" w:hAnsi="宋体" w:eastAsia="宋体"/>
        </w:rPr>
        <w:t>缴纳保证金</w:t>
      </w:r>
      <w:bookmarkEnd w:id="20"/>
      <w:r>
        <w:rPr>
          <w:rFonts w:ascii="宋体" w:hAnsi="宋体" w:eastAsia="宋体"/>
        </w:rPr>
        <w:t xml:space="preserve"> </w:t>
      </w:r>
    </w:p>
    <w:p w14:paraId="0D3741E6">
      <w:pPr>
        <w:spacing w:before="62" w:beforeLines="20" w:after="62" w:afterLines="20" w:line="360" w:lineRule="auto"/>
        <w:ind w:firstLine="480" w:firstLineChars="20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竞买人点击菜单“</w:t>
      </w:r>
      <w:r>
        <w:rPr>
          <w:rFonts w:hint="eastAsia"/>
          <w:sz w:val="24"/>
          <w:szCs w:val="24"/>
          <w:lang w:val="en-US" w:eastAsia="zh-CN"/>
        </w:rPr>
        <w:t>交易竞拍</w:t>
      </w:r>
      <w:r>
        <w:rPr>
          <w:rFonts w:hint="eastAsia"/>
          <w:sz w:val="24"/>
          <w:szCs w:val="24"/>
        </w:rPr>
        <w:t>”,</w:t>
      </w:r>
      <w:r>
        <w:rPr>
          <w:rFonts w:hint="eastAsia"/>
          <w:sz w:val="24"/>
          <w:szCs w:val="24"/>
          <w:lang w:val="en-US" w:eastAsia="zh-CN"/>
        </w:rPr>
        <w:t>点击“查看”按钮，可以查看项目信息及保证金信息等。</w:t>
      </w:r>
    </w:p>
    <w:p w14:paraId="3B7C872C">
      <w:pPr>
        <w:pStyle w:val="2"/>
      </w:pPr>
      <w:r>
        <w:drawing>
          <wp:inline distT="0" distB="0" distL="114300" distR="114300">
            <wp:extent cx="5266690" cy="2337435"/>
            <wp:effectExtent l="0" t="0" r="3810" b="12065"/>
            <wp:docPr id="2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B5932">
      <w:r>
        <w:drawing>
          <wp:inline distT="0" distB="0" distL="114300" distR="114300">
            <wp:extent cx="5272405" cy="3860800"/>
            <wp:effectExtent l="0" t="0" r="10795" b="0"/>
            <wp:docPr id="2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8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ED6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beforeLines="20" w:after="62" w:afterLines="20" w:line="360" w:lineRule="auto"/>
        <w:ind w:left="420" w:leftChars="200" w:firstLine="480" w:firstLineChars="200"/>
        <w:jc w:val="left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缴纳保证金”按钮，进入该项目的缴纳保证金子账号生成页面。选择对应的保证金缴纳银行，点击“生成保证金子账号”按钮，点击“是”，系统会生成缴纳保证金的子账号，竞投人进行缴纳保证金，竞投人必须成功缴纳保证金后，并由交易平台对账成功，转账成功后系统自动更新保证金缴纳状态，才能进行网上竞买出价。</w:t>
      </w:r>
    </w:p>
    <w:p w14:paraId="095B3549">
      <w:pPr>
        <w:spacing w:before="62" w:beforeLines="20" w:after="62" w:afterLines="20" w:line="360" w:lineRule="auto"/>
        <w:ind w:firstLine="420" w:firstLineChars="200"/>
        <w:rPr>
          <w:rFonts w:hint="default" w:eastAsiaTheme="minorEastAsia"/>
          <w:lang w:val="en-US" w:eastAsia="zh-CN"/>
        </w:rPr>
      </w:pPr>
    </w:p>
    <w:p w14:paraId="60DCB5D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beforeLines="20" w:after="62" w:afterLines="20" w:line="360" w:lineRule="auto"/>
        <w:ind w:firstLine="420" w:firstLineChars="200"/>
        <w:textAlignment w:val="auto"/>
        <w:rPr>
          <w:rFonts w:hint="eastAsia"/>
          <w:sz w:val="24"/>
          <w:szCs w:val="24"/>
        </w:rPr>
      </w:pPr>
      <w:r>
        <w:drawing>
          <wp:inline distT="0" distB="0" distL="114300" distR="114300">
            <wp:extent cx="5266690" cy="2337435"/>
            <wp:effectExtent l="0" t="0" r="3810" b="12065"/>
            <wp:docPr id="2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3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drawing>
          <wp:inline distT="0" distB="0" distL="114300" distR="114300">
            <wp:extent cx="5270500" cy="1405890"/>
            <wp:effectExtent l="0" t="0" r="0" b="3810"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0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95FFA">
      <w:pPr>
        <w:spacing w:before="62" w:beforeLines="20" w:after="62" w:afterLines="20" w:line="360" w:lineRule="auto"/>
        <w:rPr>
          <w:sz w:val="24"/>
          <w:szCs w:val="24"/>
        </w:rPr>
      </w:pPr>
      <w:r>
        <w:drawing>
          <wp:inline distT="0" distB="0" distL="114300" distR="114300">
            <wp:extent cx="4799965" cy="1974850"/>
            <wp:effectExtent l="0" t="0" r="635" b="6350"/>
            <wp:docPr id="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799965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br w:type="textWrapping"/>
      </w:r>
      <w:r>
        <w:rPr>
          <w:rFonts w:hint="eastAsia" w:ascii="宋体" w:hAnsi="宋体" w:eastAsia="宋体" w:cs="Times New Roman"/>
          <w:sz w:val="24"/>
          <w:szCs w:val="24"/>
        </w:rPr>
        <w:t>点击“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打印缴纳通知单</w:t>
      </w:r>
      <w:r>
        <w:rPr>
          <w:rFonts w:hint="eastAsia" w:ascii="宋体" w:hAnsi="宋体" w:eastAsia="宋体" w:cs="Times New Roman"/>
          <w:sz w:val="24"/>
          <w:szCs w:val="24"/>
        </w:rPr>
        <w:t>”按钮，可以下载及打印保证金缴纳信息。</w:t>
      </w:r>
    </w:p>
    <w:p w14:paraId="107ADA98">
      <w:pPr>
        <w:spacing w:before="62" w:beforeLines="20" w:after="62" w:afterLines="20" w:line="360" w:lineRule="auto"/>
        <w:ind w:firstLine="480" w:firstLineChars="200"/>
        <w:jc w:val="center"/>
        <w:rPr>
          <w:sz w:val="24"/>
          <w:szCs w:val="24"/>
        </w:rPr>
      </w:pPr>
    </w:p>
    <w:p w14:paraId="7E936B6E">
      <w:pPr>
        <w:spacing w:before="62" w:beforeLines="20" w:after="62" w:afterLines="20" w:line="360" w:lineRule="auto"/>
        <w:rPr>
          <w:sz w:val="24"/>
          <w:szCs w:val="24"/>
        </w:rPr>
      </w:pPr>
    </w:p>
    <w:p w14:paraId="6D6D5645">
      <w:pPr>
        <w:spacing w:before="62" w:beforeLines="20" w:after="62" w:afterLines="20" w:line="360" w:lineRule="auto"/>
        <w:rPr>
          <w:color w:val="FF0000"/>
          <w:sz w:val="24"/>
          <w:szCs w:val="24"/>
        </w:rPr>
      </w:pPr>
      <w:r>
        <w:drawing>
          <wp:inline distT="0" distB="0" distL="114300" distR="114300">
            <wp:extent cx="5273675" cy="2054225"/>
            <wp:effectExtent l="0" t="0" r="9525" b="3175"/>
            <wp:docPr id="3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0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2BDD1">
      <w:pPr>
        <w:pStyle w:val="4"/>
        <w:rPr>
          <w:rFonts w:ascii="宋体" w:hAnsi="宋体" w:eastAsia="宋体"/>
        </w:rPr>
      </w:pPr>
      <w:bookmarkStart w:id="21" w:name="_Toc23739"/>
      <w:r>
        <w:rPr>
          <w:rFonts w:ascii="宋体" w:hAnsi="宋体" w:eastAsia="宋体"/>
        </w:rPr>
        <w:t xml:space="preserve">2.3 </w:t>
      </w:r>
      <w:r>
        <w:rPr>
          <w:rFonts w:hint="eastAsia" w:ascii="宋体" w:hAnsi="宋体" w:eastAsia="宋体"/>
        </w:rPr>
        <w:t>交易竞价</w:t>
      </w:r>
      <w:bookmarkEnd w:id="21"/>
    </w:p>
    <w:p w14:paraId="4953ECCA">
      <w:pPr>
        <w:spacing w:before="62" w:beforeLines="20" w:after="62" w:afterLines="20" w:line="360" w:lineRule="auto"/>
        <w:ind w:firstLine="480" w:firstLineChars="200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竞买人点击菜单“</w:t>
      </w:r>
      <w:r>
        <w:rPr>
          <w:rFonts w:hint="eastAsia"/>
          <w:sz w:val="24"/>
          <w:szCs w:val="24"/>
          <w:lang w:val="en-US" w:eastAsia="zh-CN"/>
        </w:rPr>
        <w:t>交易竞拍</w:t>
      </w:r>
      <w:r>
        <w:rPr>
          <w:rFonts w:hint="eastAsia"/>
          <w:sz w:val="24"/>
          <w:szCs w:val="24"/>
        </w:rPr>
        <w:t xml:space="preserve"> &gt;</w:t>
      </w:r>
      <w:r>
        <w:rPr>
          <w:rFonts w:hint="eastAsia"/>
          <w:sz w:val="24"/>
          <w:szCs w:val="24"/>
          <w:lang w:val="en-US" w:eastAsia="zh-CN"/>
        </w:rPr>
        <w:t>查看</w:t>
      </w:r>
      <w:r>
        <w:rPr>
          <w:rFonts w:hint="eastAsia"/>
          <w:sz w:val="24"/>
          <w:szCs w:val="24"/>
        </w:rPr>
        <w:t>”, 交易报名查询页面</w:t>
      </w:r>
      <w:r>
        <w:rPr>
          <w:sz w:val="24"/>
          <w:szCs w:val="24"/>
        </w:rPr>
        <w:t>。</w:t>
      </w:r>
      <w:r>
        <w:rPr>
          <w:rFonts w:hint="eastAsia"/>
          <w:sz w:val="24"/>
          <w:szCs w:val="24"/>
          <w:lang w:val="en-US" w:eastAsia="zh-CN"/>
        </w:rPr>
        <w:t>查看保证金交纳详情，“状态”为“有效”，即有资格参与竞价。</w:t>
      </w:r>
    </w:p>
    <w:p w14:paraId="0139090D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3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5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7C971">
      <w:pPr>
        <w:pStyle w:val="2"/>
      </w:pPr>
      <w:r>
        <w:drawing>
          <wp:inline distT="0" distB="0" distL="114300" distR="114300">
            <wp:extent cx="5266690" cy="2019300"/>
            <wp:effectExtent l="0" t="0" r="3810" b="0"/>
            <wp:docPr id="3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F9C33">
      <w:pPr>
        <w:spacing w:before="62" w:beforeLines="20" w:after="62" w:afterLines="20" w:line="360" w:lineRule="auto"/>
        <w:ind w:firstLine="480" w:firstLineChars="200"/>
        <w:rPr>
          <w:sz w:val="24"/>
          <w:szCs w:val="24"/>
        </w:rPr>
      </w:pPr>
    </w:p>
    <w:p w14:paraId="4B2C6B7B">
      <w:pPr>
        <w:spacing w:before="62" w:beforeLines="20" w:after="62" w:afterLines="20" w:line="360" w:lineRule="auto"/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在交易报名查询页面中，点击“竞买出价”链接，进入竞买页面。</w:t>
      </w:r>
    </w:p>
    <w:p w14:paraId="7818D5BC">
      <w:pPr>
        <w:pStyle w:val="2"/>
        <w:rPr>
          <w:sz w:val="24"/>
          <w:szCs w:val="24"/>
        </w:rPr>
      </w:pPr>
      <w:r>
        <w:drawing>
          <wp:inline distT="0" distB="0" distL="114300" distR="114300">
            <wp:extent cx="5266690" cy="2337435"/>
            <wp:effectExtent l="0" t="0" r="3810" b="12065"/>
            <wp:docPr id="3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6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7FC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beforeLines="20" w:after="62" w:afterLines="20" w:line="360" w:lineRule="auto"/>
        <w:ind w:left="420" w:leftChars="200" w:firstLine="480" w:firstLineChars="200"/>
        <w:jc w:val="left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在竞买页面中，竞投人进行出价竞买。支持倍数报价、手工报价。</w:t>
      </w:r>
    </w:p>
    <w:p w14:paraId="7C8612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beforeLines="20" w:after="62" w:afterLines="20" w:line="360" w:lineRule="auto"/>
        <w:ind w:left="420" w:leftChars="200" w:firstLine="480" w:firstLineChars="200"/>
        <w:jc w:val="left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默认增价幅度报价；如需倍数报价，可以手动录入倍数；如需手工报价，注意出价必须大于当前最高出价且是增价幅度的整倍数。点击“确认出价”按钮，确认后不得撤回报价。</w:t>
      </w:r>
    </w:p>
    <w:p w14:paraId="675DBFA4">
      <w:pPr>
        <w:pStyle w:val="2"/>
        <w:ind w:left="0" w:leftChars="0" w:firstLine="0" w:firstLineChars="0"/>
      </w:pPr>
      <w:r>
        <w:drawing>
          <wp:inline distT="0" distB="0" distL="114300" distR="114300">
            <wp:extent cx="5603240" cy="2877820"/>
            <wp:effectExtent l="0" t="0" r="10160" b="5080"/>
            <wp:docPr id="3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9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03240" cy="287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0674E">
      <w:pPr>
        <w:spacing w:before="62" w:beforeLines="20" w:after="62" w:afterLines="20" w:line="360" w:lineRule="auto"/>
        <w:ind w:firstLine="420" w:firstLineChars="200"/>
        <w:rPr>
          <w:sz w:val="24"/>
          <w:szCs w:val="24"/>
        </w:rPr>
      </w:pPr>
      <w:r>
        <w:drawing>
          <wp:inline distT="0" distB="0" distL="114300" distR="114300">
            <wp:extent cx="5269230" cy="3539490"/>
            <wp:effectExtent l="0" t="0" r="1270" b="3810"/>
            <wp:docPr id="3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3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E1C47">
      <w:pPr>
        <w:spacing w:before="62" w:beforeLines="20" w:after="62" w:afterLines="20" w:line="360" w:lineRule="auto"/>
        <w:ind w:firstLine="480" w:firstLineChars="200"/>
        <w:rPr>
          <w:sz w:val="24"/>
          <w:szCs w:val="24"/>
        </w:rPr>
      </w:pPr>
    </w:p>
    <w:p w14:paraId="1D3E5A8B">
      <w:pPr>
        <w:spacing w:before="62" w:beforeLines="20" w:after="62" w:afterLines="20"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确认出价后，出价记录会显示出价记录，如果是当前角色出价，会显示“我的出价”标签。</w:t>
      </w:r>
    </w:p>
    <w:p w14:paraId="4E0E6C02">
      <w:pPr>
        <w:spacing w:before="62" w:beforeLines="20" w:after="62" w:afterLines="20" w:line="360" w:lineRule="auto"/>
        <w:ind w:firstLine="420" w:firstLineChars="200"/>
        <w:rPr>
          <w:sz w:val="24"/>
          <w:szCs w:val="24"/>
        </w:rPr>
      </w:pPr>
      <w:r>
        <w:drawing>
          <wp:inline distT="0" distB="0" distL="114300" distR="114300">
            <wp:extent cx="5267325" cy="3882390"/>
            <wp:effectExtent l="0" t="0" r="3175" b="3810"/>
            <wp:docPr id="3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343E1">
      <w:pPr>
        <w:spacing w:before="62" w:beforeLines="20" w:after="62" w:afterLines="20" w:line="360" w:lineRule="auto"/>
        <w:ind w:firstLine="480" w:firstLineChars="200"/>
        <w:rPr>
          <w:sz w:val="24"/>
          <w:szCs w:val="24"/>
        </w:rPr>
      </w:pPr>
    </w:p>
    <w:p w14:paraId="7CF33332">
      <w:pPr>
        <w:spacing w:before="62" w:beforeLines="20" w:after="62" w:afterLines="20"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当挂牌截止时间结束后，自动进入“延时竞价中”环节，延时竞价周期5分钟。在此期间若任意竞买人有新报出价，则所有竞买人立即进入延时竞价阶段。</w:t>
      </w:r>
    </w:p>
    <w:p w14:paraId="246A7D1F">
      <w:pPr>
        <w:spacing w:before="62" w:beforeLines="20" w:after="62" w:afterLines="20" w:line="360" w:lineRule="auto"/>
        <w:ind w:firstLine="420" w:firstLineChars="200"/>
        <w:rPr>
          <w:sz w:val="24"/>
          <w:szCs w:val="24"/>
        </w:rPr>
      </w:pPr>
      <w:r>
        <w:drawing>
          <wp:inline distT="0" distB="0" distL="114300" distR="114300">
            <wp:extent cx="5273675" cy="3754120"/>
            <wp:effectExtent l="0" t="0" r="9525" b="5080"/>
            <wp:docPr id="4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1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5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0F807">
      <w:pPr>
        <w:spacing w:before="62" w:beforeLines="20" w:after="62" w:afterLines="20" w:line="360" w:lineRule="auto"/>
        <w:ind w:firstLine="480" w:firstLineChars="20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竞价时间结束后，竞得人页面会显示“竞价成功”字眼，并提醒“请您按《挂牌文件》的要求办理相关手续”；其他竞投人页面会显示“竞价失败”字眼，并显示竞得人编号及竞得价。</w:t>
      </w:r>
    </w:p>
    <w:p w14:paraId="13BDEC2B">
      <w:pPr>
        <w:pStyle w:val="2"/>
      </w:pPr>
      <w:r>
        <w:drawing>
          <wp:inline distT="0" distB="0" distL="114300" distR="114300">
            <wp:extent cx="5269865" cy="3564255"/>
            <wp:effectExtent l="0" t="0" r="635" b="4445"/>
            <wp:docPr id="4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2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79D7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135" cy="3654425"/>
            <wp:effectExtent l="0" t="0" r="12065" b="3175"/>
            <wp:docPr id="4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3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5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05A79">
      <w:pPr>
        <w:pStyle w:val="4"/>
        <w:rPr>
          <w:rFonts w:ascii="宋体" w:hAnsi="宋体" w:eastAsia="宋体"/>
        </w:rPr>
      </w:pPr>
      <w:bookmarkStart w:id="22" w:name="_Toc30016"/>
      <w:r>
        <w:rPr>
          <w:rFonts w:ascii="宋体" w:hAnsi="宋体" w:eastAsia="宋体"/>
        </w:rPr>
        <w:t xml:space="preserve">2.4 </w:t>
      </w:r>
      <w:r>
        <w:rPr>
          <w:rFonts w:hint="eastAsia" w:ascii="宋体" w:hAnsi="宋体" w:eastAsia="宋体"/>
        </w:rPr>
        <w:t>查看成交通知书</w:t>
      </w:r>
      <w:bookmarkEnd w:id="22"/>
    </w:p>
    <w:p w14:paraId="4D172EEF">
      <w:pPr>
        <w:spacing w:before="62" w:beforeLines="20" w:after="62" w:afterLines="20" w:line="360" w:lineRule="auto"/>
        <w:ind w:firstLine="480" w:firstLineChars="200"/>
        <w:rPr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中心竞价结果公布后，竞投人竞价成功的，系统将发送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成交</w:t>
      </w:r>
      <w:r>
        <w:rPr>
          <w:rFonts w:hint="eastAsia" w:ascii="宋体" w:hAnsi="宋体" w:eastAsia="宋体" w:cs="Times New Roman"/>
          <w:sz w:val="24"/>
          <w:szCs w:val="24"/>
        </w:rPr>
        <w:t>通知书给中选企业。</w:t>
      </w:r>
      <w:r>
        <w:rPr>
          <w:rFonts w:hint="eastAsia"/>
          <w:sz w:val="24"/>
          <w:szCs w:val="24"/>
        </w:rPr>
        <w:t>竞得人点击菜单“交易竞价 &gt;查看成交通知书”, 接收成交通知书页面</w:t>
      </w:r>
      <w:r>
        <w:rPr>
          <w:sz w:val="24"/>
          <w:szCs w:val="24"/>
        </w:rPr>
        <w:t>。</w:t>
      </w:r>
    </w:p>
    <w:p w14:paraId="25C18308">
      <w:pPr>
        <w:spacing w:line="360" w:lineRule="auto"/>
        <w:ind w:left="594" w:leftChars="183" w:hanging="210" w:hangingChars="100"/>
        <w:rPr>
          <w:rFonts w:ascii="宋体" w:hAnsi="宋体" w:eastAsia="宋体" w:cs="Times New Roman"/>
          <w:sz w:val="24"/>
          <w:szCs w:val="24"/>
        </w:rPr>
      </w:pPr>
      <w:r>
        <w:drawing>
          <wp:inline distT="0" distB="0" distL="114300" distR="114300">
            <wp:extent cx="5266690" cy="2337435"/>
            <wp:effectExtent l="0" t="0" r="3810" b="12065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br w:type="textWrapping"/>
      </w:r>
      <w:r>
        <w:rPr>
          <w:rFonts w:hint="eastAsia" w:ascii="宋体" w:hAnsi="宋体" w:eastAsia="宋体" w:cs="Times New Roman"/>
          <w:sz w:val="24"/>
          <w:szCs w:val="24"/>
        </w:rPr>
        <w:t>进入接收成交通知书面，点击“查看”可以查看附件及下载成交通知书。</w:t>
      </w:r>
    </w:p>
    <w:p w14:paraId="3C9C6406">
      <w:pPr>
        <w:spacing w:before="62" w:beforeLines="20" w:after="62" w:afterLines="20" w:line="360" w:lineRule="auto"/>
        <w:ind w:firstLine="420" w:firstLineChars="200"/>
        <w:rPr>
          <w:sz w:val="24"/>
          <w:szCs w:val="24"/>
        </w:rPr>
      </w:pPr>
      <w:r>
        <w:drawing>
          <wp:inline distT="0" distB="0" distL="114300" distR="114300">
            <wp:extent cx="5271135" cy="1564005"/>
            <wp:effectExtent l="0" t="0" r="12065" b="10795"/>
            <wp:docPr id="2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56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drawing>
          <wp:inline distT="0" distB="0" distL="114300" distR="114300">
            <wp:extent cx="5264150" cy="2393315"/>
            <wp:effectExtent l="0" t="0" r="6350" b="6985"/>
            <wp:docPr id="3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9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32E7E">
      <w:pPr>
        <w:pStyle w:val="4"/>
        <w:rPr>
          <w:rFonts w:ascii="宋体" w:hAnsi="宋体" w:eastAsia="宋体"/>
        </w:rPr>
      </w:pPr>
      <w:bookmarkStart w:id="23" w:name="_Toc29734"/>
      <w:r>
        <w:rPr>
          <w:rFonts w:ascii="宋体" w:hAnsi="宋体" w:eastAsia="宋体"/>
        </w:rPr>
        <w:t xml:space="preserve">2.5 </w:t>
      </w:r>
      <w:r>
        <w:rPr>
          <w:rFonts w:hint="eastAsia" w:ascii="宋体" w:hAnsi="宋体" w:eastAsia="宋体"/>
        </w:rPr>
        <w:t>提交资格材料</w:t>
      </w:r>
      <w:bookmarkEnd w:id="23"/>
    </w:p>
    <w:p w14:paraId="5E6169D0">
      <w:pPr>
        <w:spacing w:before="62" w:beforeLines="20" w:after="62" w:afterLines="20"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项目资格审查方式为后审，需要竞得人</w:t>
      </w:r>
      <w:r>
        <w:rPr>
          <w:rFonts w:hint="eastAsia"/>
          <w:sz w:val="24"/>
          <w:szCs w:val="24"/>
          <w:lang w:val="en-US" w:eastAsia="zh-CN"/>
        </w:rPr>
        <w:t>上传</w:t>
      </w:r>
      <w:r>
        <w:rPr>
          <w:rFonts w:hint="eastAsia"/>
          <w:sz w:val="24"/>
          <w:szCs w:val="24"/>
        </w:rPr>
        <w:t>资格审查材料，竞得人点击菜单“</w:t>
      </w:r>
      <w:r>
        <w:rPr>
          <w:rFonts w:hint="eastAsia"/>
          <w:sz w:val="24"/>
          <w:szCs w:val="24"/>
          <w:lang w:val="en-US" w:eastAsia="zh-CN"/>
        </w:rPr>
        <w:t>资格审查</w:t>
      </w:r>
      <w:r>
        <w:rPr>
          <w:rFonts w:hint="eastAsia"/>
          <w:sz w:val="24"/>
          <w:szCs w:val="24"/>
        </w:rPr>
        <w:t xml:space="preserve"> &gt;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提交资格材料”，进入上传报名资格审查材料页面，该页面中显示需要上传资格审核的项目。</w:t>
      </w:r>
    </w:p>
    <w:p w14:paraId="2BF8431B">
      <w:pPr>
        <w:pStyle w:val="18"/>
        <w:ind w:left="645" w:firstLine="0" w:firstLineChars="0"/>
      </w:pPr>
    </w:p>
    <w:p w14:paraId="280139AF">
      <w:pPr>
        <w:pStyle w:val="18"/>
        <w:ind w:left="645" w:firstLine="0" w:firstLineChars="0"/>
      </w:pPr>
      <w:r>
        <w:drawing>
          <wp:inline distT="0" distB="0" distL="114300" distR="114300">
            <wp:extent cx="5266690" cy="2337435"/>
            <wp:effectExtent l="0" t="0" r="3810" b="12065"/>
            <wp:docPr id="4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5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4BA99">
      <w:pPr>
        <w:spacing w:before="62" w:beforeLines="20" w:after="62" w:afterLines="20" w:line="360" w:lineRule="auto"/>
        <w:ind w:firstLine="480" w:firstLineChars="200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在上传报名资格审查材料页面中点击“上传”按钮，进入竞投人报名资格材料提交页面。</w:t>
      </w:r>
      <w:r>
        <w:rPr>
          <w:rFonts w:hint="eastAsia"/>
          <w:sz w:val="24"/>
          <w:szCs w:val="24"/>
          <w:lang w:val="en-US" w:eastAsia="zh-CN"/>
        </w:rPr>
        <w:t>在资格审查材料清单中，成交通知书、竞买申请书以及竞买资格确认书可以点击“同步系统附件”，会自动联动对应文件出来。其他材料点击“上传”对应附件即可。在其他相关材料处可以上传其他材料。上传完成后点击“提交”按钮，流程流转到交易中心审核。</w:t>
      </w:r>
    </w:p>
    <w:p w14:paraId="59A18E53">
      <w:pPr>
        <w:rPr>
          <w:kern w:val="0"/>
          <w:sz w:val="20"/>
          <w:szCs w:val="20"/>
        </w:rPr>
      </w:pPr>
      <w:r>
        <w:t xml:space="preserve"> </w:t>
      </w:r>
      <w:r>
        <w:drawing>
          <wp:inline distT="0" distB="0" distL="114300" distR="114300">
            <wp:extent cx="5266690" cy="2337435"/>
            <wp:effectExtent l="0" t="0" r="3810" b="12065"/>
            <wp:docPr id="4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ED8C3">
      <w:pPr>
        <w:pStyle w:val="4"/>
        <w:rPr>
          <w:rFonts w:ascii="宋体" w:hAnsi="宋体" w:eastAsia="宋体"/>
        </w:rPr>
      </w:pPr>
      <w:bookmarkStart w:id="24" w:name="_Toc27527"/>
      <w:r>
        <w:rPr>
          <w:rFonts w:hint="eastAsia" w:ascii="宋体" w:hAnsi="宋体" w:eastAsia="宋体"/>
        </w:rPr>
        <w:t>2.</w:t>
      </w:r>
      <w:r>
        <w:rPr>
          <w:rFonts w:ascii="宋体" w:hAnsi="宋体" w:eastAsia="宋体"/>
        </w:rPr>
        <w:t xml:space="preserve">6 </w:t>
      </w:r>
      <w:r>
        <w:rPr>
          <w:rFonts w:hint="eastAsia" w:ascii="宋体" w:hAnsi="宋体" w:eastAsia="宋体"/>
        </w:rPr>
        <w:t>成交确认书签订</w:t>
      </w:r>
      <w:bookmarkEnd w:id="24"/>
    </w:p>
    <w:p w14:paraId="3CDA43C4">
      <w:pPr>
        <w:spacing w:before="62" w:beforeLines="20" w:after="62" w:afterLines="20" w:line="360" w:lineRule="auto"/>
        <w:ind w:firstLine="480" w:firstLineChars="200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竞得人点击菜单“</w:t>
      </w:r>
      <w:r>
        <w:rPr>
          <w:rFonts w:hint="eastAsia"/>
          <w:sz w:val="24"/>
          <w:szCs w:val="24"/>
          <w:lang w:val="en-US" w:eastAsia="zh-CN"/>
        </w:rPr>
        <w:t>成交确认</w:t>
      </w:r>
      <w:r>
        <w:rPr>
          <w:rFonts w:hint="eastAsia"/>
          <w:sz w:val="24"/>
          <w:szCs w:val="24"/>
        </w:rPr>
        <w:t>&gt;成交确认书</w:t>
      </w:r>
      <w:r>
        <w:rPr>
          <w:rFonts w:hint="eastAsia"/>
          <w:sz w:val="24"/>
          <w:szCs w:val="24"/>
          <w:lang w:val="en-US" w:eastAsia="zh-CN"/>
        </w:rPr>
        <w:t>签章（竞得人）</w:t>
      </w:r>
      <w:r>
        <w:rPr>
          <w:rFonts w:hint="eastAsia"/>
          <w:sz w:val="24"/>
          <w:szCs w:val="24"/>
        </w:rPr>
        <w:t>”，进入成交确认</w:t>
      </w:r>
      <w:r>
        <w:rPr>
          <w:rFonts w:hint="eastAsia"/>
          <w:sz w:val="24"/>
          <w:szCs w:val="24"/>
          <w:lang w:val="en-US" w:eastAsia="zh-CN"/>
        </w:rPr>
        <w:t>处理页</w:t>
      </w:r>
      <w:r>
        <w:rPr>
          <w:rFonts w:hint="eastAsia"/>
          <w:sz w:val="24"/>
          <w:szCs w:val="24"/>
        </w:rPr>
        <w:t>。</w:t>
      </w:r>
      <w:r>
        <w:rPr>
          <w:rFonts w:hint="eastAsia"/>
          <w:sz w:val="24"/>
          <w:szCs w:val="24"/>
          <w:lang w:val="en-US" w:eastAsia="zh-CN"/>
        </w:rPr>
        <w:t>点击“查看附件”按钮，可以查看成交通知书，点击“在线签章”按钮，对该文件进行电子签章。</w:t>
      </w:r>
    </w:p>
    <w:p w14:paraId="5DE04705">
      <w:pPr>
        <w:pStyle w:val="2"/>
      </w:pPr>
      <w:r>
        <w:drawing>
          <wp:inline distT="0" distB="0" distL="114300" distR="114300">
            <wp:extent cx="5266690" cy="1574800"/>
            <wp:effectExtent l="0" t="0" r="381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53B40">
      <w:r>
        <w:drawing>
          <wp:inline distT="0" distB="0" distL="114300" distR="114300">
            <wp:extent cx="5266690" cy="1953260"/>
            <wp:effectExtent l="0" t="0" r="3810" b="2540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5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B59BB">
      <w:pPr>
        <w:pStyle w:val="2"/>
      </w:pPr>
      <w:r>
        <w:drawing>
          <wp:inline distT="0" distB="0" distL="114300" distR="114300">
            <wp:extent cx="5273675" cy="3360420"/>
            <wp:effectExtent l="0" t="0" r="9525" b="5080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6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11C15">
      <w:pPr>
        <w:spacing w:before="62" w:beforeLines="20" w:after="62" w:afterLines="20" w:line="360" w:lineRule="auto"/>
        <w:ind w:firstLine="480" w:firstLineChars="20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完成签章后，点击“确认”按钮，完成成交确认书签章确认。</w:t>
      </w:r>
    </w:p>
    <w:p w14:paraId="28686868">
      <w:r>
        <w:drawing>
          <wp:inline distT="0" distB="0" distL="114300" distR="114300">
            <wp:extent cx="5266690" cy="1945005"/>
            <wp:effectExtent l="0" t="0" r="3810" b="10795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20F15">
      <w:pPr>
        <w:pStyle w:val="4"/>
        <w:rPr>
          <w:rFonts w:hint="eastAsia" w:ascii="宋体" w:hAnsi="宋体" w:eastAsia="宋体"/>
          <w:lang w:val="en-US" w:eastAsia="zh-CN"/>
        </w:rPr>
      </w:pPr>
      <w:bookmarkStart w:id="25" w:name="_Toc221"/>
      <w:r>
        <w:rPr>
          <w:rFonts w:hint="eastAsia" w:ascii="宋体" w:hAnsi="宋体" w:eastAsia="宋体"/>
          <w:lang w:val="en-US" w:eastAsia="zh-CN"/>
        </w:rPr>
        <w:t>2.7 合同签订</w:t>
      </w:r>
      <w:bookmarkEnd w:id="25"/>
    </w:p>
    <w:p w14:paraId="4C7BB593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竞得人点击菜单“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合同签订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&gt;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合同签章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“签章”按钮，进入竞得人签章处理页。对合同检查无误后，点击“竞得人签章”按钮，对合同进行签章，点击“提交给业主确认”按钮，流程流转至出让人；如需修改合同内容，点击“退回修改”按钮，退回给出让人修改合同。</w:t>
      </w:r>
    </w:p>
    <w:p w14:paraId="5EF0D79A">
      <w:pPr>
        <w:pStyle w:val="2"/>
      </w:pPr>
      <w:r>
        <w:drawing>
          <wp:inline distT="0" distB="0" distL="114300" distR="114300">
            <wp:extent cx="5266690" cy="1706245"/>
            <wp:effectExtent l="0" t="0" r="3810" b="8255"/>
            <wp:docPr id="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0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1CA1E">
      <w:r>
        <w:drawing>
          <wp:inline distT="0" distB="0" distL="114300" distR="114300">
            <wp:extent cx="5266690" cy="2232660"/>
            <wp:effectExtent l="0" t="0" r="3810" b="2540"/>
            <wp:docPr id="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3A0CD">
      <w:pPr>
        <w:pStyle w:val="2"/>
      </w:pPr>
      <w:r>
        <w:drawing>
          <wp:inline distT="0" distB="0" distL="114300" distR="114300">
            <wp:extent cx="5266690" cy="2271395"/>
            <wp:effectExtent l="0" t="0" r="3810" b="1905"/>
            <wp:docPr id="4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3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271395"/>
            <wp:effectExtent l="0" t="0" r="3810" b="1905"/>
            <wp:docPr id="4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127FC">
      <w:pPr>
        <w:pStyle w:val="4"/>
        <w:rPr>
          <w:rFonts w:ascii="宋体" w:hAnsi="宋体" w:eastAsia="宋体"/>
        </w:rPr>
      </w:pPr>
      <w:bookmarkStart w:id="26" w:name="_Toc1887"/>
      <w:r>
        <w:rPr>
          <w:rFonts w:ascii="宋体" w:hAnsi="宋体" w:eastAsia="宋体"/>
        </w:rPr>
        <w:t>2.</w:t>
      </w:r>
      <w:r>
        <w:rPr>
          <w:rFonts w:hint="eastAsia" w:ascii="宋体" w:hAnsi="宋体" w:eastAsia="宋体"/>
          <w:lang w:val="en-US" w:eastAsia="zh-CN"/>
        </w:rPr>
        <w:t xml:space="preserve">8 </w:t>
      </w:r>
      <w:r>
        <w:rPr>
          <w:rFonts w:hint="eastAsia" w:ascii="宋体" w:hAnsi="宋体" w:eastAsia="宋体"/>
        </w:rPr>
        <w:t>退保证金</w:t>
      </w:r>
      <w:bookmarkEnd w:id="26"/>
    </w:p>
    <w:p w14:paraId="079652F2">
      <w:pPr>
        <w:spacing w:before="62" w:beforeLines="20" w:after="62" w:afterLines="20" w:line="360" w:lineRule="auto"/>
        <w:ind w:firstLine="240" w:firstLineChars="100"/>
        <w:rPr>
          <w:sz w:val="24"/>
          <w:szCs w:val="24"/>
        </w:rPr>
      </w:pPr>
      <w:r>
        <w:rPr>
          <w:rFonts w:hint="eastAsia"/>
          <w:sz w:val="24"/>
          <w:szCs w:val="24"/>
        </w:rPr>
        <w:t>竞得人退保方式：出让人发起》经办受理 》部长审核 》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分管领导审核</w:t>
      </w:r>
      <w:r>
        <w:rPr>
          <w:rFonts w:hint="eastAsia"/>
          <w:sz w:val="24"/>
          <w:szCs w:val="24"/>
        </w:rPr>
        <w:t xml:space="preserve"> 》</w:t>
      </w:r>
      <w:r>
        <w:rPr>
          <w:rFonts w:hint="eastAsia"/>
          <w:sz w:val="24"/>
          <w:szCs w:val="24"/>
          <w:lang w:val="en-US" w:eastAsia="zh-CN"/>
        </w:rPr>
        <w:t>主任审核</w:t>
      </w:r>
      <w:r>
        <w:rPr>
          <w:rFonts w:hint="eastAsia"/>
          <w:sz w:val="24"/>
          <w:szCs w:val="24"/>
        </w:rPr>
        <w:t xml:space="preserve"> 》</w:t>
      </w:r>
      <w:r>
        <w:rPr>
          <w:rFonts w:hint="eastAsia"/>
          <w:sz w:val="24"/>
          <w:szCs w:val="24"/>
          <w:lang w:val="en-US" w:eastAsia="zh-CN"/>
        </w:rPr>
        <w:t>财务经办，财务经办接收信息后，在银行系统端发起竞得人保证金的转账处理。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 xml:space="preserve"> </w:t>
      </w:r>
    </w:p>
    <w:p w14:paraId="7AEAD576">
      <w:pPr>
        <w:spacing w:before="62" w:beforeLines="20" w:after="62" w:afterLines="20" w:line="360" w:lineRule="auto"/>
        <w:ind w:firstLine="240" w:firstLineChars="100"/>
        <w:rPr>
          <w:rFonts w:hint="default"/>
          <w:lang w:val="en-US" w:eastAsia="zh-CN"/>
        </w:rPr>
      </w:pPr>
      <w:r>
        <w:rPr>
          <w:rFonts w:hint="eastAsia"/>
          <w:sz w:val="24"/>
          <w:szCs w:val="24"/>
        </w:rPr>
        <w:t>未竞得人退保方式：竞价结束后系统</w:t>
      </w:r>
      <w:r>
        <w:rPr>
          <w:rFonts w:hint="eastAsia"/>
          <w:sz w:val="24"/>
          <w:szCs w:val="24"/>
          <w:lang w:val="en-US" w:eastAsia="zh-CN"/>
        </w:rPr>
        <w:t>自动退保。</w:t>
      </w:r>
    </w:p>
    <w:p w14:paraId="7FA9424C">
      <w:pPr>
        <w:pStyle w:val="4"/>
        <w:rPr>
          <w:rFonts w:ascii="宋体" w:hAnsi="宋体" w:eastAsia="宋体"/>
        </w:rPr>
      </w:pPr>
      <w:bookmarkStart w:id="27" w:name="_Toc13694"/>
      <w:bookmarkStart w:id="28" w:name="_Toc44691330"/>
      <w:r>
        <w:rPr>
          <w:rFonts w:hint="eastAsia" w:ascii="宋体" w:hAnsi="宋体" w:eastAsia="宋体"/>
        </w:rPr>
        <w:t>2.</w:t>
      </w:r>
      <w:r>
        <w:rPr>
          <w:rFonts w:hint="eastAsia" w:ascii="宋体" w:hAnsi="宋体" w:eastAsia="宋体"/>
          <w:lang w:val="en-US" w:eastAsia="zh-CN"/>
        </w:rPr>
        <w:t>9</w:t>
      </w:r>
      <w:r>
        <w:rPr>
          <w:rFonts w:ascii="宋体" w:hAnsi="宋体" w:eastAsia="宋体"/>
        </w:rPr>
        <w:t xml:space="preserve"> </w:t>
      </w:r>
      <w:r>
        <w:rPr>
          <w:rFonts w:hint="eastAsia" w:ascii="宋体" w:hAnsi="宋体" w:eastAsia="宋体"/>
        </w:rPr>
        <w:t>技术支持</w:t>
      </w:r>
      <w:bookmarkEnd w:id="27"/>
      <w:bookmarkEnd w:id="28"/>
      <w:bookmarkStart w:id="29" w:name="_GoBack"/>
      <w:bookmarkEnd w:id="29"/>
    </w:p>
    <w:p w14:paraId="4144B962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技术支持联系人：</w:t>
      </w:r>
    </w:p>
    <w:p w14:paraId="712DC6D1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郭工：13929310456</w:t>
      </w:r>
    </w:p>
    <w:p w14:paraId="173B64E1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时间（周一至周五）：8：30-12：00   14：30-18：00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4D742D9"/>
    <w:multiLevelType w:val="singleLevel"/>
    <w:tmpl w:val="84D742D9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A5299742"/>
    <w:multiLevelType w:val="singleLevel"/>
    <w:tmpl w:val="A5299742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2">
    <w:nsid w:val="C6750957"/>
    <w:multiLevelType w:val="singleLevel"/>
    <w:tmpl w:val="C6750957"/>
    <w:lvl w:ilvl="0" w:tentative="0">
      <w:start w:val="2"/>
      <w:numFmt w:val="decimal"/>
      <w:suff w:val="nothing"/>
      <w:lvlText w:val="%1、"/>
      <w:lvlJc w:val="left"/>
    </w:lvl>
  </w:abstractNum>
  <w:abstractNum w:abstractNumId="3">
    <w:nsid w:val="E772A3EA"/>
    <w:multiLevelType w:val="multilevel"/>
    <w:tmpl w:val="E772A3EA"/>
    <w:lvl w:ilvl="0" w:tentative="0">
      <w:start w:val="1"/>
      <w:numFmt w:val="chineseCounting"/>
      <w:lvlText w:val="%1."/>
      <w:lvlJc w:val="left"/>
      <w:pPr>
        <w:tabs>
          <w:tab w:val="left" w:pos="420"/>
        </w:tabs>
        <w:ind w:left="420" w:hanging="420"/>
      </w:pPr>
      <w:rPr>
        <w:rFonts w:hint="eastAsia" w:ascii="宋体" w:hAnsi="宋体" w:eastAsia="宋体" w:cs="宋体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hint="eastAsia"/>
      </w:r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  <w:rPr>
        <w:rFonts w:hint="eastAsia"/>
      </w:rPr>
    </w:lvl>
  </w:abstractNum>
  <w:abstractNum w:abstractNumId="4">
    <w:nsid w:val="0CC6DB61"/>
    <w:multiLevelType w:val="singleLevel"/>
    <w:tmpl w:val="0CC6DB61"/>
    <w:lvl w:ilvl="0" w:tentative="0">
      <w:start w:val="1"/>
      <w:numFmt w:val="chineseCounting"/>
      <w:suff w:val="space"/>
      <w:lvlText w:val="（%1）"/>
      <w:lvlJc w:val="left"/>
      <w:rPr>
        <w:rFonts w:hint="eastAsia"/>
      </w:rPr>
    </w:lvl>
  </w:abstractNum>
  <w:abstractNum w:abstractNumId="5">
    <w:nsid w:val="421623F7"/>
    <w:multiLevelType w:val="singleLevel"/>
    <w:tmpl w:val="421623F7"/>
    <w:lvl w:ilvl="0" w:tentative="0">
      <w:start w:val="1"/>
      <w:numFmt w:val="decimal"/>
      <w:suff w:val="nothing"/>
      <w:lvlText w:val="%1、"/>
      <w:lvlJc w:val="left"/>
    </w:lvl>
  </w:abstractNum>
  <w:abstractNum w:abstractNumId="6">
    <w:nsid w:val="49773AA2"/>
    <w:multiLevelType w:val="multilevel"/>
    <w:tmpl w:val="49773AA2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4200" w:hanging="420"/>
      </w:pPr>
      <w:rPr>
        <w:rFonts w:hint="default" w:ascii="Wingdings" w:hAnsi="Wingdings"/>
      </w:rPr>
    </w:lvl>
  </w:abstractNum>
  <w:num w:numId="1">
    <w:abstractNumId w:val="3"/>
  </w:num>
  <w:num w:numId="2">
    <w:abstractNumId w:val="5"/>
  </w:num>
  <w:num w:numId="3">
    <w:abstractNumId w:val="0"/>
  </w:num>
  <w:num w:numId="4">
    <w:abstractNumId w:val="6"/>
  </w:num>
  <w:num w:numId="5">
    <w:abstractNumId w:val="1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E2M2I5ODA2ZGEyZTlmMDdlZWMwOTg0ZjRhZjcyMDcifQ=="/>
  </w:docVars>
  <w:rsids>
    <w:rsidRoot w:val="00FD3A10"/>
    <w:rsid w:val="00030550"/>
    <w:rsid w:val="0003300B"/>
    <w:rsid w:val="000470FF"/>
    <w:rsid w:val="000665F5"/>
    <w:rsid w:val="00094892"/>
    <w:rsid w:val="00096CBA"/>
    <w:rsid w:val="000A4AD4"/>
    <w:rsid w:val="000B1CD1"/>
    <w:rsid w:val="000D2B9A"/>
    <w:rsid w:val="000D42DB"/>
    <w:rsid w:val="00103156"/>
    <w:rsid w:val="00103F9C"/>
    <w:rsid w:val="00107FAF"/>
    <w:rsid w:val="00131966"/>
    <w:rsid w:val="00151A61"/>
    <w:rsid w:val="001553F4"/>
    <w:rsid w:val="00174962"/>
    <w:rsid w:val="001A459E"/>
    <w:rsid w:val="001C1E32"/>
    <w:rsid w:val="001F1161"/>
    <w:rsid w:val="00251D9B"/>
    <w:rsid w:val="00272D7B"/>
    <w:rsid w:val="00286012"/>
    <w:rsid w:val="00286F0B"/>
    <w:rsid w:val="002913D3"/>
    <w:rsid w:val="002B4ECC"/>
    <w:rsid w:val="002C0FA3"/>
    <w:rsid w:val="002D0DE0"/>
    <w:rsid w:val="0030384E"/>
    <w:rsid w:val="003325E3"/>
    <w:rsid w:val="00333560"/>
    <w:rsid w:val="003B23DD"/>
    <w:rsid w:val="003B4A3D"/>
    <w:rsid w:val="00401340"/>
    <w:rsid w:val="00412B8C"/>
    <w:rsid w:val="00431D38"/>
    <w:rsid w:val="00476C98"/>
    <w:rsid w:val="004A6C4D"/>
    <w:rsid w:val="004B2968"/>
    <w:rsid w:val="00503034"/>
    <w:rsid w:val="00505B0D"/>
    <w:rsid w:val="005279A1"/>
    <w:rsid w:val="005376BA"/>
    <w:rsid w:val="00554033"/>
    <w:rsid w:val="00595F24"/>
    <w:rsid w:val="005A5533"/>
    <w:rsid w:val="005D64CF"/>
    <w:rsid w:val="005F0D52"/>
    <w:rsid w:val="00625D9B"/>
    <w:rsid w:val="00636581"/>
    <w:rsid w:val="00654636"/>
    <w:rsid w:val="00691701"/>
    <w:rsid w:val="006A1161"/>
    <w:rsid w:val="006B17D2"/>
    <w:rsid w:val="006F06A2"/>
    <w:rsid w:val="00712A0C"/>
    <w:rsid w:val="0072255C"/>
    <w:rsid w:val="007A2AEC"/>
    <w:rsid w:val="007B3487"/>
    <w:rsid w:val="007B6720"/>
    <w:rsid w:val="007B7414"/>
    <w:rsid w:val="007B7475"/>
    <w:rsid w:val="007E58D1"/>
    <w:rsid w:val="007E5A90"/>
    <w:rsid w:val="007E7B83"/>
    <w:rsid w:val="007F36AC"/>
    <w:rsid w:val="008411D7"/>
    <w:rsid w:val="00843179"/>
    <w:rsid w:val="00844109"/>
    <w:rsid w:val="008621DB"/>
    <w:rsid w:val="00885567"/>
    <w:rsid w:val="00892CBF"/>
    <w:rsid w:val="008A1E3F"/>
    <w:rsid w:val="008D009B"/>
    <w:rsid w:val="009248FF"/>
    <w:rsid w:val="009277D6"/>
    <w:rsid w:val="00933108"/>
    <w:rsid w:val="009376F2"/>
    <w:rsid w:val="00952136"/>
    <w:rsid w:val="0095449E"/>
    <w:rsid w:val="00956A19"/>
    <w:rsid w:val="00985EA5"/>
    <w:rsid w:val="009E6E57"/>
    <w:rsid w:val="00A023E0"/>
    <w:rsid w:val="00A07003"/>
    <w:rsid w:val="00A25376"/>
    <w:rsid w:val="00A32282"/>
    <w:rsid w:val="00AA3547"/>
    <w:rsid w:val="00AB22B6"/>
    <w:rsid w:val="00AB2377"/>
    <w:rsid w:val="00AE3A2E"/>
    <w:rsid w:val="00B073DC"/>
    <w:rsid w:val="00B4019C"/>
    <w:rsid w:val="00B444AE"/>
    <w:rsid w:val="00B51FCD"/>
    <w:rsid w:val="00B70FC0"/>
    <w:rsid w:val="00B72E01"/>
    <w:rsid w:val="00B73D13"/>
    <w:rsid w:val="00B91E1A"/>
    <w:rsid w:val="00B927AC"/>
    <w:rsid w:val="00BE65EC"/>
    <w:rsid w:val="00C05154"/>
    <w:rsid w:val="00C079E1"/>
    <w:rsid w:val="00C15939"/>
    <w:rsid w:val="00C273F2"/>
    <w:rsid w:val="00CD4065"/>
    <w:rsid w:val="00CE39AC"/>
    <w:rsid w:val="00D16B9D"/>
    <w:rsid w:val="00D40931"/>
    <w:rsid w:val="00D44184"/>
    <w:rsid w:val="00D60D17"/>
    <w:rsid w:val="00DB7559"/>
    <w:rsid w:val="00DB7561"/>
    <w:rsid w:val="00DC7D72"/>
    <w:rsid w:val="00E36506"/>
    <w:rsid w:val="00E61817"/>
    <w:rsid w:val="00E64E36"/>
    <w:rsid w:val="00E70618"/>
    <w:rsid w:val="00E77F8A"/>
    <w:rsid w:val="00E87D3F"/>
    <w:rsid w:val="00EE6FF7"/>
    <w:rsid w:val="00F10470"/>
    <w:rsid w:val="00F12A77"/>
    <w:rsid w:val="00F204A8"/>
    <w:rsid w:val="00F452C6"/>
    <w:rsid w:val="00F62483"/>
    <w:rsid w:val="00FD3A10"/>
    <w:rsid w:val="00FD7D09"/>
    <w:rsid w:val="00FE1223"/>
    <w:rsid w:val="03040285"/>
    <w:rsid w:val="0431648C"/>
    <w:rsid w:val="044163B3"/>
    <w:rsid w:val="04A44EF6"/>
    <w:rsid w:val="04F33787"/>
    <w:rsid w:val="061B11E8"/>
    <w:rsid w:val="07245E7A"/>
    <w:rsid w:val="072D4D2F"/>
    <w:rsid w:val="097B0BFE"/>
    <w:rsid w:val="0A540824"/>
    <w:rsid w:val="0B9E10CF"/>
    <w:rsid w:val="0C436DA2"/>
    <w:rsid w:val="0C7813B4"/>
    <w:rsid w:val="0D913B3D"/>
    <w:rsid w:val="0ED2440E"/>
    <w:rsid w:val="0F423341"/>
    <w:rsid w:val="0F916077"/>
    <w:rsid w:val="10615FAB"/>
    <w:rsid w:val="11047F88"/>
    <w:rsid w:val="11332BDF"/>
    <w:rsid w:val="114033E0"/>
    <w:rsid w:val="11BD1BAD"/>
    <w:rsid w:val="130354DD"/>
    <w:rsid w:val="130F79DE"/>
    <w:rsid w:val="13223BB5"/>
    <w:rsid w:val="1371577D"/>
    <w:rsid w:val="1380268A"/>
    <w:rsid w:val="140137CB"/>
    <w:rsid w:val="153361F3"/>
    <w:rsid w:val="15A85EC8"/>
    <w:rsid w:val="16337837"/>
    <w:rsid w:val="165D7462"/>
    <w:rsid w:val="16A20B69"/>
    <w:rsid w:val="170854A6"/>
    <w:rsid w:val="196A1E12"/>
    <w:rsid w:val="1A314CED"/>
    <w:rsid w:val="1A58610F"/>
    <w:rsid w:val="1ABD41C4"/>
    <w:rsid w:val="1B7C407F"/>
    <w:rsid w:val="1C2A7C5F"/>
    <w:rsid w:val="1CBF337A"/>
    <w:rsid w:val="1EA348BD"/>
    <w:rsid w:val="1F516D5F"/>
    <w:rsid w:val="1F751511"/>
    <w:rsid w:val="21C36564"/>
    <w:rsid w:val="222D7E81"/>
    <w:rsid w:val="25205A7B"/>
    <w:rsid w:val="25697422"/>
    <w:rsid w:val="2630355D"/>
    <w:rsid w:val="27384610"/>
    <w:rsid w:val="27775FE2"/>
    <w:rsid w:val="285048C9"/>
    <w:rsid w:val="28C037FD"/>
    <w:rsid w:val="293E7A1A"/>
    <w:rsid w:val="2B0D44FC"/>
    <w:rsid w:val="2B6B0C1C"/>
    <w:rsid w:val="2BB94533"/>
    <w:rsid w:val="2C01509F"/>
    <w:rsid w:val="2C7A1F15"/>
    <w:rsid w:val="2DAF5BEE"/>
    <w:rsid w:val="2E352597"/>
    <w:rsid w:val="2E3C7D3A"/>
    <w:rsid w:val="2F000DF7"/>
    <w:rsid w:val="2F3D5AEE"/>
    <w:rsid w:val="3095556F"/>
    <w:rsid w:val="317109D6"/>
    <w:rsid w:val="322272D6"/>
    <w:rsid w:val="32392F50"/>
    <w:rsid w:val="323B0398"/>
    <w:rsid w:val="32911C30"/>
    <w:rsid w:val="32EC701F"/>
    <w:rsid w:val="340C1D01"/>
    <w:rsid w:val="345247AE"/>
    <w:rsid w:val="36270733"/>
    <w:rsid w:val="376D0FF4"/>
    <w:rsid w:val="38B93DC5"/>
    <w:rsid w:val="38F44DFD"/>
    <w:rsid w:val="39264651"/>
    <w:rsid w:val="39754190"/>
    <w:rsid w:val="3982065B"/>
    <w:rsid w:val="3A573895"/>
    <w:rsid w:val="3C8D3764"/>
    <w:rsid w:val="3C9B5AFB"/>
    <w:rsid w:val="3D8C4327"/>
    <w:rsid w:val="3F980BD8"/>
    <w:rsid w:val="41D91034"/>
    <w:rsid w:val="41F320F5"/>
    <w:rsid w:val="423F7019"/>
    <w:rsid w:val="427B3FCB"/>
    <w:rsid w:val="431861E0"/>
    <w:rsid w:val="432602A9"/>
    <w:rsid w:val="437817D5"/>
    <w:rsid w:val="44F92119"/>
    <w:rsid w:val="44FB46A6"/>
    <w:rsid w:val="465F5FAB"/>
    <w:rsid w:val="481C1C7A"/>
    <w:rsid w:val="483115A6"/>
    <w:rsid w:val="483C4168"/>
    <w:rsid w:val="48754510"/>
    <w:rsid w:val="487675DC"/>
    <w:rsid w:val="4A527BD5"/>
    <w:rsid w:val="4A582E50"/>
    <w:rsid w:val="4BA41112"/>
    <w:rsid w:val="4DA5062D"/>
    <w:rsid w:val="4DE938E3"/>
    <w:rsid w:val="4DFF1E22"/>
    <w:rsid w:val="4E334065"/>
    <w:rsid w:val="4E656129"/>
    <w:rsid w:val="508F1B83"/>
    <w:rsid w:val="510843F7"/>
    <w:rsid w:val="51E25CE3"/>
    <w:rsid w:val="526471BA"/>
    <w:rsid w:val="531243A6"/>
    <w:rsid w:val="56150435"/>
    <w:rsid w:val="563A4337"/>
    <w:rsid w:val="5640122A"/>
    <w:rsid w:val="57D04F5B"/>
    <w:rsid w:val="57E00F16"/>
    <w:rsid w:val="58445001"/>
    <w:rsid w:val="588A296B"/>
    <w:rsid w:val="59A05570"/>
    <w:rsid w:val="5BFB0E81"/>
    <w:rsid w:val="5CB32755"/>
    <w:rsid w:val="5CFD7D2C"/>
    <w:rsid w:val="5ED42097"/>
    <w:rsid w:val="5EDA221B"/>
    <w:rsid w:val="5FCF1FA2"/>
    <w:rsid w:val="60BF3DBF"/>
    <w:rsid w:val="60D64C64"/>
    <w:rsid w:val="648F1CFA"/>
    <w:rsid w:val="64B766D9"/>
    <w:rsid w:val="6578453C"/>
    <w:rsid w:val="663028FA"/>
    <w:rsid w:val="68A815DC"/>
    <w:rsid w:val="6AA61B4B"/>
    <w:rsid w:val="6D617866"/>
    <w:rsid w:val="6E3D2189"/>
    <w:rsid w:val="6F7A1948"/>
    <w:rsid w:val="705F4C76"/>
    <w:rsid w:val="715A543E"/>
    <w:rsid w:val="718B48B3"/>
    <w:rsid w:val="71AA38D7"/>
    <w:rsid w:val="7355410F"/>
    <w:rsid w:val="74CB5D4C"/>
    <w:rsid w:val="752A3607"/>
    <w:rsid w:val="766D7254"/>
    <w:rsid w:val="76F167EA"/>
    <w:rsid w:val="771147F0"/>
    <w:rsid w:val="777A6E36"/>
    <w:rsid w:val="77B92CA5"/>
    <w:rsid w:val="78A01B23"/>
    <w:rsid w:val="79C8563A"/>
    <w:rsid w:val="79F521A7"/>
    <w:rsid w:val="7EF23CD9"/>
    <w:rsid w:val="7F635D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3">
    <w:name w:val="heading 1"/>
    <w:basedOn w:val="1"/>
    <w:next w:val="1"/>
    <w:link w:val="15"/>
    <w:autoRedefine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4">
    <w:name w:val="heading 2"/>
    <w:basedOn w:val="1"/>
    <w:next w:val="1"/>
    <w:link w:val="16"/>
    <w:autoRedefine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5">
    <w:name w:val="heading 3"/>
    <w:basedOn w:val="1"/>
    <w:next w:val="1"/>
    <w:link w:val="17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11">
    <w:name w:val="Default Paragraph Font"/>
    <w:autoRedefine/>
    <w:semiHidden/>
    <w:unhideWhenUsed/>
    <w:qFormat/>
    <w:uiPriority w:val="1"/>
  </w:style>
  <w:style w:type="table" w:default="1" w:styleId="10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2"/>
    <w:basedOn w:val="1"/>
    <w:next w:val="1"/>
    <w:autoRedefine/>
    <w:unhideWhenUsed/>
    <w:qFormat/>
    <w:uiPriority w:val="39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6">
    <w:name w:val="toc 3"/>
    <w:basedOn w:val="1"/>
    <w:next w:val="1"/>
    <w:autoRedefine/>
    <w:unhideWhenUsed/>
    <w:qFormat/>
    <w:uiPriority w:val="39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paragraph" w:styleId="7">
    <w:name w:val="footer"/>
    <w:basedOn w:val="1"/>
    <w:link w:val="14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3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unhideWhenUsed/>
    <w:qFormat/>
    <w:uiPriority w:val="39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character" w:styleId="12">
    <w:name w:val="Hyperlink"/>
    <w:basedOn w:val="11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3">
    <w:name w:val="页眉 字符"/>
    <w:basedOn w:val="11"/>
    <w:link w:val="8"/>
    <w:autoRedefine/>
    <w:qFormat/>
    <w:uiPriority w:val="99"/>
    <w:rPr>
      <w:sz w:val="18"/>
      <w:szCs w:val="18"/>
    </w:rPr>
  </w:style>
  <w:style w:type="character" w:customStyle="1" w:styleId="14">
    <w:name w:val="页脚 字符"/>
    <w:basedOn w:val="11"/>
    <w:link w:val="7"/>
    <w:autoRedefine/>
    <w:qFormat/>
    <w:uiPriority w:val="99"/>
    <w:rPr>
      <w:sz w:val="18"/>
      <w:szCs w:val="18"/>
    </w:rPr>
  </w:style>
  <w:style w:type="character" w:customStyle="1" w:styleId="15">
    <w:name w:val="标题 1 字符"/>
    <w:basedOn w:val="11"/>
    <w:link w:val="3"/>
    <w:autoRedefine/>
    <w:qFormat/>
    <w:uiPriority w:val="9"/>
    <w:rPr>
      <w:b/>
      <w:bCs/>
      <w:kern w:val="44"/>
      <w:sz w:val="44"/>
      <w:szCs w:val="44"/>
    </w:rPr>
  </w:style>
  <w:style w:type="character" w:customStyle="1" w:styleId="16">
    <w:name w:val="标题 2 字符"/>
    <w:basedOn w:val="11"/>
    <w:link w:val="4"/>
    <w:autoRedefine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7">
    <w:name w:val="标题 3 字符"/>
    <w:basedOn w:val="11"/>
    <w:link w:val="5"/>
    <w:autoRedefine/>
    <w:qFormat/>
    <w:uiPriority w:val="9"/>
    <w:rPr>
      <w:b/>
      <w:bCs/>
      <w:sz w:val="32"/>
      <w:szCs w:val="32"/>
    </w:rPr>
  </w:style>
  <w:style w:type="paragraph" w:styleId="18">
    <w:name w:val="List Paragraph"/>
    <w:basedOn w:val="1"/>
    <w:autoRedefine/>
    <w:qFormat/>
    <w:uiPriority w:val="34"/>
    <w:pPr>
      <w:ind w:firstLine="420" w:firstLineChars="200"/>
    </w:pPr>
  </w:style>
  <w:style w:type="paragraph" w:customStyle="1" w:styleId="19">
    <w:name w:val="TOC 标题1"/>
    <w:basedOn w:val="3"/>
    <w:next w:val="1"/>
    <w:autoRedefine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paragraph" w:customStyle="1" w:styleId="20">
    <w:name w:val="TOC Heading"/>
    <w:basedOn w:val="3"/>
    <w:next w:val="1"/>
    <w:autoRedefine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7" Type="http://schemas.openxmlformats.org/officeDocument/2006/relationships/fontTable" Target="fontTable.xml"/><Relationship Id="rId86" Type="http://schemas.openxmlformats.org/officeDocument/2006/relationships/numbering" Target="numbering.xml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38</Pages>
  <Words>3863</Words>
  <Characters>4218</Characters>
  <Lines>24</Lines>
  <Paragraphs>6</Paragraphs>
  <TotalTime>68</TotalTime>
  <ScaleCrop>false</ScaleCrop>
  <LinksUpToDate>false</LinksUpToDate>
  <CharactersWithSpaces>4394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2020-07-15T01:20:00Z</dcterms:created>
  <dc:creator>admin</dc:creator>
  <cp:lastModifiedBy>GJ</cp:lastModifiedBy>
  <dcterms:modified xsi:type="dcterms:W3CDTF">2025-11-27T09:39:06Z</dcterms:modified>
  <cp:revision>184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2D1DB64EC8B94A42A3DFA1244750D770_12</vt:lpwstr>
  </property>
  <property fmtid="{D5CDD505-2E9C-101B-9397-08002B2CF9AE}" pid="4" name="KSOTemplateDocerSaveRecord">
    <vt:lpwstr>eyJoZGlkIjoiZTY4MTZkNDFjMzE5ZmE2ZTNiZmVhNThhYWE3ODMwM2EiLCJ1c2VySWQiOiI2MDI1NDE0MzgifQ==</vt:lpwstr>
  </property>
</Properties>
</file>