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EDDCCC">
      <w:pPr>
        <w:rPr>
          <w:rFonts w:ascii="黑体" w:eastAsia="黑体"/>
          <w:b/>
          <w:sz w:val="48"/>
          <w:szCs w:val="48"/>
        </w:rPr>
      </w:pPr>
    </w:p>
    <w:p w14:paraId="229C4CC6">
      <w:pPr>
        <w:jc w:val="center"/>
        <w:rPr>
          <w:rFonts w:hint="default" w:ascii="黑体" w:eastAsia="黑体"/>
          <w:b/>
          <w:sz w:val="48"/>
          <w:szCs w:val="48"/>
          <w:lang w:val="en-US" w:eastAsia="zh-CN"/>
        </w:rPr>
      </w:pPr>
      <w:r>
        <w:rPr>
          <w:rFonts w:hint="eastAsia" w:ascii="黑体" w:eastAsia="黑体" w:cs="黑体"/>
          <w:b/>
          <w:sz w:val="48"/>
          <w:szCs w:val="48"/>
          <w:lang w:val="en-US" w:eastAsia="zh-CN" w:bidi="ar"/>
        </w:rPr>
        <w:t>汕尾市公共资源交易平台</w:t>
      </w:r>
    </w:p>
    <w:p w14:paraId="480AFDC0">
      <w:pPr>
        <w:widowControl/>
        <w:adjustRightInd w:val="0"/>
        <w:snapToGrid w:val="0"/>
        <w:spacing w:after="200"/>
        <w:jc w:val="center"/>
        <w:rPr>
          <w:rFonts w:hint="default" w:ascii="黑体" w:eastAsia="黑体"/>
          <w:b/>
          <w:sz w:val="48"/>
          <w:szCs w:val="48"/>
          <w:lang w:val="en-US" w:eastAsia="zh-CN"/>
        </w:rPr>
      </w:pPr>
      <w:r>
        <w:rPr>
          <w:rFonts w:hint="eastAsia" w:ascii="黑体" w:eastAsia="黑体"/>
          <w:b/>
          <w:sz w:val="48"/>
          <w:szCs w:val="48"/>
          <w:lang w:val="en-US" w:eastAsia="zh-CN"/>
        </w:rPr>
        <w:t>土地与矿业权交易</w:t>
      </w:r>
    </w:p>
    <w:p w14:paraId="5F0BD20A">
      <w:pPr>
        <w:widowControl/>
        <w:adjustRightInd w:val="0"/>
        <w:snapToGrid w:val="0"/>
        <w:spacing w:after="200"/>
        <w:jc w:val="center"/>
        <w:rPr>
          <w:rFonts w:ascii="黑体" w:hAnsi="Tahoma" w:eastAsia="黑体" w:cs="Times New Roman"/>
          <w:b/>
          <w:kern w:val="0"/>
          <w:sz w:val="48"/>
          <w:szCs w:val="48"/>
        </w:rPr>
      </w:pPr>
      <w:r>
        <w:rPr>
          <w:rFonts w:hint="eastAsia" w:ascii="黑体" w:hAnsi="Tahoma" w:eastAsia="黑体" w:cs="Times New Roman"/>
          <w:b/>
          <w:kern w:val="0"/>
          <w:sz w:val="48"/>
          <w:szCs w:val="48"/>
        </w:rPr>
        <w:t>（</w:t>
      </w:r>
      <w:r>
        <w:rPr>
          <w:rFonts w:hint="eastAsia" w:ascii="黑体" w:eastAsia="黑体" w:cs="Times New Roman"/>
          <w:b/>
          <w:kern w:val="0"/>
          <w:sz w:val="48"/>
          <w:szCs w:val="48"/>
          <w:lang w:val="en-US" w:eastAsia="zh-CN"/>
        </w:rPr>
        <w:t>出让人</w:t>
      </w:r>
      <w:r>
        <w:rPr>
          <w:rFonts w:hint="eastAsia" w:ascii="黑体" w:hAnsi="Tahoma" w:eastAsia="黑体" w:cs="Times New Roman"/>
          <w:b/>
          <w:kern w:val="0"/>
          <w:sz w:val="48"/>
          <w:szCs w:val="48"/>
        </w:rPr>
        <w:t>）</w:t>
      </w:r>
    </w:p>
    <w:p w14:paraId="3E8EEE4E">
      <w:pPr>
        <w:widowControl/>
        <w:adjustRightInd w:val="0"/>
        <w:snapToGrid w:val="0"/>
        <w:spacing w:before="1440" w:after="2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用</w:t>
      </w:r>
    </w:p>
    <w:p w14:paraId="3DBDA5CF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户</w:t>
      </w:r>
    </w:p>
    <w:p w14:paraId="3E5771B7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手</w:t>
      </w:r>
    </w:p>
    <w:p w14:paraId="3043DAEA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册</w:t>
      </w:r>
    </w:p>
    <w:p w14:paraId="0F6046E7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6B5A7E5B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33D788C9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53704B09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63BDE30E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2F564194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41AE2967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3D69F90E">
      <w:pPr>
        <w:widowControl/>
        <w:adjustRightInd w:val="0"/>
        <w:snapToGrid w:val="0"/>
        <w:spacing w:after="200"/>
        <w:jc w:val="center"/>
        <w:rPr>
          <w:rFonts w:ascii="Tahoma" w:hAnsi="Tahoma" w:eastAsia="黑体" w:cs="Times New Roman"/>
          <w:b/>
          <w:bCs/>
          <w:kern w:val="0"/>
          <w:sz w:val="28"/>
        </w:rPr>
      </w:pPr>
    </w:p>
    <w:p w14:paraId="7D1B3999">
      <w:pPr>
        <w:widowControl/>
        <w:adjustRightInd w:val="0"/>
        <w:snapToGrid w:val="0"/>
        <w:spacing w:after="200"/>
        <w:jc w:val="center"/>
        <w:rPr>
          <w:rFonts w:hint="default" w:ascii="Tahoma" w:hAnsi="Tahoma" w:eastAsia="黑体" w:cs="Times New Roman"/>
          <w:b/>
          <w:bCs/>
          <w:kern w:val="0"/>
          <w:sz w:val="28"/>
          <w:lang w:val="en-US" w:eastAsia="zh-CN"/>
        </w:rPr>
      </w:pPr>
      <w:r>
        <w:rPr>
          <w:rFonts w:hint="eastAsia" w:ascii="Tahoma" w:hAnsi="Tahoma" w:eastAsia="黑体" w:cs="Times New Roman"/>
          <w:b/>
          <w:bCs/>
          <w:kern w:val="0"/>
          <w:sz w:val="28"/>
          <w:lang w:val="en-US" w:eastAsia="zh-CN"/>
        </w:rPr>
        <w:t>汕尾市公共资源交易中心</w:t>
      </w:r>
    </w:p>
    <w:p w14:paraId="25E3D3E2">
      <w:pPr>
        <w:widowControl/>
        <w:adjustRightInd w:val="0"/>
        <w:snapToGrid w:val="0"/>
        <w:spacing w:after="200"/>
        <w:jc w:val="center"/>
        <w:rPr>
          <w:rFonts w:ascii="Tahoma" w:hAnsi="Tahoma" w:eastAsia="黑体" w:cs="Times New Roman"/>
          <w:b/>
          <w:bCs/>
          <w:kern w:val="0"/>
          <w:sz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ahoma" w:hAnsi="Tahoma" w:eastAsia="黑体" w:cs="Times New Roman"/>
          <w:b/>
          <w:bCs/>
          <w:kern w:val="0"/>
          <w:sz w:val="28"/>
        </w:rPr>
        <w:t>202</w:t>
      </w:r>
      <w:r>
        <w:rPr>
          <w:rFonts w:hint="eastAsia" w:ascii="Tahoma" w:hAnsi="Tahoma" w:eastAsia="黑体" w:cs="Times New Roman"/>
          <w:b/>
          <w:bCs/>
          <w:kern w:val="0"/>
          <w:sz w:val="28"/>
          <w:lang w:val="en-US" w:eastAsia="zh-CN"/>
        </w:rPr>
        <w:t>4</w:t>
      </w:r>
      <w:r>
        <w:rPr>
          <w:rFonts w:hint="eastAsia" w:ascii="Tahoma" w:hAnsi="Tahoma" w:eastAsia="黑体" w:cs="Times New Roman"/>
          <w:b/>
          <w:bCs/>
          <w:kern w:val="0"/>
          <w:sz w:val="28"/>
        </w:rPr>
        <w:t>年</w:t>
      </w:r>
      <w:r>
        <w:rPr>
          <w:rFonts w:hint="eastAsia" w:eastAsia="黑体" w:cs="Times New Roman"/>
          <w:b/>
          <w:bCs/>
          <w:kern w:val="0"/>
          <w:sz w:val="28"/>
          <w:lang w:val="en-US" w:eastAsia="zh-CN"/>
        </w:rPr>
        <w:t>6</w:t>
      </w:r>
      <w:r>
        <w:rPr>
          <w:rFonts w:hint="eastAsia" w:ascii="Tahoma" w:hAnsi="Tahoma" w:eastAsia="黑体" w:cs="Times New Roman"/>
          <w:b/>
          <w:bCs/>
          <w:kern w:val="0"/>
          <w:sz w:val="28"/>
        </w:rPr>
        <w:t>月</w:t>
      </w:r>
    </w:p>
    <w:sdt>
      <w:sdtPr>
        <w:rPr>
          <w:rFonts w:ascii="宋体" w:hAnsi="宋体" w:eastAsia="宋体"/>
          <w:sz w:val="21"/>
        </w:rPr>
        <w:id w:val="147482565"/>
        <w15:color w:val="DBDBDB"/>
        <w:docPartObj>
          <w:docPartGallery w:val="Table of Contents"/>
          <w:docPartUnique/>
        </w:docPartObj>
      </w:sdtPr>
      <w:sdtEndPr>
        <w:rPr>
          <w:rFonts w:hint="eastAsia" w:ascii="Tahoma" w:hAnsi="Tahoma" w:eastAsia="黑体"/>
          <w:bCs/>
          <w:sz w:val="22"/>
        </w:rPr>
      </w:sdtEndPr>
      <w:sdtContent>
        <w:p w14:paraId="32E3A26F">
          <w:pPr>
            <w:spacing w:after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110519AF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/>
              <w:bCs/>
              <w:sz w:val="28"/>
            </w:rPr>
            <w:fldChar w:fldCharType="begin"/>
          </w:r>
          <w:r>
            <w:rPr>
              <w:rFonts w:hint="eastAsia" w:eastAsia="黑体"/>
              <w:b/>
              <w:bCs/>
              <w:sz w:val="28"/>
            </w:rPr>
            <w:instrText xml:space="preserve">TOC \o "1-3" \h \u </w:instrText>
          </w:r>
          <w:r>
            <w:rPr>
              <w:rFonts w:hint="eastAsia" w:eastAsia="黑体"/>
              <w:b/>
              <w:bCs/>
              <w:sz w:val="28"/>
            </w:rPr>
            <w:fldChar w:fldCharType="separate"/>
          </w: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_Toc8312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1. </w:t>
          </w:r>
          <w:r>
            <w:rPr>
              <w:rFonts w:hint="eastAsia" w:ascii="黑体" w:hAnsi="Calibri" w:eastAsia="黑体" w:cs="Times New Roman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_Toc8312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6D2F14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_Toc1860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eastAsia"/>
            </w:rPr>
            <w:t>1.</w:t>
          </w:r>
          <w:r>
            <w:t>1</w:t>
          </w:r>
          <w:r>
            <w:rPr>
              <w:rFonts w:hint="eastAsia"/>
            </w:rPr>
            <w:t>业务流程</w:t>
          </w:r>
          <w:r>
            <w:tab/>
          </w:r>
          <w:r>
            <w:fldChar w:fldCharType="begin"/>
          </w:r>
          <w:r>
            <w:instrText xml:space="preserve"> PAGEREF _Toc1860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493E59A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_Toc10420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2. </w:t>
          </w:r>
          <w:r>
            <w:rPr>
              <w:rFonts w:hint="eastAsia" w:ascii="黑体" w:hAnsi="Calibri" w:eastAsia="黑体" w:cs="Times New Roman"/>
            </w:rPr>
            <w:t>业务操作说明</w:t>
          </w:r>
          <w:r>
            <w:tab/>
          </w:r>
          <w:r>
            <w:fldChar w:fldCharType="begin"/>
          </w:r>
          <w:r>
            <w:instrText xml:space="preserve"> PAGEREF _Toc10420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024A4D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_Toc18203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2.1. </w:t>
          </w:r>
          <w:r>
            <w:rPr>
              <w:rFonts w:hint="eastAsia"/>
            </w:rPr>
            <w:t>交易进场申请</w:t>
          </w:r>
          <w:r>
            <w:tab/>
          </w:r>
          <w:r>
            <w:fldChar w:fldCharType="begin"/>
          </w:r>
          <w:r>
            <w:instrText xml:space="preserve"> PAGEREF _Toc18203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E1338D2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_Toc5939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2.2. </w:t>
          </w:r>
          <w:r>
            <w:rPr>
              <w:rFonts w:hint="eastAsia"/>
              <w:lang w:val="en-US" w:eastAsia="zh-CN"/>
            </w:rPr>
            <w:t>交易发布确认</w:t>
          </w:r>
          <w:r>
            <w:tab/>
          </w:r>
          <w:r>
            <w:fldChar w:fldCharType="begin"/>
          </w:r>
          <w:r>
            <w:instrText xml:space="preserve"> PAGEREF _Toc5939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187315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_Toc19122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2.3. </w:t>
          </w:r>
          <w:r>
            <w:rPr>
              <w:rFonts w:hint="eastAsia"/>
              <w:lang w:val="en-US" w:eastAsia="zh-CN"/>
            </w:rPr>
            <w:t>正在挂牌资源</w:t>
          </w:r>
          <w:r>
            <w:tab/>
          </w:r>
          <w:r>
            <w:fldChar w:fldCharType="begin"/>
          </w:r>
          <w:r>
            <w:instrText xml:space="preserve"> PAGEREF _Toc19122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566AEB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_Toc5072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2.4. </w:t>
          </w:r>
          <w:r>
            <w:rPr>
              <w:rFonts w:hint="eastAsia"/>
              <w:lang w:val="en-US" w:eastAsia="zh-CN"/>
            </w:rPr>
            <w:t>项目公告查询</w:t>
          </w:r>
          <w:r>
            <w:tab/>
          </w:r>
          <w:r>
            <w:fldChar w:fldCharType="begin"/>
          </w:r>
          <w:r>
            <w:instrText xml:space="preserve"> PAGEREF _Toc5072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53558AE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_Toc24790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2.5. </w:t>
          </w:r>
          <w:r>
            <w:rPr>
              <w:rFonts w:hint="eastAsia"/>
              <w:lang w:val="en-US" w:eastAsia="zh-CN"/>
            </w:rPr>
            <w:t>交易查询</w:t>
          </w:r>
          <w:r>
            <w:tab/>
          </w:r>
          <w:r>
            <w:fldChar w:fldCharType="begin"/>
          </w:r>
          <w:r>
            <w:instrText xml:space="preserve"> PAGEREF _Toc24790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6F5997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_Toc18198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2.6. </w:t>
          </w:r>
          <w:r>
            <w:rPr>
              <w:rFonts w:hint="eastAsia"/>
            </w:rPr>
            <w:t>资格</w:t>
          </w:r>
          <w:r>
            <w:rPr>
              <w:rFonts w:hint="eastAsia"/>
              <w:lang w:val="en-US" w:eastAsia="zh-CN"/>
            </w:rPr>
            <w:t>审查（矿业权出让）</w:t>
          </w:r>
          <w:r>
            <w:tab/>
          </w:r>
          <w:r>
            <w:fldChar w:fldCharType="begin"/>
          </w:r>
          <w:r>
            <w:instrText xml:space="preserve"> PAGEREF _Toc18198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5C0D2AC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_Toc6412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2.7. </w:t>
          </w:r>
          <w:r>
            <w:rPr>
              <w:rFonts w:hint="eastAsia"/>
            </w:rPr>
            <w:t>成交确认书</w:t>
          </w:r>
          <w:r>
            <w:rPr>
              <w:rFonts w:hint="eastAsia"/>
              <w:lang w:val="en-US" w:eastAsia="zh-CN"/>
            </w:rPr>
            <w:t>查询</w:t>
          </w:r>
          <w:r>
            <w:tab/>
          </w:r>
          <w:r>
            <w:fldChar w:fldCharType="begin"/>
          </w:r>
          <w:r>
            <w:instrText xml:space="preserve"> PAGEREF _Toc6412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71E19D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_Toc3832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2.8. </w:t>
          </w:r>
          <w:r>
            <w:rPr>
              <w:rFonts w:hint="eastAsia"/>
              <w:lang w:val="en-US" w:eastAsia="zh-CN"/>
            </w:rPr>
            <w:t>合同签订</w:t>
          </w:r>
          <w:r>
            <w:tab/>
          </w:r>
          <w:r>
            <w:fldChar w:fldCharType="begin"/>
          </w:r>
          <w:r>
            <w:instrText xml:space="preserve"> PAGEREF _Toc3832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09A614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_Toc15351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2.9. </w:t>
          </w:r>
          <w:r>
            <w:rPr>
              <w:rFonts w:hint="eastAsia"/>
              <w:lang w:val="en-US" w:eastAsia="zh-CN"/>
            </w:rPr>
            <w:t>保证金退回</w:t>
          </w:r>
          <w:r>
            <w:tab/>
          </w:r>
          <w:r>
            <w:fldChar w:fldCharType="begin"/>
          </w:r>
          <w:r>
            <w:instrText xml:space="preserve"> PAGEREF _Toc15351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A49587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_Toc21024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2.10. </w:t>
          </w:r>
          <w:r>
            <w:rPr>
              <w:rFonts w:hint="eastAsia"/>
              <w:lang w:val="en-US" w:eastAsia="zh-CN"/>
            </w:rPr>
            <w:t>中止交易</w:t>
          </w:r>
          <w:r>
            <w:tab/>
          </w:r>
          <w:r>
            <w:fldChar w:fldCharType="begin"/>
          </w:r>
          <w:r>
            <w:instrText xml:space="preserve"> PAGEREF _Toc21024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D70374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_Toc7142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2.11. </w:t>
          </w:r>
          <w:r>
            <w:rPr>
              <w:rFonts w:hint="eastAsia"/>
              <w:lang w:val="en-US" w:eastAsia="zh-CN"/>
            </w:rPr>
            <w:t>恢复交易</w:t>
          </w:r>
          <w:r>
            <w:tab/>
          </w:r>
          <w:r>
            <w:fldChar w:fldCharType="begin"/>
          </w:r>
          <w:r>
            <w:instrText xml:space="preserve"> PAGEREF _Toc7142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3DE9F2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_Toc11970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2.12. </w:t>
          </w:r>
          <w:r>
            <w:rPr>
              <w:rFonts w:hint="eastAsia"/>
              <w:lang w:val="en-US" w:eastAsia="zh-CN"/>
            </w:rPr>
            <w:t>更正交易</w:t>
          </w:r>
          <w:r>
            <w:tab/>
          </w:r>
          <w:r>
            <w:fldChar w:fldCharType="begin"/>
          </w:r>
          <w:r>
            <w:instrText xml:space="preserve"> PAGEREF _Toc11970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6F8529A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_Toc9939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2.13. </w:t>
          </w:r>
          <w:r>
            <w:rPr>
              <w:rFonts w:hint="eastAsia"/>
              <w:lang w:val="en-US" w:eastAsia="zh-CN"/>
            </w:rPr>
            <w:t>终止交易</w:t>
          </w:r>
          <w:r>
            <w:tab/>
          </w:r>
          <w:r>
            <w:fldChar w:fldCharType="begin"/>
          </w:r>
          <w:r>
            <w:instrText xml:space="preserve"> PAGEREF _Toc9939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EF0E8C8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_Toc26915 </w:instrText>
          </w:r>
          <w:r>
            <w:rPr>
              <w:rFonts w:hint="eastAsia" w:eastAsia="黑体"/>
              <w:bCs/>
            </w:rPr>
            <w:fldChar w:fldCharType="separate"/>
          </w:r>
          <w:r>
            <w:t xml:space="preserve">3. </w:t>
          </w:r>
          <w:r>
            <w:rPr>
              <w:rFonts w:hint="eastAsia" w:ascii="黑体" w:hAnsi="Calibri" w:eastAsia="黑体" w:cs="Times New Roman"/>
            </w:rPr>
            <w:t>技术支持</w:t>
          </w:r>
          <w:r>
            <w:tab/>
          </w:r>
          <w:r>
            <w:fldChar w:fldCharType="begin"/>
          </w:r>
          <w:r>
            <w:instrText xml:space="preserve"> PAGEREF _Toc26915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6193E7A">
          <w:pPr>
            <w:spacing w:after="0"/>
            <w:jc w:val="both"/>
            <w:rPr>
              <w:rFonts w:eastAsia="黑体"/>
              <w:b/>
              <w:bCs/>
              <w:sz w:val="28"/>
            </w:rPr>
            <w:sectPr>
              <w:footerReference r:id="rId4" w:type="default"/>
              <w:pgSz w:w="11906" w:h="16838"/>
              <w:pgMar w:top="1440" w:right="1800" w:bottom="1440" w:left="1800" w:header="851" w:footer="992" w:gutter="0"/>
              <w:pgNumType w:start="1"/>
              <w:cols w:space="425" w:num="1"/>
              <w:docGrid w:type="lines" w:linePitch="312" w:charSpace="0"/>
            </w:sectPr>
          </w:pPr>
          <w:r>
            <w:rPr>
              <w:rFonts w:hint="eastAsia" w:eastAsia="黑体"/>
              <w:bCs/>
            </w:rPr>
            <w:fldChar w:fldCharType="end"/>
          </w:r>
        </w:p>
      </w:sdtContent>
    </w:sdt>
    <w:p w14:paraId="7F50BDC3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0" w:name="_Toc290881815"/>
      <w:bookmarkStart w:id="1" w:name="_Toc407200889"/>
      <w:bookmarkStart w:id="2" w:name="_Toc3165"/>
      <w:bookmarkStart w:id="3" w:name="_Toc11344"/>
      <w:bookmarkStart w:id="4" w:name="_Toc8312"/>
      <w:r>
        <w:rPr>
          <w:rFonts w:hint="eastAsia" w:ascii="黑体" w:hAnsi="Calibri" w:eastAsia="黑体" w:cs="Times New Roman"/>
        </w:rPr>
        <w:t>登录</w:t>
      </w:r>
      <w:bookmarkEnd w:id="0"/>
      <w:bookmarkEnd w:id="1"/>
      <w:bookmarkEnd w:id="2"/>
      <w:bookmarkEnd w:id="3"/>
      <w:bookmarkEnd w:id="4"/>
    </w:p>
    <w:p w14:paraId="04E9BB8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登录地址：</w:t>
      </w:r>
      <w:r>
        <w:rPr>
          <w:rFonts w:hint="eastAsia"/>
        </w:rPr>
        <w:t>https://jy.swggzy.cn/login</w:t>
      </w:r>
    </w:p>
    <w:p w14:paraId="0AE419E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  <w:r>
        <w:rPr>
          <w:rFonts w:hint="eastAsia"/>
        </w:rPr>
        <w:t>http://www.shanwei.gov.cn/swggzy/</w:t>
      </w:r>
    </w:p>
    <w:p w14:paraId="67A88F9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63FD1A78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362200"/>
            <wp:effectExtent l="0" t="0" r="3810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9982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进入登录界面，输入正确的用户名和密码，然后点击【登录】，即可进入系统。登录系统后，在首页面板可以看到待处理的待办事项。点击其中一个待办事项可以快速进行业务办理。</w:t>
      </w:r>
    </w:p>
    <w:p w14:paraId="5D0F0D2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1986280"/>
            <wp:effectExtent l="0" t="0" r="3810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4C670">
      <w:pPr>
        <w:pStyle w:val="4"/>
        <w:numPr>
          <w:ilvl w:val="0"/>
          <w:numId w:val="0"/>
        </w:numPr>
        <w:spacing w:line="240" w:lineRule="auto"/>
      </w:pPr>
      <w:bookmarkStart w:id="5" w:name="_Toc4181"/>
      <w:bookmarkStart w:id="6" w:name="_Toc1860"/>
      <w:bookmarkStart w:id="7" w:name="_Toc14441"/>
      <w:r>
        <w:rPr>
          <w:rFonts w:hint="eastAsia"/>
        </w:rPr>
        <w:t>1.</w:t>
      </w:r>
      <w:r>
        <w:t>1</w:t>
      </w:r>
      <w:r>
        <w:rPr>
          <w:rFonts w:hint="eastAsia"/>
        </w:rPr>
        <w:t>业务流程</w:t>
      </w:r>
      <w:bookmarkEnd w:id="5"/>
      <w:bookmarkEnd w:id="6"/>
    </w:p>
    <w:p w14:paraId="0D607F58">
      <w:pPr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7325" cy="7365365"/>
            <wp:effectExtent l="0" t="0" r="3175" b="635"/>
            <wp:docPr id="6" name="图片 6" descr="1090cca692f166ef9616556feab3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090cca692f166ef9616556feab36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6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9C025"/>
    <w:p w14:paraId="120BDCEB">
      <w:pPr>
        <w:jc w:val="center"/>
      </w:pPr>
    </w:p>
    <w:p w14:paraId="3572082D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8" w:name="_Toc10420"/>
      <w:r>
        <w:rPr>
          <w:rFonts w:hint="eastAsia" w:ascii="黑体" w:hAnsi="Calibri" w:eastAsia="黑体" w:cs="Times New Roman"/>
        </w:rPr>
        <w:t>业务操作说明</w:t>
      </w:r>
      <w:bookmarkEnd w:id="7"/>
      <w:bookmarkEnd w:id="8"/>
    </w:p>
    <w:p w14:paraId="1FEE0BE3">
      <w:pPr>
        <w:pStyle w:val="4"/>
        <w:spacing w:line="240" w:lineRule="auto"/>
      </w:pPr>
      <w:bookmarkStart w:id="9" w:name="_Toc18203"/>
      <w:bookmarkStart w:id="10" w:name="_Toc57152576"/>
      <w:r>
        <w:rPr>
          <w:rFonts w:hint="eastAsia"/>
        </w:rPr>
        <w:t>交易进场申请</w:t>
      </w:r>
      <w:bookmarkEnd w:id="9"/>
    </w:p>
    <w:p w14:paraId="5FE4208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黑体" w:hAnsi="Calibri" w:eastAsia="宋体" w:cs="Times New Roman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出让人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登录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系统后，鼠标放在自然资源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字样上，然后出现系统模块后，选中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对应的模块。</w:t>
      </w:r>
    </w:p>
    <w:p w14:paraId="2634FFAC">
      <w:r>
        <w:drawing>
          <wp:inline distT="0" distB="0" distL="114300" distR="114300">
            <wp:extent cx="5266690" cy="2362200"/>
            <wp:effectExtent l="0" t="0" r="3810" b="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D1DD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土地使用权交易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页面之后，点击菜单“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进场委托人申请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”，进入列表页面，点击“申请进场”按钮。</w:t>
      </w:r>
    </w:p>
    <w:p w14:paraId="10347B48"/>
    <w:p w14:paraId="47ED5AA9">
      <w:r>
        <w:drawing>
          <wp:inline distT="0" distB="0" distL="114300" distR="114300">
            <wp:extent cx="5266690" cy="2337435"/>
            <wp:effectExtent l="0" t="0" r="3810" b="1206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9D59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微软雅黑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进入委托人交易进场申请处理页，填写好基本申请信息，注：项目名称按提示填写。</w:t>
      </w:r>
    </w:p>
    <w:bookmarkEnd w:id="10"/>
    <w:p w14:paraId="0E361E9D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960" cy="3171190"/>
            <wp:effectExtent l="0" t="0" r="2540" b="3810"/>
            <wp:docPr id="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14CD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在宗地录入处，点击“新增宗地”，进入编辑宗地信息界面；</w:t>
      </w:r>
    </w:p>
    <w:p w14:paraId="0621D5AE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75740"/>
            <wp:effectExtent l="0" t="0" r="3810" b="1016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338A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需要按要求填写好基本信息及竞买信息，注：（1）宗地名称按照提示编辑（2）挂牌竞价截止时间由经办项目委托时设置；</w:t>
      </w:r>
    </w:p>
    <w:p w14:paraId="2FDF127C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325" cy="3254375"/>
            <wp:effectExtent l="0" t="0" r="3175" b="9525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5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3B3C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资格审查所需资料已经自动生成固定的审查资料，如需增加其他资料，点击“新建”，并录入审查资料名称；还需要将项目附件（出让方案、用地红线图、其他附件等等）、</w:t>
      </w:r>
      <w:r>
        <w:rPr>
          <w:rFonts w:hint="eastAsia" w:ascii="宋体" w:hAnsi="宋体" w:eastAsia="宋体" w:cs="Times New Roman"/>
          <w:color w:val="FF0000"/>
          <w:kern w:val="2"/>
          <w:sz w:val="24"/>
          <w:szCs w:val="24"/>
          <w:lang w:val="en-US" w:eastAsia="zh-CN"/>
        </w:rPr>
        <w:t>（必填项）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项目附件（规划设计条件）、宗地图片/现场图片（对外）的资料上传至系统，填写完成后，点击“保存”按钮。</w:t>
      </w:r>
    </w:p>
    <w:p w14:paraId="137CF63A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555115"/>
            <wp:effectExtent l="0" t="0" r="3810" b="698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5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B14A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进场交易申请表处，点击“生成交易申请表”，并且对该表进行电子签章。插入CA证书后，点击“电子签章”，跳出签章界面，点击“普通签章”，输入CA密码，即可在相应位置上盖章，盖章完成后，点击“提交”按钮。</w:t>
      </w:r>
    </w:p>
    <w:p w14:paraId="714A3181">
      <w:r>
        <w:drawing>
          <wp:inline distT="0" distB="0" distL="114300" distR="114300">
            <wp:extent cx="5269865" cy="2122805"/>
            <wp:effectExtent l="0" t="0" r="635" b="10795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3572C">
      <w:r>
        <w:drawing>
          <wp:inline distT="0" distB="0" distL="114300" distR="114300">
            <wp:extent cx="5268595" cy="3357880"/>
            <wp:effectExtent l="0" t="0" r="1905" b="7620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A4CA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在委托函处，点击“上传附件”按钮，上传该项目的委托函。所有资料录入完成后，即可点击“提交进场申请”按钮，流程流转到中心。</w:t>
      </w:r>
    </w:p>
    <w:p w14:paraId="66B6D0AF">
      <w:r>
        <w:drawing>
          <wp:inline distT="0" distB="0" distL="114300" distR="114300">
            <wp:extent cx="5270500" cy="1193165"/>
            <wp:effectExtent l="0" t="0" r="0" b="635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F297F"/>
    <w:p w14:paraId="044BFC4C"/>
    <w:p w14:paraId="48EF3F4C">
      <w:pPr>
        <w:pStyle w:val="4"/>
        <w:spacing w:line="240" w:lineRule="auto"/>
      </w:pPr>
      <w:bookmarkStart w:id="11" w:name="_Toc5939"/>
      <w:r>
        <w:rPr>
          <w:rFonts w:hint="eastAsia"/>
          <w:lang w:val="en-US" w:eastAsia="zh-CN"/>
        </w:rPr>
        <w:t>交易发布确认</w:t>
      </w:r>
      <w:bookmarkEnd w:id="11"/>
    </w:p>
    <w:p w14:paraId="11D76541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eastAsia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项目委托环节由中心经办人录入，中心部长，分管领导（如有），中心主任审阅后，流程流转至委托人确认环节。</w:t>
      </w:r>
    </w:p>
    <w:p w14:paraId="270017C6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委托人点击菜单“交易发布 &gt;项目委托人确认”，找到对应项目，点击“确认”按钮，进入委托人确认处理页。</w:t>
      </w:r>
    </w:p>
    <w:p w14:paraId="639B843A">
      <w:r>
        <w:drawing>
          <wp:inline distT="0" distB="0" distL="114300" distR="114300">
            <wp:extent cx="5266690" cy="2337435"/>
            <wp:effectExtent l="0" t="0" r="3810" b="1206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D657C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委托人确认委托信息无误后，需要在挂牌文件附件处，对挂牌文件进行电子签章。</w:t>
      </w:r>
    </w:p>
    <w:p w14:paraId="1A1D7B87">
      <w:r>
        <w:drawing>
          <wp:inline distT="0" distB="0" distL="114300" distR="114300">
            <wp:extent cx="5266690" cy="2337435"/>
            <wp:effectExtent l="0" t="0" r="3810" b="12065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65254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核对完信息，并对挂牌文件签章后，即可点击“提交”按钮，流程流转至中心发布，如发现内容需要修改，则可以点击“退回”按钮，流程退回至中心经办项目委托环节。</w:t>
      </w:r>
    </w:p>
    <w:p w14:paraId="2FC029FD">
      <w:r>
        <w:drawing>
          <wp:inline distT="0" distB="0" distL="114300" distR="114300">
            <wp:extent cx="5266690" cy="2337435"/>
            <wp:effectExtent l="0" t="0" r="3810" b="1206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B7D0E">
      <w:r>
        <w:drawing>
          <wp:inline distT="0" distB="0" distL="114300" distR="114300">
            <wp:extent cx="5266690" cy="2337435"/>
            <wp:effectExtent l="0" t="0" r="3810" b="12065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46D98">
      <w:pPr>
        <w:pStyle w:val="4"/>
        <w:spacing w:line="240" w:lineRule="auto"/>
      </w:pPr>
      <w:bookmarkStart w:id="12" w:name="_Toc19122"/>
      <w:r>
        <w:rPr>
          <w:rFonts w:hint="eastAsia"/>
          <w:lang w:val="en-US" w:eastAsia="zh-CN"/>
        </w:rPr>
        <w:t>正在挂牌资源</w:t>
      </w:r>
      <w:bookmarkEnd w:id="12"/>
    </w:p>
    <w:p w14:paraId="60AA3E74">
      <w:pPr>
        <w:spacing w:before="62" w:beforeLines="20" w:after="62" w:afterLines="20" w:line="360" w:lineRule="auto"/>
        <w:ind w:firstLine="562" w:firstLineChars="200"/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8"/>
          <w:szCs w:val="28"/>
          <w:lang w:val="en-US" w:eastAsia="zh-CN"/>
        </w:rPr>
        <w:t xml:space="preserve">2.3.1 </w:t>
      </w:r>
      <w:r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  <w:t>该项目进场选择了设置竞拍底价，出让人在发了公告至竞价结束时间前半小时可以设置底价；选择了设置竞拍底价，而最终没有去设置则视为无设置底价。</w:t>
      </w:r>
    </w:p>
    <w:p w14:paraId="1CF6A6D1">
      <w:pPr>
        <w:spacing w:before="62" w:beforeLines="20" w:after="62" w:afterLines="20" w:line="360" w:lineRule="auto"/>
        <w:ind w:firstLine="480" w:firstLineChars="200"/>
        <w:rPr>
          <w:rFonts w:hint="default" w:ascii="宋体" w:hAnsi="宋体" w:eastAsia="宋体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  <w:t>点击菜单</w:t>
      </w:r>
      <w:r>
        <w:rPr>
          <w:rFonts w:hint="eastAsia" w:ascii="宋体" w:hAnsi="宋体" w:eastAsia="宋体" w:cs="Times New Roman"/>
          <w:sz w:val="24"/>
          <w:szCs w:val="24"/>
        </w:rPr>
        <w:t>“交易发布 &gt;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正在挂牌资源</w:t>
      </w:r>
      <w:r>
        <w:rPr>
          <w:rFonts w:hint="eastAsia" w:ascii="宋体" w:hAnsi="宋体" w:eastAsia="宋体" w:cs="Times New Roman"/>
          <w:sz w:val="24"/>
          <w:szCs w:val="24"/>
        </w:rPr>
        <w:t>”</w:t>
      </w:r>
      <w:r>
        <w:rPr>
          <w:rFonts w:hint="eastAsia" w:ascii="宋体" w:hAnsi="宋体" w:eastAsia="宋体" w:cs="Times New Roman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点击“设置底价”按钮，进入设置底价页面，设置完成后，点击“保存”按钮即可。</w:t>
      </w:r>
    </w:p>
    <w:p w14:paraId="598AEBFD">
      <w:pPr>
        <w:spacing w:before="62" w:beforeLines="20" w:after="62" w:afterLines="20" w:line="360" w:lineRule="auto"/>
        <w:ind w:firstLine="440" w:firstLineChars="200"/>
      </w:pPr>
      <w:r>
        <w:drawing>
          <wp:inline distT="0" distB="0" distL="114300" distR="114300">
            <wp:extent cx="5266690" cy="1978025"/>
            <wp:effectExtent l="0" t="0" r="3810" b="3175"/>
            <wp:docPr id="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7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0C6AA">
      <w:pPr>
        <w:spacing w:before="62" w:beforeLines="20" w:after="62" w:afterLines="20" w:line="360" w:lineRule="auto"/>
        <w:ind w:firstLine="44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1438275"/>
            <wp:effectExtent l="0" t="0" r="9525" b="9525"/>
            <wp:docPr id="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30985">
      <w:pPr>
        <w:spacing w:before="62" w:beforeLines="20" w:after="62" w:afterLines="20" w:line="360" w:lineRule="auto"/>
        <w:ind w:firstLine="562" w:firstLineChars="200"/>
      </w:pPr>
      <w:r>
        <w:rPr>
          <w:rFonts w:hint="eastAsia" w:ascii="宋体" w:hAnsi="宋体" w:eastAsia="宋体" w:cs="Times New Roman"/>
          <w:b/>
          <w:bCs/>
          <w:sz w:val="28"/>
          <w:szCs w:val="28"/>
          <w:lang w:val="en-US" w:eastAsia="zh-CN"/>
        </w:rPr>
        <w:t>2.3.2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发布公告后，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sz w:val="24"/>
          <w:szCs w:val="24"/>
        </w:rPr>
        <w:t>点击菜单“交易发布 &gt;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正在挂牌资源</w:t>
      </w:r>
      <w:r>
        <w:rPr>
          <w:rFonts w:hint="eastAsia" w:ascii="宋体" w:hAnsi="宋体" w:eastAsia="宋体" w:cs="Times New Roman"/>
          <w:sz w:val="24"/>
          <w:szCs w:val="24"/>
        </w:rPr>
        <w:t>”，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选择对应项目，点击“查看”按钮，查看该项目的基本信息、交易时间、竞买信息等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 w14:paraId="265291E9">
      <w:r>
        <w:drawing>
          <wp:inline distT="0" distB="0" distL="114300" distR="114300">
            <wp:extent cx="5266690" cy="2337435"/>
            <wp:effectExtent l="0" t="0" r="3810" b="12065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9A98D">
      <w:r>
        <w:drawing>
          <wp:inline distT="0" distB="0" distL="114300" distR="114300">
            <wp:extent cx="5271135" cy="3443605"/>
            <wp:effectExtent l="0" t="0" r="12065" b="10795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0FB85">
      <w:pPr>
        <w:pStyle w:val="4"/>
        <w:spacing w:line="240" w:lineRule="auto"/>
      </w:pPr>
      <w:bookmarkStart w:id="13" w:name="_Toc5072"/>
      <w:r>
        <w:rPr>
          <w:rFonts w:hint="eastAsia"/>
          <w:lang w:val="en-US" w:eastAsia="zh-CN"/>
        </w:rPr>
        <w:t>项目公告查询</w:t>
      </w:r>
      <w:bookmarkEnd w:id="13"/>
    </w:p>
    <w:p w14:paraId="25F44659">
      <w:pPr>
        <w:spacing w:before="62" w:beforeLines="20" w:after="62" w:afterLines="20" w:line="360" w:lineRule="auto"/>
        <w:ind w:firstLine="480" w:firstLineChars="200"/>
        <w:rPr>
          <w:rFonts w:hint="default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sz w:val="24"/>
          <w:szCs w:val="24"/>
        </w:rPr>
        <w:t xml:space="preserve">点击菜单“交易发布 &gt;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项目公告查询</w:t>
      </w:r>
      <w:r>
        <w:rPr>
          <w:rFonts w:hint="eastAsia" w:ascii="宋体" w:hAnsi="宋体" w:eastAsia="宋体" w:cs="Times New Roman"/>
          <w:sz w:val="24"/>
          <w:szCs w:val="24"/>
        </w:rPr>
        <w:t>”，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选择对应项目，点击“查看”按钮，可以查看交易基本信息及项目公告内容。</w:t>
      </w:r>
    </w:p>
    <w:p w14:paraId="38906548">
      <w:r>
        <w:drawing>
          <wp:inline distT="0" distB="0" distL="114300" distR="114300">
            <wp:extent cx="5266690" cy="2337435"/>
            <wp:effectExtent l="0" t="0" r="3810" b="12065"/>
            <wp:docPr id="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F8182">
      <w:r>
        <w:drawing>
          <wp:inline distT="0" distB="0" distL="114300" distR="114300">
            <wp:extent cx="5272405" cy="3104515"/>
            <wp:effectExtent l="0" t="0" r="10795" b="698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F85BB"/>
    <w:p w14:paraId="4D72F9F8">
      <w:pPr>
        <w:pStyle w:val="4"/>
        <w:spacing w:line="240" w:lineRule="auto"/>
      </w:pPr>
      <w:bookmarkStart w:id="14" w:name="_Toc24790"/>
      <w:r>
        <w:rPr>
          <w:rFonts w:hint="eastAsia"/>
          <w:lang w:val="en-US" w:eastAsia="zh-CN"/>
        </w:rPr>
        <w:t>交易查询</w:t>
      </w:r>
      <w:bookmarkEnd w:id="14"/>
    </w:p>
    <w:p w14:paraId="437655EC">
      <w:pPr>
        <w:spacing w:before="62" w:beforeLines="20" w:after="62" w:afterLines="20" w:line="360" w:lineRule="auto"/>
        <w:ind w:firstLine="480" w:firstLineChars="200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委托人点击菜单“交易发布 &gt; 交易查询”，列表显示所有的交易项目，选择对应项目，点击“查看”按钮，进入交易查询处理页。</w:t>
      </w:r>
    </w:p>
    <w:p w14:paraId="4CC90B1B">
      <w:r>
        <w:drawing>
          <wp:inline distT="0" distB="0" distL="114300" distR="114300">
            <wp:extent cx="5266690" cy="2337435"/>
            <wp:effectExtent l="0" t="0" r="3810" b="12065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1E4ED"/>
    <w:p w14:paraId="483FF89A">
      <w:pPr>
        <w:pStyle w:val="4"/>
        <w:spacing w:line="240" w:lineRule="auto"/>
      </w:pPr>
      <w:bookmarkStart w:id="15" w:name="_Toc18198"/>
      <w:r>
        <w:rPr>
          <w:rFonts w:hint="eastAsia"/>
        </w:rPr>
        <w:t>资格</w:t>
      </w:r>
      <w:r>
        <w:rPr>
          <w:rFonts w:hint="eastAsia"/>
          <w:lang w:val="en-US" w:eastAsia="zh-CN"/>
        </w:rPr>
        <w:t>审查（矿业权出让）</w:t>
      </w:r>
      <w:bookmarkEnd w:id="15"/>
    </w:p>
    <w:p w14:paraId="24CC845C">
      <w:pPr>
        <w:spacing w:before="62" w:beforeLines="20" w:after="62" w:afterLines="20" w:line="360" w:lineRule="auto"/>
        <w:ind w:firstLine="482" w:firstLineChars="200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  <w:lang w:val="en-US" w:eastAsia="zh-CN"/>
        </w:rPr>
        <w:t>土地使用权资格审查流程为：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竞得人上传审核材料-中心经办审核-中心部长审核；</w:t>
      </w:r>
    </w:p>
    <w:p w14:paraId="27EC0FC5">
      <w:pPr>
        <w:spacing w:before="62" w:beforeLines="20" w:after="62" w:afterLines="20" w:line="360" w:lineRule="auto"/>
        <w:ind w:firstLine="482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  <w:lang w:val="en-US" w:eastAsia="zh-CN"/>
        </w:rPr>
        <w:t>矿业权出让资格审查流程为：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竞得人上传审核材料-中心经办审核-中心部长审核-</w:t>
      </w:r>
      <w:r>
        <w:rPr>
          <w:rFonts w:hint="eastAsia" w:ascii="宋体" w:hAnsi="宋体" w:eastAsia="宋体" w:cs="Times New Roman"/>
          <w:color w:val="auto"/>
          <w:sz w:val="24"/>
          <w:szCs w:val="24"/>
          <w:lang w:val="en-US" w:eastAsia="zh-CN"/>
        </w:rPr>
        <w:t>委托人确认；</w:t>
      </w:r>
    </w:p>
    <w:p w14:paraId="2D5F419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资格后审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委托人确认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页面；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点击“通过”按钮，资格审查通过，点击“退回”按钮，流程退回至竞得人上传资格审查材料环节。</w:t>
      </w:r>
    </w:p>
    <w:p w14:paraId="356597F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101C8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8D9E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08A8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5B902D08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72F32059">
      <w:pPr>
        <w:pStyle w:val="4"/>
        <w:spacing w:line="240" w:lineRule="auto"/>
      </w:pPr>
      <w:bookmarkStart w:id="16" w:name="_Toc6412"/>
      <w:r>
        <w:rPr>
          <w:rFonts w:hint="eastAsia"/>
        </w:rPr>
        <w:t>成交确认书</w:t>
      </w:r>
      <w:r>
        <w:rPr>
          <w:rFonts w:hint="eastAsia"/>
          <w:lang w:val="en-US" w:eastAsia="zh-CN"/>
        </w:rPr>
        <w:t>查询</w:t>
      </w:r>
      <w:bookmarkEnd w:id="16"/>
    </w:p>
    <w:p w14:paraId="5CF9AAF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成交确认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成交确认书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点击“查看”按钮，进入成交确认书查看页面。</w:t>
      </w:r>
    </w:p>
    <w:p w14:paraId="4DD6A03A">
      <w:pPr>
        <w:widowControl w:val="0"/>
        <w:adjustRightInd/>
        <w:snapToGrid/>
        <w:spacing w:before="62" w:beforeLines="20" w:after="62" w:afterLines="20" w:line="360" w:lineRule="auto"/>
        <w:jc w:val="center"/>
      </w:pPr>
      <w:r>
        <w:drawing>
          <wp:inline distT="0" distB="0" distL="114300" distR="114300">
            <wp:extent cx="5266690" cy="2337435"/>
            <wp:effectExtent l="0" t="0" r="3810" b="12065"/>
            <wp:docPr id="5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7343A">
      <w:pPr>
        <w:widowControl w:val="0"/>
        <w:adjustRightInd/>
        <w:snapToGrid/>
        <w:spacing w:before="62" w:beforeLines="20" w:after="62" w:afterLines="20" w:line="360" w:lineRule="auto"/>
        <w:jc w:val="center"/>
      </w:pPr>
      <w:r>
        <w:drawing>
          <wp:inline distT="0" distB="0" distL="114300" distR="114300">
            <wp:extent cx="5266690" cy="1703705"/>
            <wp:effectExtent l="0" t="0" r="3810" b="10795"/>
            <wp:docPr id="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A5F9">
      <w:pPr>
        <w:pStyle w:val="4"/>
        <w:spacing w:line="240" w:lineRule="auto"/>
        <w:rPr>
          <w:rFonts w:hint="eastAsia"/>
          <w:lang w:val="en-US" w:eastAsia="zh-CN"/>
        </w:rPr>
      </w:pPr>
      <w:bookmarkStart w:id="17" w:name="_Toc3832"/>
      <w:r>
        <w:rPr>
          <w:rFonts w:hint="eastAsia"/>
          <w:lang w:val="en-US" w:eastAsia="zh-CN"/>
        </w:rPr>
        <w:t>合同签订</w:t>
      </w:r>
      <w:bookmarkEnd w:id="17"/>
    </w:p>
    <w:p w14:paraId="32584EA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合同签订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合同上传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点击“上传”按钮，进入上传合同处理页。填写完合同信息后，点击“上传附件”按钮，将合同上传至系统；点击“业主签章”按钮，对上传的合同进行电子签章，签章完成后，提交至竞得人签章。</w:t>
      </w:r>
    </w:p>
    <w:p w14:paraId="6132B77E">
      <w:r>
        <w:drawing>
          <wp:inline distT="0" distB="0" distL="114300" distR="114300">
            <wp:extent cx="5266690" cy="1862455"/>
            <wp:effectExtent l="0" t="0" r="3810" b="4445"/>
            <wp:docPr id="5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6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CFD7F">
      <w:r>
        <w:drawing>
          <wp:inline distT="0" distB="0" distL="114300" distR="114300">
            <wp:extent cx="5266690" cy="2076450"/>
            <wp:effectExtent l="0" t="0" r="3810" b="6350"/>
            <wp:docPr id="5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478EF">
      <w:r>
        <w:drawing>
          <wp:inline distT="0" distB="0" distL="114300" distR="114300">
            <wp:extent cx="5271135" cy="1627505"/>
            <wp:effectExtent l="0" t="0" r="12065" b="10795"/>
            <wp:docPr id="5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3DA3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合同签订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确认”按钮，进入合同确认处理页，复核无误后，点击“复核通过合同归档”按钮，提交至交易中心进行合同归档，如发现竞得人签章有误，点击“退回竞得人重新签署”按钮，流程回退至竞得人签署环节。</w:t>
      </w:r>
    </w:p>
    <w:p w14:paraId="20731697">
      <w:r>
        <w:drawing>
          <wp:inline distT="0" distB="0" distL="114300" distR="114300">
            <wp:extent cx="5266690" cy="2337435"/>
            <wp:effectExtent l="0" t="0" r="3810" b="12065"/>
            <wp:docPr id="5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51490">
      <w:r>
        <w:drawing>
          <wp:inline distT="0" distB="0" distL="114300" distR="114300">
            <wp:extent cx="5266690" cy="2082165"/>
            <wp:effectExtent l="0" t="0" r="3810" b="635"/>
            <wp:docPr id="6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81E9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36750"/>
            <wp:effectExtent l="0" t="0" r="3810" b="6350"/>
            <wp:docPr id="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09840">
      <w:pPr>
        <w:pStyle w:val="4"/>
        <w:spacing w:line="240" w:lineRule="auto"/>
        <w:rPr>
          <w:rFonts w:hint="eastAsia"/>
          <w:lang w:val="en-US" w:eastAsia="zh-CN"/>
        </w:rPr>
      </w:pPr>
      <w:bookmarkStart w:id="18" w:name="_Toc15351"/>
      <w:bookmarkStart w:id="19" w:name="_Toc54259340"/>
      <w:bookmarkStart w:id="20" w:name="_Hlk102163903"/>
      <w:r>
        <w:rPr>
          <w:rFonts w:hint="eastAsia"/>
          <w:lang w:val="en-US" w:eastAsia="zh-CN"/>
        </w:rPr>
        <w:t>保证金退回</w:t>
      </w:r>
      <w:bookmarkEnd w:id="18"/>
      <w:bookmarkEnd w:id="19"/>
    </w:p>
    <w:p w14:paraId="1A3D3217">
      <w:pPr>
        <w:widowControl w:val="0"/>
        <w:adjustRightInd/>
        <w:snapToGrid/>
        <w:spacing w:before="62" w:beforeLines="20" w:after="62" w:afterLines="20" w:line="360" w:lineRule="auto"/>
        <w:ind w:firstLine="482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</w:rPr>
        <w:t>竞得人退保方式：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出让人发起》经办受理 》部长审核 》 分管领导审核 》主任审核 》财务经办，财务经办接收信息后，在银行系统端发起竞得人保证金的转账处理。</w:t>
      </w:r>
    </w:p>
    <w:p w14:paraId="6E547A0E">
      <w:pPr>
        <w:widowControl w:val="0"/>
        <w:adjustRightInd/>
        <w:snapToGrid/>
        <w:spacing w:before="62" w:beforeLines="20" w:after="62" w:afterLines="20" w:line="360" w:lineRule="auto"/>
        <w:ind w:firstLine="482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  <w:lang w:val="en-US" w:eastAsia="zh-CN"/>
        </w:rPr>
        <w:t>非</w:t>
      </w: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</w:rPr>
        <w:t>竞得人退保方式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：竞价结束后系统自动退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回。</w:t>
      </w:r>
    </w:p>
    <w:p w14:paraId="1FF54C6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保证金退回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划款申请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申请划款”进入划款申请处理页，填写划款申请信息，上传划款申请附件，如：非税收入缴款通知书及银行端查询缴税凭证（必填项），如有其它附件上传在其他附件处。资料填写无误后，点击“提交”按钮，流程到中心审核。</w:t>
      </w:r>
    </w:p>
    <w:p w14:paraId="52A0D9DE">
      <w:pPr>
        <w:widowControl w:val="0"/>
        <w:adjustRightInd/>
        <w:snapToGrid/>
        <w:spacing w:before="62" w:beforeLines="20" w:after="62" w:afterLines="20" w:line="360" w:lineRule="auto"/>
        <w:ind w:firstLine="440" w:firstLineChars="200"/>
        <w:jc w:val="both"/>
      </w:pPr>
      <w:r>
        <w:drawing>
          <wp:inline distT="0" distB="0" distL="114300" distR="114300">
            <wp:extent cx="5266690" cy="2123440"/>
            <wp:effectExtent l="0" t="0" r="381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54404">
      <w:pPr>
        <w:widowControl w:val="0"/>
        <w:adjustRightInd/>
        <w:snapToGrid/>
        <w:spacing w:before="62" w:beforeLines="20" w:after="62" w:afterLines="20" w:line="360" w:lineRule="auto"/>
        <w:ind w:firstLine="440" w:firstLineChars="200"/>
        <w:jc w:val="both"/>
      </w:pPr>
      <w:r>
        <w:drawing>
          <wp:inline distT="0" distB="0" distL="114300" distR="114300">
            <wp:extent cx="5266690" cy="2320925"/>
            <wp:effectExtent l="0" t="0" r="3810" b="317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9FDFD">
      <w:pPr>
        <w:pStyle w:val="4"/>
        <w:spacing w:line="240" w:lineRule="auto"/>
        <w:rPr>
          <w:rFonts w:hint="eastAsia"/>
          <w:lang w:val="en-US" w:eastAsia="zh-CN"/>
        </w:rPr>
      </w:pPr>
      <w:bookmarkStart w:id="21" w:name="_Toc21024"/>
      <w:r>
        <w:rPr>
          <w:rFonts w:hint="eastAsia"/>
          <w:lang w:val="en-US" w:eastAsia="zh-CN"/>
        </w:rPr>
        <w:t>中止交易</w:t>
      </w:r>
      <w:bookmarkEnd w:id="21"/>
    </w:p>
    <w:p w14:paraId="4C498FB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点击菜单“中止交易&gt; 发起项目中止”，点击“新增交易中止”按钮，选择号项目，点击“编辑”按钮，编辑好中止原因及公告；如有附件，在中止公告附件处点击“上传附件”。填写完成后，点击“提交申请”按钮，流程流转到中心经办处理。</w:t>
      </w:r>
    </w:p>
    <w:p w14:paraId="240BE047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</w:p>
    <w:p w14:paraId="06A15DFD">
      <w:pPr>
        <w:rPr>
          <w:rFonts w:hint="eastAsia"/>
          <w:lang w:val="en-US" w:eastAsia="zh-CN"/>
        </w:rPr>
      </w:pPr>
    </w:p>
    <w:p w14:paraId="79B28D1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29410"/>
            <wp:effectExtent l="0" t="0" r="3810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BC61D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81455"/>
            <wp:effectExtent l="0" t="0" r="3810" b="4445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37435"/>
            <wp:effectExtent l="0" t="0" r="3810" b="1206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34805">
      <w:pPr>
        <w:pStyle w:val="4"/>
        <w:spacing w:line="240" w:lineRule="auto"/>
        <w:rPr>
          <w:rFonts w:hint="eastAsia"/>
          <w:lang w:val="en-US" w:eastAsia="zh-CN"/>
        </w:rPr>
      </w:pPr>
      <w:bookmarkStart w:id="22" w:name="_Toc7142"/>
      <w:r>
        <w:rPr>
          <w:rFonts w:hint="eastAsia"/>
          <w:lang w:val="en-US" w:eastAsia="zh-CN"/>
        </w:rPr>
        <w:t>恢复交易</w:t>
      </w:r>
      <w:bookmarkEnd w:id="22"/>
    </w:p>
    <w:p w14:paraId="5C31B21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点击菜单“恢复交易&gt; 发起项目恢复”，点击“新增交易恢复”按钮，选择好项目，点击“编辑”按钮，填写好恢复原因及公告；如有附件，在恢复公告附件处点击“上传附件”。填写完成后，点击“提交申请”按钮，流程流转到中心经办处理。</w:t>
      </w:r>
    </w:p>
    <w:p w14:paraId="68A3292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681480"/>
            <wp:effectExtent l="0" t="0" r="3810" b="762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A594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40180"/>
            <wp:effectExtent l="0" t="0" r="3810" b="762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42D0F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37435"/>
            <wp:effectExtent l="0" t="0" r="3810" b="1206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363B2">
      <w:pPr>
        <w:pStyle w:val="4"/>
        <w:spacing w:line="240" w:lineRule="auto"/>
        <w:rPr>
          <w:rFonts w:hint="eastAsia"/>
          <w:lang w:val="en-US" w:eastAsia="zh-CN"/>
        </w:rPr>
      </w:pPr>
      <w:bookmarkStart w:id="23" w:name="_Toc11970"/>
      <w:r>
        <w:rPr>
          <w:rFonts w:hint="eastAsia"/>
          <w:lang w:val="en-US" w:eastAsia="zh-CN"/>
        </w:rPr>
        <w:t>更正交易</w:t>
      </w:r>
      <w:bookmarkEnd w:id="23"/>
    </w:p>
    <w:p w14:paraId="76A2BB9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点击菜单“更正交易&gt; 发起项目更正”，点击“新增交易更正”按钮，选择好项目，点击“更正”按钮，进入更正处理页，将需要更正的信息（如基本信息、交易时间、资格审核材料等）更正完毕后，点击“发布更正公告”按钮，进入更正公告拟稿页，编辑好更正原因及公告；在更正公告附件处点击“上传附件”，将更正公告附件上传，并对附件进行电子签章。编辑完成后，点击“提交申请”按钮，流程流转到中心经办处理。</w:t>
      </w:r>
    </w:p>
    <w:p w14:paraId="1CAE5CB5">
      <w:pPr>
        <w:rPr>
          <w:rFonts w:hint="eastAsia"/>
          <w:lang w:val="en-US" w:eastAsia="zh-CN"/>
        </w:rPr>
      </w:pPr>
    </w:p>
    <w:p w14:paraId="7516174A">
      <w:r>
        <w:drawing>
          <wp:inline distT="0" distB="0" distL="114300" distR="114300">
            <wp:extent cx="5266690" cy="1637665"/>
            <wp:effectExtent l="0" t="0" r="3810" b="63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09896">
      <w:r>
        <w:drawing>
          <wp:inline distT="0" distB="0" distL="114300" distR="114300">
            <wp:extent cx="5266690" cy="1176655"/>
            <wp:effectExtent l="0" t="0" r="3810" b="444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894EB">
      <w:r>
        <w:drawing>
          <wp:inline distT="0" distB="0" distL="114300" distR="114300">
            <wp:extent cx="5269865" cy="2984500"/>
            <wp:effectExtent l="0" t="0" r="635" b="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F8C03">
      <w:r>
        <w:drawing>
          <wp:inline distT="0" distB="0" distL="114300" distR="114300">
            <wp:extent cx="5268595" cy="2394585"/>
            <wp:effectExtent l="0" t="0" r="1905" b="571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8F5AF">
      <w:r>
        <w:drawing>
          <wp:inline distT="0" distB="0" distL="114300" distR="114300">
            <wp:extent cx="5266690" cy="2159000"/>
            <wp:effectExtent l="0" t="0" r="381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6E65C">
      <w:r>
        <w:drawing>
          <wp:inline distT="0" distB="0" distL="114300" distR="114300">
            <wp:extent cx="5266690" cy="2337435"/>
            <wp:effectExtent l="0" t="0" r="3810" b="1206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AFBFF">
      <w:pPr>
        <w:pStyle w:val="4"/>
        <w:spacing w:line="240" w:lineRule="auto"/>
        <w:rPr>
          <w:rFonts w:hint="eastAsia"/>
          <w:lang w:val="en-US" w:eastAsia="zh-CN"/>
        </w:rPr>
      </w:pPr>
      <w:bookmarkStart w:id="24" w:name="_Toc9939"/>
      <w:r>
        <w:rPr>
          <w:rFonts w:hint="eastAsia"/>
          <w:lang w:val="en-US" w:eastAsia="zh-CN"/>
        </w:rPr>
        <w:t>终止交易</w:t>
      </w:r>
      <w:bookmarkEnd w:id="24"/>
    </w:p>
    <w:p w14:paraId="389F4987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点击菜单“终止交易&gt; 发起项目终止”，点击“新增交易终止”按钮，选择好项目，点击“编辑”按钮，进入终止处理页，编辑终止公告标题及公告；如有附件，在终止公告附件处点击“上传附件”。填写完成后，点击“提交申请”按钮，流程流转到中心经办处理。</w:t>
      </w:r>
    </w:p>
    <w:p w14:paraId="30EF5EE3">
      <w:r>
        <w:drawing>
          <wp:inline distT="0" distB="0" distL="114300" distR="114300">
            <wp:extent cx="5266690" cy="1612900"/>
            <wp:effectExtent l="0" t="0" r="381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8AB4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000125"/>
            <wp:effectExtent l="0" t="0" r="3810" b="317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FE9C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37435"/>
            <wp:effectExtent l="0" t="0" r="3810" b="12065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0"/>
    <w:p w14:paraId="24464809">
      <w:pPr>
        <w:pStyle w:val="3"/>
        <w:widowControl w:val="0"/>
        <w:numPr>
          <w:ilvl w:val="0"/>
          <w:numId w:val="2"/>
        </w:numPr>
        <w:adjustRightInd/>
        <w:snapToGrid/>
        <w:jc w:val="both"/>
      </w:pPr>
      <w:bookmarkStart w:id="25" w:name="_Toc26915"/>
      <w:r>
        <w:rPr>
          <w:rFonts w:hint="eastAsia" w:ascii="黑体" w:hAnsi="Calibri" w:eastAsia="黑体" w:cs="Times New Roman"/>
        </w:rPr>
        <w:t>技术支持</w:t>
      </w:r>
      <w:bookmarkEnd w:id="25"/>
    </w:p>
    <w:p w14:paraId="60E07FB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技术支持联系人：</w:t>
      </w:r>
    </w:p>
    <w:p w14:paraId="686870D3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bookmarkStart w:id="26" w:name="_GoBack"/>
      <w:bookmarkEnd w:id="26"/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郭工：13929310456</w:t>
      </w:r>
    </w:p>
    <w:p w14:paraId="69038F1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14A71961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199A4AA">
    <w:pPr>
      <w:pStyle w:val="1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94B986">
                          <w:pPr>
                            <w:pStyle w:val="1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0O3bcsAgAAV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Q7dt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294B986">
                    <w:pPr>
                      <w:pStyle w:val="1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5F568C"/>
    <w:multiLevelType w:val="multilevel"/>
    <w:tmpl w:val="3F5F568C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6EBB02D"/>
    <w:multiLevelType w:val="multilevel"/>
    <w:tmpl w:val="56EBB02D"/>
    <w:lvl w:ilvl="0" w:tentative="0">
      <w:start w:val="2"/>
      <w:numFmt w:val="decimal"/>
      <w:pStyle w:val="3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EyMzFjZDBhOTg4NDk5MDQyZDhlM2NhNDUwNzk0ZDUifQ=="/>
  </w:docVars>
  <w:rsids>
    <w:rsidRoot w:val="00BD4446"/>
    <w:rsid w:val="000048E5"/>
    <w:rsid w:val="000116E1"/>
    <w:rsid w:val="00015A09"/>
    <w:rsid w:val="00016D7C"/>
    <w:rsid w:val="00036E15"/>
    <w:rsid w:val="00056FB3"/>
    <w:rsid w:val="00070925"/>
    <w:rsid w:val="00075D68"/>
    <w:rsid w:val="0008114D"/>
    <w:rsid w:val="00085330"/>
    <w:rsid w:val="000924D6"/>
    <w:rsid w:val="000932AE"/>
    <w:rsid w:val="000A333E"/>
    <w:rsid w:val="000D1A5F"/>
    <w:rsid w:val="000D7CD9"/>
    <w:rsid w:val="000F7D49"/>
    <w:rsid w:val="000F7F4D"/>
    <w:rsid w:val="0010396A"/>
    <w:rsid w:val="00113BBB"/>
    <w:rsid w:val="00126E22"/>
    <w:rsid w:val="00127180"/>
    <w:rsid w:val="001674A9"/>
    <w:rsid w:val="00191BAB"/>
    <w:rsid w:val="0019213D"/>
    <w:rsid w:val="001A0D3B"/>
    <w:rsid w:val="001A7900"/>
    <w:rsid w:val="001B086B"/>
    <w:rsid w:val="001B5143"/>
    <w:rsid w:val="001C2594"/>
    <w:rsid w:val="001C7974"/>
    <w:rsid w:val="001D37BC"/>
    <w:rsid w:val="001E0DE5"/>
    <w:rsid w:val="00200BA0"/>
    <w:rsid w:val="0020248C"/>
    <w:rsid w:val="00204938"/>
    <w:rsid w:val="00213720"/>
    <w:rsid w:val="00224E56"/>
    <w:rsid w:val="00225D43"/>
    <w:rsid w:val="00255D91"/>
    <w:rsid w:val="00257B29"/>
    <w:rsid w:val="00261103"/>
    <w:rsid w:val="00277D43"/>
    <w:rsid w:val="00286E09"/>
    <w:rsid w:val="00293371"/>
    <w:rsid w:val="0029623D"/>
    <w:rsid w:val="002B0238"/>
    <w:rsid w:val="002D208D"/>
    <w:rsid w:val="002E019E"/>
    <w:rsid w:val="002E0A7A"/>
    <w:rsid w:val="002E5C37"/>
    <w:rsid w:val="00300177"/>
    <w:rsid w:val="003274B9"/>
    <w:rsid w:val="00331DAB"/>
    <w:rsid w:val="00344FE4"/>
    <w:rsid w:val="00345FE8"/>
    <w:rsid w:val="00353081"/>
    <w:rsid w:val="00361A9A"/>
    <w:rsid w:val="00362EB3"/>
    <w:rsid w:val="003639BF"/>
    <w:rsid w:val="00372410"/>
    <w:rsid w:val="00382DC5"/>
    <w:rsid w:val="00385110"/>
    <w:rsid w:val="00392F2E"/>
    <w:rsid w:val="00394DB0"/>
    <w:rsid w:val="003955EE"/>
    <w:rsid w:val="003965A5"/>
    <w:rsid w:val="003A3674"/>
    <w:rsid w:val="003B2303"/>
    <w:rsid w:val="003C11FC"/>
    <w:rsid w:val="003D3261"/>
    <w:rsid w:val="003D7A0E"/>
    <w:rsid w:val="003E4D9A"/>
    <w:rsid w:val="003E6523"/>
    <w:rsid w:val="00405261"/>
    <w:rsid w:val="00407FD1"/>
    <w:rsid w:val="00440197"/>
    <w:rsid w:val="00476025"/>
    <w:rsid w:val="00484552"/>
    <w:rsid w:val="004964F4"/>
    <w:rsid w:val="00496E3C"/>
    <w:rsid w:val="00497ACA"/>
    <w:rsid w:val="004B0040"/>
    <w:rsid w:val="004C5854"/>
    <w:rsid w:val="004D46FD"/>
    <w:rsid w:val="004E411B"/>
    <w:rsid w:val="00517EA1"/>
    <w:rsid w:val="0053599B"/>
    <w:rsid w:val="00540E05"/>
    <w:rsid w:val="00553A06"/>
    <w:rsid w:val="00570387"/>
    <w:rsid w:val="00577E01"/>
    <w:rsid w:val="00585C63"/>
    <w:rsid w:val="00587402"/>
    <w:rsid w:val="00590E8F"/>
    <w:rsid w:val="005952EA"/>
    <w:rsid w:val="005A510B"/>
    <w:rsid w:val="005B3EC7"/>
    <w:rsid w:val="005C02F8"/>
    <w:rsid w:val="005D27F1"/>
    <w:rsid w:val="005D2A9A"/>
    <w:rsid w:val="005D7C41"/>
    <w:rsid w:val="005E3C7E"/>
    <w:rsid w:val="005E3D86"/>
    <w:rsid w:val="00603126"/>
    <w:rsid w:val="00623224"/>
    <w:rsid w:val="006322EB"/>
    <w:rsid w:val="00660F2E"/>
    <w:rsid w:val="006673DD"/>
    <w:rsid w:val="006750DD"/>
    <w:rsid w:val="00675E65"/>
    <w:rsid w:val="00690EA0"/>
    <w:rsid w:val="0069379A"/>
    <w:rsid w:val="00696828"/>
    <w:rsid w:val="006B13D7"/>
    <w:rsid w:val="006B4F71"/>
    <w:rsid w:val="006C14C8"/>
    <w:rsid w:val="006D3A05"/>
    <w:rsid w:val="006E220F"/>
    <w:rsid w:val="007068E9"/>
    <w:rsid w:val="0072118A"/>
    <w:rsid w:val="007313D9"/>
    <w:rsid w:val="007903F9"/>
    <w:rsid w:val="007A0240"/>
    <w:rsid w:val="007A4CCF"/>
    <w:rsid w:val="007A6A7F"/>
    <w:rsid w:val="007B61A0"/>
    <w:rsid w:val="007C6CE9"/>
    <w:rsid w:val="007D482A"/>
    <w:rsid w:val="007E153E"/>
    <w:rsid w:val="00841040"/>
    <w:rsid w:val="00845ABC"/>
    <w:rsid w:val="00854C68"/>
    <w:rsid w:val="008661D7"/>
    <w:rsid w:val="00866FCC"/>
    <w:rsid w:val="00872525"/>
    <w:rsid w:val="008729F6"/>
    <w:rsid w:val="00885C3D"/>
    <w:rsid w:val="008A0560"/>
    <w:rsid w:val="008A395C"/>
    <w:rsid w:val="008D67F6"/>
    <w:rsid w:val="00902FC3"/>
    <w:rsid w:val="009148A8"/>
    <w:rsid w:val="009252D0"/>
    <w:rsid w:val="009308DA"/>
    <w:rsid w:val="00935202"/>
    <w:rsid w:val="009409A1"/>
    <w:rsid w:val="009634D2"/>
    <w:rsid w:val="00976140"/>
    <w:rsid w:val="00983EA0"/>
    <w:rsid w:val="009A47B4"/>
    <w:rsid w:val="009A75E4"/>
    <w:rsid w:val="009B0381"/>
    <w:rsid w:val="009B6426"/>
    <w:rsid w:val="009E2CFA"/>
    <w:rsid w:val="009E3E87"/>
    <w:rsid w:val="009E57F2"/>
    <w:rsid w:val="00A02689"/>
    <w:rsid w:val="00A15001"/>
    <w:rsid w:val="00A2278D"/>
    <w:rsid w:val="00A24B21"/>
    <w:rsid w:val="00A26B9B"/>
    <w:rsid w:val="00A2706F"/>
    <w:rsid w:val="00A43B30"/>
    <w:rsid w:val="00A4569E"/>
    <w:rsid w:val="00A46A2C"/>
    <w:rsid w:val="00A5273B"/>
    <w:rsid w:val="00A67DF0"/>
    <w:rsid w:val="00A776DF"/>
    <w:rsid w:val="00A8047F"/>
    <w:rsid w:val="00A92ED2"/>
    <w:rsid w:val="00AA1BA0"/>
    <w:rsid w:val="00AA24B2"/>
    <w:rsid w:val="00AB4DC8"/>
    <w:rsid w:val="00AC648A"/>
    <w:rsid w:val="00AD44FA"/>
    <w:rsid w:val="00AD6AE0"/>
    <w:rsid w:val="00AE01D7"/>
    <w:rsid w:val="00AE4251"/>
    <w:rsid w:val="00AF1734"/>
    <w:rsid w:val="00AF69D2"/>
    <w:rsid w:val="00AF77C6"/>
    <w:rsid w:val="00B01DAA"/>
    <w:rsid w:val="00B16873"/>
    <w:rsid w:val="00B218D1"/>
    <w:rsid w:val="00B46B3B"/>
    <w:rsid w:val="00B62D15"/>
    <w:rsid w:val="00B70C64"/>
    <w:rsid w:val="00B71363"/>
    <w:rsid w:val="00B76E2E"/>
    <w:rsid w:val="00B8004B"/>
    <w:rsid w:val="00B90F17"/>
    <w:rsid w:val="00BA4806"/>
    <w:rsid w:val="00BA6F42"/>
    <w:rsid w:val="00BA7326"/>
    <w:rsid w:val="00BB0E21"/>
    <w:rsid w:val="00BD01BA"/>
    <w:rsid w:val="00BD4446"/>
    <w:rsid w:val="00BE09AC"/>
    <w:rsid w:val="00BE4F08"/>
    <w:rsid w:val="00BF21EA"/>
    <w:rsid w:val="00C1182A"/>
    <w:rsid w:val="00C21F38"/>
    <w:rsid w:val="00C30B7B"/>
    <w:rsid w:val="00C36C83"/>
    <w:rsid w:val="00C467AE"/>
    <w:rsid w:val="00C50EEA"/>
    <w:rsid w:val="00C600F3"/>
    <w:rsid w:val="00C707F0"/>
    <w:rsid w:val="00C86D13"/>
    <w:rsid w:val="00CB5BD9"/>
    <w:rsid w:val="00CB76F5"/>
    <w:rsid w:val="00CD359B"/>
    <w:rsid w:val="00CE536F"/>
    <w:rsid w:val="00D02056"/>
    <w:rsid w:val="00D03586"/>
    <w:rsid w:val="00D12F51"/>
    <w:rsid w:val="00D23F03"/>
    <w:rsid w:val="00D2410F"/>
    <w:rsid w:val="00D41377"/>
    <w:rsid w:val="00D4795E"/>
    <w:rsid w:val="00D50CCE"/>
    <w:rsid w:val="00D6112A"/>
    <w:rsid w:val="00D761DD"/>
    <w:rsid w:val="00D86304"/>
    <w:rsid w:val="00D9280F"/>
    <w:rsid w:val="00DA7934"/>
    <w:rsid w:val="00DB3D83"/>
    <w:rsid w:val="00DC1088"/>
    <w:rsid w:val="00DD6CBC"/>
    <w:rsid w:val="00DF2C8A"/>
    <w:rsid w:val="00E04062"/>
    <w:rsid w:val="00E05FD5"/>
    <w:rsid w:val="00E147A8"/>
    <w:rsid w:val="00E17728"/>
    <w:rsid w:val="00E2735C"/>
    <w:rsid w:val="00E31411"/>
    <w:rsid w:val="00E406C1"/>
    <w:rsid w:val="00E440BA"/>
    <w:rsid w:val="00E53882"/>
    <w:rsid w:val="00E645AC"/>
    <w:rsid w:val="00E93DB6"/>
    <w:rsid w:val="00EA0888"/>
    <w:rsid w:val="00EC74E3"/>
    <w:rsid w:val="00ED521C"/>
    <w:rsid w:val="00EF3F63"/>
    <w:rsid w:val="00F04035"/>
    <w:rsid w:val="00F049AC"/>
    <w:rsid w:val="00F22AED"/>
    <w:rsid w:val="00F2394D"/>
    <w:rsid w:val="00F570A5"/>
    <w:rsid w:val="00F6448D"/>
    <w:rsid w:val="00F65B8B"/>
    <w:rsid w:val="00F71C44"/>
    <w:rsid w:val="00F87BB5"/>
    <w:rsid w:val="00F94561"/>
    <w:rsid w:val="00FA6B7D"/>
    <w:rsid w:val="00FC12A8"/>
    <w:rsid w:val="00FD2F48"/>
    <w:rsid w:val="00FD54A4"/>
    <w:rsid w:val="00FF516F"/>
    <w:rsid w:val="01093842"/>
    <w:rsid w:val="01283D91"/>
    <w:rsid w:val="01AC5842"/>
    <w:rsid w:val="01F472A9"/>
    <w:rsid w:val="020515AD"/>
    <w:rsid w:val="02A613FB"/>
    <w:rsid w:val="02F344FA"/>
    <w:rsid w:val="03EB3121"/>
    <w:rsid w:val="03ED5B28"/>
    <w:rsid w:val="04235BBB"/>
    <w:rsid w:val="04F35535"/>
    <w:rsid w:val="05541611"/>
    <w:rsid w:val="0594729B"/>
    <w:rsid w:val="05E232D5"/>
    <w:rsid w:val="060511EF"/>
    <w:rsid w:val="0617041D"/>
    <w:rsid w:val="0652102D"/>
    <w:rsid w:val="06FB6940"/>
    <w:rsid w:val="07867CCC"/>
    <w:rsid w:val="082958B4"/>
    <w:rsid w:val="082B0EAC"/>
    <w:rsid w:val="083E4BF0"/>
    <w:rsid w:val="09052CF6"/>
    <w:rsid w:val="093A1657"/>
    <w:rsid w:val="09421EC5"/>
    <w:rsid w:val="099119B2"/>
    <w:rsid w:val="09B039F5"/>
    <w:rsid w:val="09BA3DC6"/>
    <w:rsid w:val="09D775EC"/>
    <w:rsid w:val="09DA1233"/>
    <w:rsid w:val="09EB4DD4"/>
    <w:rsid w:val="0A82254C"/>
    <w:rsid w:val="0BAD7697"/>
    <w:rsid w:val="0BCE455A"/>
    <w:rsid w:val="0BFF7D9C"/>
    <w:rsid w:val="0C2247B9"/>
    <w:rsid w:val="0C486C3D"/>
    <w:rsid w:val="0C842E80"/>
    <w:rsid w:val="0C8F447A"/>
    <w:rsid w:val="0D066A0A"/>
    <w:rsid w:val="0D0C314A"/>
    <w:rsid w:val="0D56434B"/>
    <w:rsid w:val="0D5E3204"/>
    <w:rsid w:val="0D870660"/>
    <w:rsid w:val="0E2456FB"/>
    <w:rsid w:val="0E46076F"/>
    <w:rsid w:val="0E4C255B"/>
    <w:rsid w:val="0E927B6D"/>
    <w:rsid w:val="0E935DFC"/>
    <w:rsid w:val="0ED532FB"/>
    <w:rsid w:val="0F2B26AF"/>
    <w:rsid w:val="0F931DEF"/>
    <w:rsid w:val="0FE8213B"/>
    <w:rsid w:val="100C0D4C"/>
    <w:rsid w:val="106E64E3"/>
    <w:rsid w:val="10A21647"/>
    <w:rsid w:val="10DA201B"/>
    <w:rsid w:val="10DF6FDE"/>
    <w:rsid w:val="12A714C0"/>
    <w:rsid w:val="12B46C9D"/>
    <w:rsid w:val="12ED61BD"/>
    <w:rsid w:val="12F9465F"/>
    <w:rsid w:val="130945BE"/>
    <w:rsid w:val="130D2369"/>
    <w:rsid w:val="13207E3D"/>
    <w:rsid w:val="13465AC5"/>
    <w:rsid w:val="136C6BDF"/>
    <w:rsid w:val="138F4439"/>
    <w:rsid w:val="13DF3855"/>
    <w:rsid w:val="13E64BA0"/>
    <w:rsid w:val="13FD21E7"/>
    <w:rsid w:val="140161EE"/>
    <w:rsid w:val="14120F9F"/>
    <w:rsid w:val="14710401"/>
    <w:rsid w:val="14C22DAB"/>
    <w:rsid w:val="14D27A43"/>
    <w:rsid w:val="151C3441"/>
    <w:rsid w:val="152A750C"/>
    <w:rsid w:val="15314E2E"/>
    <w:rsid w:val="156E0F20"/>
    <w:rsid w:val="15B324F5"/>
    <w:rsid w:val="15DC0E6E"/>
    <w:rsid w:val="15EA017D"/>
    <w:rsid w:val="15FA4976"/>
    <w:rsid w:val="16135A37"/>
    <w:rsid w:val="162A022D"/>
    <w:rsid w:val="163E1B6A"/>
    <w:rsid w:val="165F6063"/>
    <w:rsid w:val="1674261F"/>
    <w:rsid w:val="173A3314"/>
    <w:rsid w:val="175B522E"/>
    <w:rsid w:val="17694042"/>
    <w:rsid w:val="17AB054A"/>
    <w:rsid w:val="17FE7199"/>
    <w:rsid w:val="180C4610"/>
    <w:rsid w:val="181541A7"/>
    <w:rsid w:val="18160E3D"/>
    <w:rsid w:val="18300BF7"/>
    <w:rsid w:val="18470C21"/>
    <w:rsid w:val="18883EBE"/>
    <w:rsid w:val="18E4307E"/>
    <w:rsid w:val="18ED2FBF"/>
    <w:rsid w:val="194523AC"/>
    <w:rsid w:val="195A5E0E"/>
    <w:rsid w:val="197D20D1"/>
    <w:rsid w:val="1A155913"/>
    <w:rsid w:val="1A203864"/>
    <w:rsid w:val="1A745923"/>
    <w:rsid w:val="1BB9587D"/>
    <w:rsid w:val="1BFF71F2"/>
    <w:rsid w:val="1C523CA3"/>
    <w:rsid w:val="1C70295B"/>
    <w:rsid w:val="1D2D6657"/>
    <w:rsid w:val="1D385D84"/>
    <w:rsid w:val="1D630360"/>
    <w:rsid w:val="1DD7559C"/>
    <w:rsid w:val="1DFB128B"/>
    <w:rsid w:val="1E7B7349"/>
    <w:rsid w:val="1F10332B"/>
    <w:rsid w:val="1F374545"/>
    <w:rsid w:val="1F6732E1"/>
    <w:rsid w:val="1FE15D48"/>
    <w:rsid w:val="1FE95324"/>
    <w:rsid w:val="1FEE74DC"/>
    <w:rsid w:val="201F0A47"/>
    <w:rsid w:val="20A0536E"/>
    <w:rsid w:val="218F029B"/>
    <w:rsid w:val="222E33B9"/>
    <w:rsid w:val="2272671C"/>
    <w:rsid w:val="22752D03"/>
    <w:rsid w:val="22884E93"/>
    <w:rsid w:val="22E703C3"/>
    <w:rsid w:val="230462B1"/>
    <w:rsid w:val="23172F69"/>
    <w:rsid w:val="23732D70"/>
    <w:rsid w:val="24001416"/>
    <w:rsid w:val="245F009A"/>
    <w:rsid w:val="24692985"/>
    <w:rsid w:val="247B3D2D"/>
    <w:rsid w:val="24906580"/>
    <w:rsid w:val="24AF2344"/>
    <w:rsid w:val="24E567F1"/>
    <w:rsid w:val="250D1426"/>
    <w:rsid w:val="253D03DB"/>
    <w:rsid w:val="2558191F"/>
    <w:rsid w:val="261849A4"/>
    <w:rsid w:val="270F30C5"/>
    <w:rsid w:val="27A41DC1"/>
    <w:rsid w:val="27CD3E06"/>
    <w:rsid w:val="284101E2"/>
    <w:rsid w:val="28786ADC"/>
    <w:rsid w:val="289851DC"/>
    <w:rsid w:val="29020848"/>
    <w:rsid w:val="291137F5"/>
    <w:rsid w:val="2917518B"/>
    <w:rsid w:val="29363ABF"/>
    <w:rsid w:val="2939710B"/>
    <w:rsid w:val="29507463"/>
    <w:rsid w:val="2964062C"/>
    <w:rsid w:val="29BE40DE"/>
    <w:rsid w:val="2A0A2F11"/>
    <w:rsid w:val="2A1D193D"/>
    <w:rsid w:val="2A6A147C"/>
    <w:rsid w:val="2A6E4446"/>
    <w:rsid w:val="2A726F88"/>
    <w:rsid w:val="2ABF0A0D"/>
    <w:rsid w:val="2B3E7185"/>
    <w:rsid w:val="2B882DDB"/>
    <w:rsid w:val="2B964ABA"/>
    <w:rsid w:val="2BA03472"/>
    <w:rsid w:val="2BC07D77"/>
    <w:rsid w:val="2C044E25"/>
    <w:rsid w:val="2CCE5529"/>
    <w:rsid w:val="2CDE06F5"/>
    <w:rsid w:val="2D0143E4"/>
    <w:rsid w:val="2D101302"/>
    <w:rsid w:val="2D2A00B1"/>
    <w:rsid w:val="2E00644A"/>
    <w:rsid w:val="2E0119E3"/>
    <w:rsid w:val="2F407445"/>
    <w:rsid w:val="2FAF6379"/>
    <w:rsid w:val="2FB65E9C"/>
    <w:rsid w:val="305B2034"/>
    <w:rsid w:val="307076E4"/>
    <w:rsid w:val="30966870"/>
    <w:rsid w:val="31722A0B"/>
    <w:rsid w:val="31965ABD"/>
    <w:rsid w:val="31C61227"/>
    <w:rsid w:val="31E71CE4"/>
    <w:rsid w:val="31F41229"/>
    <w:rsid w:val="32B54909"/>
    <w:rsid w:val="32F83EEF"/>
    <w:rsid w:val="334718AA"/>
    <w:rsid w:val="337C63E2"/>
    <w:rsid w:val="339B7340"/>
    <w:rsid w:val="33A53D1B"/>
    <w:rsid w:val="341037F9"/>
    <w:rsid w:val="3480562F"/>
    <w:rsid w:val="348A6927"/>
    <w:rsid w:val="34C91C8B"/>
    <w:rsid w:val="35B244CD"/>
    <w:rsid w:val="35D60414"/>
    <w:rsid w:val="35E90A70"/>
    <w:rsid w:val="370F0246"/>
    <w:rsid w:val="3745169B"/>
    <w:rsid w:val="380F6CE0"/>
    <w:rsid w:val="381B4AF5"/>
    <w:rsid w:val="386F1E14"/>
    <w:rsid w:val="38C62BDC"/>
    <w:rsid w:val="38D64977"/>
    <w:rsid w:val="391334D5"/>
    <w:rsid w:val="395568D4"/>
    <w:rsid w:val="39591D22"/>
    <w:rsid w:val="3968630F"/>
    <w:rsid w:val="39E30ACA"/>
    <w:rsid w:val="39E339F7"/>
    <w:rsid w:val="39E62898"/>
    <w:rsid w:val="3AAC7F55"/>
    <w:rsid w:val="3ACC7ED7"/>
    <w:rsid w:val="3BB86550"/>
    <w:rsid w:val="3C002D2C"/>
    <w:rsid w:val="3C3A346E"/>
    <w:rsid w:val="3C7A07E1"/>
    <w:rsid w:val="3C8F6671"/>
    <w:rsid w:val="3CC40E25"/>
    <w:rsid w:val="3D036170"/>
    <w:rsid w:val="3D174A6B"/>
    <w:rsid w:val="3D4B0F3E"/>
    <w:rsid w:val="3D7C03C1"/>
    <w:rsid w:val="3DB15D74"/>
    <w:rsid w:val="3E6261AB"/>
    <w:rsid w:val="3EB06B77"/>
    <w:rsid w:val="3EBE3EE3"/>
    <w:rsid w:val="3ED74FA5"/>
    <w:rsid w:val="40154EB9"/>
    <w:rsid w:val="40A9648B"/>
    <w:rsid w:val="40B02598"/>
    <w:rsid w:val="40CF7A04"/>
    <w:rsid w:val="40F97454"/>
    <w:rsid w:val="412444F5"/>
    <w:rsid w:val="41E03E9D"/>
    <w:rsid w:val="42993D61"/>
    <w:rsid w:val="42C419E1"/>
    <w:rsid w:val="42CD2946"/>
    <w:rsid w:val="433B23BF"/>
    <w:rsid w:val="437F30E1"/>
    <w:rsid w:val="43B14016"/>
    <w:rsid w:val="43C46996"/>
    <w:rsid w:val="441C2606"/>
    <w:rsid w:val="44476729"/>
    <w:rsid w:val="45071FDE"/>
    <w:rsid w:val="451B6685"/>
    <w:rsid w:val="452B3703"/>
    <w:rsid w:val="45746864"/>
    <w:rsid w:val="45A06674"/>
    <w:rsid w:val="45F44496"/>
    <w:rsid w:val="45FA731C"/>
    <w:rsid w:val="46180E07"/>
    <w:rsid w:val="46A0341E"/>
    <w:rsid w:val="47454352"/>
    <w:rsid w:val="47B739CD"/>
    <w:rsid w:val="47CA66EC"/>
    <w:rsid w:val="47FD3E69"/>
    <w:rsid w:val="48615425"/>
    <w:rsid w:val="48B564FA"/>
    <w:rsid w:val="49202E3E"/>
    <w:rsid w:val="4A77763C"/>
    <w:rsid w:val="4AA20B5D"/>
    <w:rsid w:val="4AD01703"/>
    <w:rsid w:val="4AFA2F6F"/>
    <w:rsid w:val="4B326047"/>
    <w:rsid w:val="4B396357"/>
    <w:rsid w:val="4B8E50C5"/>
    <w:rsid w:val="4BB94F3A"/>
    <w:rsid w:val="4CC0624F"/>
    <w:rsid w:val="4CF34D93"/>
    <w:rsid w:val="4D6420F9"/>
    <w:rsid w:val="4DCC4CD5"/>
    <w:rsid w:val="4E254C41"/>
    <w:rsid w:val="4E432F4E"/>
    <w:rsid w:val="4EE17BB1"/>
    <w:rsid w:val="4EE322D7"/>
    <w:rsid w:val="4F005E52"/>
    <w:rsid w:val="4F161963"/>
    <w:rsid w:val="4F2A5DC6"/>
    <w:rsid w:val="4F556F37"/>
    <w:rsid w:val="4F8B3950"/>
    <w:rsid w:val="503414DD"/>
    <w:rsid w:val="50826F95"/>
    <w:rsid w:val="508A315E"/>
    <w:rsid w:val="51951BF2"/>
    <w:rsid w:val="51963027"/>
    <w:rsid w:val="51BC648A"/>
    <w:rsid w:val="529C12ED"/>
    <w:rsid w:val="52B3281F"/>
    <w:rsid w:val="52B769EC"/>
    <w:rsid w:val="52CC6868"/>
    <w:rsid w:val="52F35042"/>
    <w:rsid w:val="52FE5588"/>
    <w:rsid w:val="53454559"/>
    <w:rsid w:val="53940E44"/>
    <w:rsid w:val="54232701"/>
    <w:rsid w:val="543A6931"/>
    <w:rsid w:val="54F962F3"/>
    <w:rsid w:val="551F1586"/>
    <w:rsid w:val="55654C60"/>
    <w:rsid w:val="557D2B68"/>
    <w:rsid w:val="55B7012A"/>
    <w:rsid w:val="55E24503"/>
    <w:rsid w:val="56C55F31"/>
    <w:rsid w:val="572242BD"/>
    <w:rsid w:val="57A65BB5"/>
    <w:rsid w:val="57A83B5A"/>
    <w:rsid w:val="57BB74D2"/>
    <w:rsid w:val="57C77B93"/>
    <w:rsid w:val="57E37D64"/>
    <w:rsid w:val="57E64A3A"/>
    <w:rsid w:val="58520F6A"/>
    <w:rsid w:val="58975736"/>
    <w:rsid w:val="58FA78C7"/>
    <w:rsid w:val="58FD5BE8"/>
    <w:rsid w:val="58FF02AC"/>
    <w:rsid w:val="59524405"/>
    <w:rsid w:val="595F1F0F"/>
    <w:rsid w:val="5977053B"/>
    <w:rsid w:val="59967482"/>
    <w:rsid w:val="59DF1B61"/>
    <w:rsid w:val="5A8E4C59"/>
    <w:rsid w:val="5AA20705"/>
    <w:rsid w:val="5AD66521"/>
    <w:rsid w:val="5B081F68"/>
    <w:rsid w:val="5BDC37A3"/>
    <w:rsid w:val="5BEE6D28"/>
    <w:rsid w:val="5CF02465"/>
    <w:rsid w:val="5DB25F7C"/>
    <w:rsid w:val="5DFA4F8A"/>
    <w:rsid w:val="5E8425FB"/>
    <w:rsid w:val="5E9D36BD"/>
    <w:rsid w:val="5EEC1F4F"/>
    <w:rsid w:val="5EFF4AB0"/>
    <w:rsid w:val="5F765910"/>
    <w:rsid w:val="602546DE"/>
    <w:rsid w:val="602D6443"/>
    <w:rsid w:val="603409D4"/>
    <w:rsid w:val="60CA63AB"/>
    <w:rsid w:val="611B0F24"/>
    <w:rsid w:val="61CE2F72"/>
    <w:rsid w:val="62537588"/>
    <w:rsid w:val="625825CC"/>
    <w:rsid w:val="62CB1B8C"/>
    <w:rsid w:val="630000FC"/>
    <w:rsid w:val="6398664E"/>
    <w:rsid w:val="63C766E9"/>
    <w:rsid w:val="63CD6BC0"/>
    <w:rsid w:val="642D505E"/>
    <w:rsid w:val="646F72A3"/>
    <w:rsid w:val="6497022B"/>
    <w:rsid w:val="64C22AF0"/>
    <w:rsid w:val="65083CAD"/>
    <w:rsid w:val="6564693C"/>
    <w:rsid w:val="65AB66C0"/>
    <w:rsid w:val="65C4585B"/>
    <w:rsid w:val="65CC7931"/>
    <w:rsid w:val="663A7A43"/>
    <w:rsid w:val="66664C8F"/>
    <w:rsid w:val="67852F40"/>
    <w:rsid w:val="67AF7989"/>
    <w:rsid w:val="67B76610"/>
    <w:rsid w:val="67FC7C8C"/>
    <w:rsid w:val="680B74C6"/>
    <w:rsid w:val="68760031"/>
    <w:rsid w:val="68A22680"/>
    <w:rsid w:val="697F6DFD"/>
    <w:rsid w:val="69902B6B"/>
    <w:rsid w:val="69A21600"/>
    <w:rsid w:val="69D16911"/>
    <w:rsid w:val="69E70C2B"/>
    <w:rsid w:val="6A6E56A3"/>
    <w:rsid w:val="6AC53BFC"/>
    <w:rsid w:val="6ACA583A"/>
    <w:rsid w:val="6ADC4E36"/>
    <w:rsid w:val="6ADE7DB6"/>
    <w:rsid w:val="6AFF61FD"/>
    <w:rsid w:val="6B8F3B28"/>
    <w:rsid w:val="6B9D6AAA"/>
    <w:rsid w:val="6BE77122"/>
    <w:rsid w:val="6C4F062A"/>
    <w:rsid w:val="6C5F4EBE"/>
    <w:rsid w:val="6CDD1B53"/>
    <w:rsid w:val="6CF90CF0"/>
    <w:rsid w:val="6D136D3C"/>
    <w:rsid w:val="6D3D5F36"/>
    <w:rsid w:val="6D80459B"/>
    <w:rsid w:val="6D894588"/>
    <w:rsid w:val="6E0D68B0"/>
    <w:rsid w:val="6E7558EB"/>
    <w:rsid w:val="6ED768FC"/>
    <w:rsid w:val="6F46511F"/>
    <w:rsid w:val="6F957A8D"/>
    <w:rsid w:val="6FC24F69"/>
    <w:rsid w:val="6FEA70C7"/>
    <w:rsid w:val="6FEB7D36"/>
    <w:rsid w:val="701D465E"/>
    <w:rsid w:val="70350A84"/>
    <w:rsid w:val="70547A9B"/>
    <w:rsid w:val="70B57AA1"/>
    <w:rsid w:val="71EA060B"/>
    <w:rsid w:val="724C17E3"/>
    <w:rsid w:val="726E6F4A"/>
    <w:rsid w:val="72894813"/>
    <w:rsid w:val="72E61EEA"/>
    <w:rsid w:val="737A1D15"/>
    <w:rsid w:val="73A84956"/>
    <w:rsid w:val="73BD5AAB"/>
    <w:rsid w:val="73FD1259"/>
    <w:rsid w:val="74206256"/>
    <w:rsid w:val="74880F24"/>
    <w:rsid w:val="74A164A0"/>
    <w:rsid w:val="74A32ABF"/>
    <w:rsid w:val="75171FE5"/>
    <w:rsid w:val="7519643E"/>
    <w:rsid w:val="752C70F1"/>
    <w:rsid w:val="75C66263"/>
    <w:rsid w:val="76222E38"/>
    <w:rsid w:val="76593502"/>
    <w:rsid w:val="76637894"/>
    <w:rsid w:val="76726D86"/>
    <w:rsid w:val="768C7E47"/>
    <w:rsid w:val="76A855A8"/>
    <w:rsid w:val="76E05490"/>
    <w:rsid w:val="779B449A"/>
    <w:rsid w:val="780517B1"/>
    <w:rsid w:val="785F0292"/>
    <w:rsid w:val="78633B3E"/>
    <w:rsid w:val="786C17C6"/>
    <w:rsid w:val="78A551F0"/>
    <w:rsid w:val="792A21D6"/>
    <w:rsid w:val="7930205C"/>
    <w:rsid w:val="79E011D5"/>
    <w:rsid w:val="79E46B46"/>
    <w:rsid w:val="7A164223"/>
    <w:rsid w:val="7B657DEF"/>
    <w:rsid w:val="7B6B7C58"/>
    <w:rsid w:val="7B6E7B48"/>
    <w:rsid w:val="7B747935"/>
    <w:rsid w:val="7B8A5924"/>
    <w:rsid w:val="7BD434E7"/>
    <w:rsid w:val="7BF4741E"/>
    <w:rsid w:val="7C423754"/>
    <w:rsid w:val="7C6545D6"/>
    <w:rsid w:val="7C8C31E0"/>
    <w:rsid w:val="7CBE0147"/>
    <w:rsid w:val="7CFD1736"/>
    <w:rsid w:val="7D006E99"/>
    <w:rsid w:val="7D747887"/>
    <w:rsid w:val="7D935F6D"/>
    <w:rsid w:val="7E485651"/>
    <w:rsid w:val="7E503E50"/>
    <w:rsid w:val="7EA51438"/>
    <w:rsid w:val="7EF14B2A"/>
    <w:rsid w:val="7F342968"/>
    <w:rsid w:val="7F4E2095"/>
    <w:rsid w:val="7F8F09A8"/>
    <w:rsid w:val="7FC23B9E"/>
    <w:rsid w:val="7FEE5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3">
    <w:name w:val="heading 1"/>
    <w:basedOn w:val="1"/>
    <w:next w:val="1"/>
    <w:link w:val="25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eastAsia="黑体"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link w:val="35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rFonts w:eastAsia="宋体"/>
      <w:sz w:val="32"/>
    </w:rPr>
  </w:style>
  <w:style w:type="paragraph" w:styleId="6">
    <w:name w:val="heading 4"/>
    <w:basedOn w:val="5"/>
    <w:next w:val="1"/>
    <w:autoRedefine/>
    <w:unhideWhenUsed/>
    <w:qFormat/>
    <w:uiPriority w:val="9"/>
    <w:pPr>
      <w:numPr>
        <w:ilvl w:val="3"/>
      </w:numPr>
      <w:tabs>
        <w:tab w:val="left" w:pos="432"/>
        <w:tab w:val="left" w:pos="864"/>
        <w:tab w:val="left" w:pos="1290"/>
      </w:tabs>
      <w:spacing w:before="280" w:after="290" w:line="376" w:lineRule="auto"/>
      <w:outlineLvl w:val="3"/>
    </w:pPr>
    <w:rPr>
      <w:rFonts w:ascii="Arial" w:hAnsi="Arial" w:eastAsia="黑体"/>
      <w:sz w:val="28"/>
      <w:szCs w:val="28"/>
    </w:rPr>
  </w:style>
  <w:style w:type="paragraph" w:styleId="7">
    <w:name w:val="heading 5"/>
    <w:basedOn w:val="1"/>
    <w:next w:val="1"/>
    <w:autoRedefine/>
    <w:semiHidden/>
    <w:unhideWhenUsed/>
    <w:qFormat/>
    <w:uiPriority w:val="9"/>
    <w:pPr>
      <w:keepNext/>
      <w:keepLines/>
      <w:numPr>
        <w:ilvl w:val="4"/>
        <w:numId w:val="1"/>
      </w:numPr>
      <w:tabs>
        <w:tab w:val="left" w:pos="1008"/>
      </w:tabs>
      <w:spacing w:before="280" w:after="290" w:line="372" w:lineRule="auto"/>
      <w:outlineLvl w:val="4"/>
    </w:pPr>
    <w:rPr>
      <w:b/>
      <w:sz w:val="28"/>
    </w:rPr>
  </w:style>
  <w:style w:type="paragraph" w:styleId="8">
    <w:name w:val="heading 6"/>
    <w:basedOn w:val="1"/>
    <w:next w:val="1"/>
    <w:autoRedefine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autoRedefine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10">
    <w:name w:val="heading 8"/>
    <w:basedOn w:val="1"/>
    <w:next w:val="1"/>
    <w:autoRedefine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autoRedefine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2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2">
    <w:name w:val="annotation text"/>
    <w:basedOn w:val="1"/>
    <w:link w:val="32"/>
    <w:autoRedefine/>
    <w:semiHidden/>
    <w:unhideWhenUsed/>
    <w:qFormat/>
    <w:uiPriority w:val="99"/>
  </w:style>
  <w:style w:type="paragraph" w:styleId="13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14">
    <w:name w:val="Date"/>
    <w:basedOn w:val="1"/>
    <w:next w:val="1"/>
    <w:link w:val="24"/>
    <w:autoRedefine/>
    <w:semiHidden/>
    <w:unhideWhenUsed/>
    <w:qFormat/>
    <w:uiPriority w:val="99"/>
    <w:pPr>
      <w:ind w:left="100" w:leftChars="2500"/>
    </w:pPr>
  </w:style>
  <w:style w:type="paragraph" w:styleId="15">
    <w:name w:val="Balloon Text"/>
    <w:basedOn w:val="1"/>
    <w:link w:val="34"/>
    <w:autoRedefine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16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</w:pPr>
    <w:rPr>
      <w:sz w:val="18"/>
    </w:rPr>
  </w:style>
  <w:style w:type="paragraph" w:styleId="17">
    <w:name w:val="header"/>
    <w:basedOn w:val="1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18">
    <w:name w:val="toc 1"/>
    <w:basedOn w:val="1"/>
    <w:next w:val="1"/>
    <w:autoRedefine/>
    <w:unhideWhenUsed/>
    <w:qFormat/>
    <w:uiPriority w:val="39"/>
  </w:style>
  <w:style w:type="paragraph" w:styleId="19">
    <w:name w:val="annotation subject"/>
    <w:basedOn w:val="12"/>
    <w:next w:val="12"/>
    <w:link w:val="33"/>
    <w:autoRedefine/>
    <w:semiHidden/>
    <w:unhideWhenUsed/>
    <w:qFormat/>
    <w:uiPriority w:val="99"/>
    <w:rPr>
      <w:b/>
      <w:bCs/>
    </w:rPr>
  </w:style>
  <w:style w:type="character" w:styleId="22">
    <w:name w:val="Hyperlink"/>
    <w:basedOn w:val="21"/>
    <w:autoRedefine/>
    <w:unhideWhenUsed/>
    <w:qFormat/>
    <w:uiPriority w:val="99"/>
    <w:rPr>
      <w:color w:val="0000FF"/>
      <w:u w:val="single"/>
    </w:rPr>
  </w:style>
  <w:style w:type="character" w:styleId="23">
    <w:name w:val="annotation reference"/>
    <w:basedOn w:val="21"/>
    <w:autoRedefine/>
    <w:semiHidden/>
    <w:unhideWhenUsed/>
    <w:qFormat/>
    <w:uiPriority w:val="99"/>
    <w:rPr>
      <w:sz w:val="21"/>
      <w:szCs w:val="21"/>
    </w:rPr>
  </w:style>
  <w:style w:type="character" w:customStyle="1" w:styleId="24">
    <w:name w:val="日期 字符"/>
    <w:basedOn w:val="21"/>
    <w:link w:val="14"/>
    <w:autoRedefine/>
    <w:semiHidden/>
    <w:qFormat/>
    <w:uiPriority w:val="99"/>
    <w:rPr>
      <w:rFonts w:ascii="Tahoma" w:hAnsi="Tahoma" w:eastAsia="微软雅黑"/>
      <w:kern w:val="0"/>
      <w:sz w:val="22"/>
    </w:rPr>
  </w:style>
  <w:style w:type="character" w:customStyle="1" w:styleId="25">
    <w:name w:val="标题 1 字符"/>
    <w:basedOn w:val="21"/>
    <w:link w:val="3"/>
    <w:autoRedefine/>
    <w:qFormat/>
    <w:uiPriority w:val="9"/>
    <w:rPr>
      <w:rFonts w:ascii="Tahoma" w:hAnsi="Tahoma" w:eastAsia="微软雅黑"/>
      <w:b/>
      <w:bCs/>
      <w:kern w:val="44"/>
      <w:sz w:val="44"/>
      <w:szCs w:val="44"/>
    </w:rPr>
  </w:style>
  <w:style w:type="character" w:customStyle="1" w:styleId="26">
    <w:name w:val="标题 2 字符"/>
    <w:basedOn w:val="21"/>
    <w:link w:val="4"/>
    <w:autoRedefine/>
    <w:qFormat/>
    <w:uiPriority w:val="9"/>
    <w:rPr>
      <w:rFonts w:eastAsia="黑体" w:asciiTheme="majorHAnsi" w:hAnsiTheme="majorHAnsi" w:cstheme="majorBidi"/>
      <w:b/>
      <w:bCs/>
      <w:kern w:val="0"/>
      <w:sz w:val="32"/>
      <w:szCs w:val="32"/>
    </w:rPr>
  </w:style>
  <w:style w:type="paragraph" w:styleId="27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28">
    <w:name w:val="apple-converted-space"/>
    <w:basedOn w:val="21"/>
    <w:autoRedefine/>
    <w:qFormat/>
    <w:uiPriority w:val="0"/>
  </w:style>
  <w:style w:type="paragraph" w:customStyle="1" w:styleId="29">
    <w:name w:val="WPSOffice手动目录 1"/>
    <w:autoRedefine/>
    <w:qFormat/>
    <w:uiPriority w:val="0"/>
    <w:rPr>
      <w:rFonts w:ascii="Calibri" w:hAnsi="Calibri" w:eastAsia="宋体" w:cs="Times New Roman"/>
      <w:lang w:val="en-US" w:eastAsia="zh-CN" w:bidi="ar-SA"/>
    </w:rPr>
  </w:style>
  <w:style w:type="paragraph" w:customStyle="1" w:styleId="30">
    <w:name w:val="WPSOffice手动目录 2"/>
    <w:autoRedefine/>
    <w:qFormat/>
    <w:uiPriority w:val="0"/>
    <w:pPr>
      <w:ind w:left="200" w:leftChars="200"/>
    </w:pPr>
    <w:rPr>
      <w:rFonts w:ascii="Calibri" w:hAnsi="Calibri" w:eastAsia="宋体" w:cs="Times New Roman"/>
      <w:lang w:val="en-US" w:eastAsia="zh-CN" w:bidi="ar-SA"/>
    </w:rPr>
  </w:style>
  <w:style w:type="paragraph" w:customStyle="1" w:styleId="31">
    <w:name w:val="WPSOffice手动目录 3"/>
    <w:autoRedefine/>
    <w:qFormat/>
    <w:uiPriority w:val="0"/>
    <w:pPr>
      <w:ind w:left="400" w:leftChars="400"/>
    </w:pPr>
    <w:rPr>
      <w:rFonts w:ascii="Calibri" w:hAnsi="Calibri" w:eastAsia="宋体" w:cs="Times New Roman"/>
      <w:lang w:val="en-US" w:eastAsia="zh-CN" w:bidi="ar-SA"/>
    </w:rPr>
  </w:style>
  <w:style w:type="character" w:customStyle="1" w:styleId="32">
    <w:name w:val="批注文字 字符"/>
    <w:basedOn w:val="21"/>
    <w:link w:val="12"/>
    <w:autoRedefine/>
    <w:semiHidden/>
    <w:qFormat/>
    <w:uiPriority w:val="99"/>
    <w:rPr>
      <w:rFonts w:ascii="Tahoma" w:hAnsi="Tahoma" w:eastAsia="微软雅黑" w:cstheme="minorBidi"/>
      <w:sz w:val="22"/>
      <w:szCs w:val="22"/>
    </w:rPr>
  </w:style>
  <w:style w:type="character" w:customStyle="1" w:styleId="33">
    <w:name w:val="批注主题 字符"/>
    <w:basedOn w:val="32"/>
    <w:link w:val="19"/>
    <w:autoRedefine/>
    <w:semiHidden/>
    <w:qFormat/>
    <w:uiPriority w:val="99"/>
    <w:rPr>
      <w:rFonts w:ascii="Tahoma" w:hAnsi="Tahoma" w:eastAsia="微软雅黑" w:cstheme="minorBidi"/>
      <w:b/>
      <w:bCs/>
      <w:sz w:val="22"/>
      <w:szCs w:val="22"/>
    </w:rPr>
  </w:style>
  <w:style w:type="character" w:customStyle="1" w:styleId="34">
    <w:name w:val="批注框文本 字符"/>
    <w:basedOn w:val="21"/>
    <w:link w:val="15"/>
    <w:autoRedefine/>
    <w:semiHidden/>
    <w:qFormat/>
    <w:uiPriority w:val="99"/>
    <w:rPr>
      <w:rFonts w:ascii="Tahoma" w:hAnsi="Tahoma" w:eastAsia="微软雅黑" w:cstheme="minorBidi"/>
      <w:sz w:val="18"/>
      <w:szCs w:val="18"/>
    </w:rPr>
  </w:style>
  <w:style w:type="character" w:customStyle="1" w:styleId="35">
    <w:name w:val="标题 3 字符"/>
    <w:basedOn w:val="21"/>
    <w:link w:val="5"/>
    <w:autoRedefine/>
    <w:qFormat/>
    <w:uiPriority w:val="9"/>
    <w:rPr>
      <w:rFonts w:ascii="Tahoma" w:hAnsi="Tahoma" w:cstheme="minorBidi"/>
      <w:sz w:val="3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0" Type="http://schemas.openxmlformats.org/officeDocument/2006/relationships/fontTable" Target="fontTable.xml"/><Relationship Id="rId6" Type="http://schemas.openxmlformats.org/officeDocument/2006/relationships/image" Target="media/image1.png"/><Relationship Id="rId59" Type="http://schemas.openxmlformats.org/officeDocument/2006/relationships/customXml" Target="../customXml/item2.xml"/><Relationship Id="rId58" Type="http://schemas.openxmlformats.org/officeDocument/2006/relationships/numbering" Target="numbering.xml"/><Relationship Id="rId57" Type="http://schemas.openxmlformats.org/officeDocument/2006/relationships/customXml" Target="../customXml/item1.xml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7B39240-DBF0-4481-A151-FA8B4047B49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23</Pages>
  <Words>2588</Words>
  <Characters>2745</Characters>
  <Lines>32</Lines>
  <Paragraphs>9</Paragraphs>
  <TotalTime>1</TotalTime>
  <ScaleCrop>false</ScaleCrop>
  <LinksUpToDate>false</LinksUpToDate>
  <CharactersWithSpaces>2913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2022-04-11T10:21:00Z</dcterms:created>
  <dc:creator>User</dc:creator>
  <cp:lastModifiedBy>GJ</cp:lastModifiedBy>
  <cp:lastPrinted>2020-05-28T02:43:00Z</cp:lastPrinted>
  <dcterms:modified xsi:type="dcterms:W3CDTF">2025-11-27T09:39:13Z</dcterms:modified>
  <cp:revision>96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8236B3AFA562486CABC027579FFDAF78_12</vt:lpwstr>
  </property>
  <property fmtid="{D5CDD505-2E9C-101B-9397-08002B2CF9AE}" pid="4" name="KSOTemplateDocerSaveRecord">
    <vt:lpwstr>eyJoZGlkIjoiZTY4MTZkNDFjMzE5ZmE2ZTNiZmVhNThhYWE3ODMwM2EiLCJ1c2VySWQiOiI2MDI1NDE0MzgifQ==</vt:lpwstr>
  </property>
</Properties>
</file>