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r>
        <w:rPr>
          <w:rFonts w:hint="eastAsia" w:ascii="方正小标宋简体" w:hAnsi="方正小标宋简体" w:eastAsia="方正小标宋简体" w:cs="方正小标宋简体"/>
          <w:lang w:eastAsia="zh-CN"/>
        </w:rPr>
        <w:t>汕尾市</w:t>
      </w:r>
      <w:r>
        <w:rPr>
          <w:rFonts w:hint="eastAsia" w:ascii="方正小标宋简体" w:hAnsi="方正小标宋简体" w:eastAsia="方正小标宋简体" w:cs="方正小标宋简体"/>
        </w:rPr>
        <w:t>校服产品质量监督抽查实施细则（2025年版）</w:t>
      </w:r>
    </w:p>
    <w:p>
      <w:pPr>
        <w:bidi w:val="0"/>
        <w:adjustRightInd/>
        <w:snapToGrid/>
        <w:spacing w:line="560" w:lineRule="exact"/>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1 抽样方法</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每批次抽样数量2件/套/条，其中1件/套/条作为检验样品，1件/套/条作为备用样品。</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2 检验依据</w:t>
      </w:r>
    </w:p>
    <w:tbl>
      <w:tblPr>
        <w:tblStyle w:val="3"/>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3350"/>
        <w:gridCol w:w="4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blHeader/>
          <w:jc w:val="center"/>
        </w:trPr>
        <w:tc>
          <w:tcPr>
            <w:tcW w:w="977"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3350"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4218"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甲醛含量</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pH值</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可分解致癌芳香胺染料</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17592-2011</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耐水色牢度</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耐酸汗渍色牢度</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耐碱汗渍色牢度</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耐干摩擦色牢度</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耐湿摩擦色牢度</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9</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耐（皂）洗色牢度</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3921-2008</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12490-2014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10</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耐光色牢度</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8427-2019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11</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绳带要求</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12</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附件锐利性</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GB/T 31702-2015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13</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金属针</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 xml:space="preserve">GB 31701-2015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0"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w:t>
            </w:r>
            <w:r>
              <w:rPr>
                <w:rFonts w:hint="eastAsia" w:eastAsia="宋体" w:cs="Times New Roman"/>
                <w:sz w:val="21"/>
                <w:szCs w:val="21"/>
                <w:lang w:val="en-US" w:eastAsia="zh-CN"/>
              </w:rPr>
              <w:t>4</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纤维含量</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01057.1-2007、FZ/T 01057.2-2007</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01057.3-2007、FZ/T 01057.4-2007</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2910.1-2009、GB/T 2910.2-2009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2910.3-2009、GB/T 2910.4-2022</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2910.6-2009、GB/T 2910.7-2009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2910.8-2009、GB/T 2910.11-2009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2910.12-2023、GB/T 2910.18-2009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2910.20-2009、GB/T 2910.22-2009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2910.101-2009、GB/T 38015-2019、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01101-2008</w:t>
            </w:r>
            <w:r>
              <w:rPr>
                <w:rFonts w:hint="eastAsia" w:eastAsia="宋体" w:cs="Times New Roman"/>
                <w:sz w:val="21"/>
                <w:szCs w:val="21"/>
                <w:lang w:eastAsia="zh-CN"/>
              </w:rPr>
              <w:t>、</w:t>
            </w:r>
            <w:r>
              <w:rPr>
                <w:rFonts w:hint="eastAsia" w:ascii="Times New Roman" w:hAnsi="Times New Roman" w:eastAsia="宋体" w:cs="Times New Roman"/>
                <w:sz w:val="21"/>
                <w:szCs w:val="21"/>
              </w:rPr>
              <w:t>FZ/T 01112-2012</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01026-2017</w:t>
            </w:r>
            <w:r>
              <w:rPr>
                <w:rFonts w:hint="eastAsia" w:eastAsia="宋体" w:cs="Times New Roman"/>
                <w:sz w:val="21"/>
                <w:szCs w:val="21"/>
                <w:lang w:eastAsia="zh-CN"/>
              </w:rPr>
              <w:t>、</w:t>
            </w:r>
            <w:r>
              <w:rPr>
                <w:rFonts w:hint="eastAsia" w:ascii="Times New Roman" w:hAnsi="Times New Roman" w:eastAsia="宋体" w:cs="Times New Roman"/>
                <w:sz w:val="21"/>
                <w:szCs w:val="21"/>
              </w:rPr>
              <w:t>FZ/T 30003-2009等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977" w:type="dxa"/>
            <w:vAlign w:val="center"/>
          </w:tcPr>
          <w:p>
            <w:pPr>
              <w:widowControl/>
              <w:spacing w:before="100" w:beforeAutospacing="1" w:after="100" w:afterAutospacing="1"/>
              <w:jc w:val="center"/>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kern w:val="0"/>
                <w:sz w:val="21"/>
                <w:szCs w:val="21"/>
              </w:rPr>
              <w:t>1</w:t>
            </w:r>
            <w:r>
              <w:rPr>
                <w:rFonts w:hint="eastAsia" w:asciiTheme="majorEastAsia" w:hAnsiTheme="majorEastAsia" w:eastAsiaTheme="majorEastAsia" w:cstheme="majorEastAsia"/>
                <w:kern w:val="0"/>
                <w:sz w:val="21"/>
                <w:szCs w:val="21"/>
                <w:lang w:val="en-US" w:eastAsia="zh-CN"/>
              </w:rPr>
              <w:t>5</w:t>
            </w:r>
          </w:p>
        </w:tc>
        <w:tc>
          <w:tcPr>
            <w:tcW w:w="3350" w:type="dxa"/>
            <w:vAlign w:val="center"/>
          </w:tcPr>
          <w:p>
            <w:pPr>
              <w:widowControl/>
              <w:spacing w:before="100" w:beforeAutospacing="1" w:after="100" w:afterAutospacing="1"/>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kern w:val="0"/>
                <w:sz w:val="21"/>
                <w:szCs w:val="21"/>
              </w:rPr>
              <w:t>起球（级）</w:t>
            </w:r>
          </w:p>
        </w:tc>
        <w:tc>
          <w:tcPr>
            <w:tcW w:w="4218" w:type="dxa"/>
            <w:vAlign w:val="center"/>
          </w:tcPr>
          <w:p>
            <w:pPr>
              <w:widowControl/>
              <w:spacing w:before="100" w:beforeAutospacing="1" w:after="100" w:afterAutospacing="1"/>
              <w:jc w:val="center"/>
              <w:rPr>
                <w:rFonts w:hint="eastAsia" w:asciiTheme="majorEastAsia" w:hAnsiTheme="majorEastAsia" w:eastAsiaTheme="majorEastAsia" w:cstheme="majorEastAsia"/>
                <w:sz w:val="21"/>
                <w:szCs w:val="21"/>
                <w:lang w:val="en-US" w:eastAsia="zh-CN"/>
              </w:rPr>
            </w:pPr>
            <w:r>
              <w:rPr>
                <w:rFonts w:hint="eastAsia" w:ascii="Times New Roman" w:hAnsi="Times New Roman" w:eastAsia="宋体" w:cs="Times New Roman"/>
                <w:sz w:val="21"/>
                <w:szCs w:val="21"/>
              </w:rPr>
              <w:t>GB/T 4802.1-2008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77" w:type="dxa"/>
            <w:vAlign w:val="center"/>
          </w:tcPr>
          <w:p>
            <w:pPr>
              <w:adjustRightInd w:val="0"/>
              <w:snapToGrid w:val="0"/>
              <w:jc w:val="center"/>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kern w:val="0"/>
                <w:sz w:val="21"/>
                <w:szCs w:val="21"/>
                <w:lang w:val="en-US" w:eastAsia="zh-CN"/>
              </w:rPr>
              <w:t>16</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eastAsia="zh-CN"/>
              </w:rPr>
              <w:t>异味</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18401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545"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备注：</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1.产品使用说明标注的纤维含量不一致时，应以耐久标签标注的纤维含量进行考核。如果未标注产品主要原材料的纤维成分和含量，则纤维含量项目不判定。</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2.考虑到样品存在的不均匀性和检验的可靠性，样品中检测出微量其他纤维（未明示）时，如果其他纤维（未明示）的含量≤0.5%，或样品明示含微量其他纤维而未检出时，该微量其他纤维不计入总量进行判定。</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3.色牢度试验采用单纤维贴衬，产品标准另有规定的，按产品标准执行。</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4.针织产品耐摩擦色牢度只考核直向。</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5.本色及漂白产品不考核色牢度（耐光色牢度除外）、可分解致癌芳香胺染料。</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6.产品未标注产品标准，标注产品标准不正确，或者无法获得明示的有效企业标准时，检测纤维含量以及GB 18401、GB 31701相关项目。</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7.pH值的测定用0.1 mol/L氯化钾溶液作为萃取介质。</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8.只检测产品相应标准中有考核要求的项目。</w:t>
            </w:r>
          </w:p>
        </w:tc>
      </w:tr>
    </w:tbl>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3 判定规则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3.1依据标准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 18401-2010   国家纺织产品基本安全技术规范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 31701-2015   婴幼儿及儿童纺织产品安全技术规范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31888-2015 中小学生校服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22854-2009 针织学生服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23328-2009 机织学生服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2662-2017  棉服装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29862-2013 纺织品纤维含量的标识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31900-2015 机织儿童服装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73020-2019 针织休闲服装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73005-2021 低含毛混纺及仿毛针织品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73010-2016 针织工艺衫</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73018-2021 毛针织品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81007-2022 单、夹服装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81004-2022 连衣裙、裙套</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3.2判定原则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pPr>
      <w:r>
        <w:rPr>
          <w:rFonts w:hint="eastAsia" w:ascii="仿宋_GB2312" w:hAnsi="仿宋_GB2312" w:eastAsia="仿宋_GB2312" w:cs="仿宋_GB2312"/>
          <w:sz w:val="32"/>
          <w:szCs w:val="32"/>
        </w:rPr>
        <w:t>若被检产品明示的质量要求缺少本细则中检验项目依据的推荐性标准要求时，该项目不参与判定。</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MWM3MjNkYjVmZmY5Nzc1MzcwOTI1ODMyMGUzZGQifQ=="/>
  </w:docVars>
  <w:rsids>
    <w:rsidRoot w:val="08EE01BD"/>
    <w:rsid w:val="019C289F"/>
    <w:rsid w:val="01FA53B8"/>
    <w:rsid w:val="08C25516"/>
    <w:rsid w:val="08EE01BD"/>
    <w:rsid w:val="12BB2F66"/>
    <w:rsid w:val="2520348F"/>
    <w:rsid w:val="2A6C5DF0"/>
    <w:rsid w:val="49783B3D"/>
    <w:rsid w:val="56E82D9F"/>
    <w:rsid w:val="6D5C4109"/>
    <w:rsid w:val="705B701B"/>
    <w:rsid w:val="72164BD0"/>
    <w:rsid w:val="77DA4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3731</Words>
  <Characters>5814</Characters>
  <Lines>0</Lines>
  <Paragraphs>0</Paragraphs>
  <TotalTime>3</TotalTime>
  <ScaleCrop>false</ScaleCrop>
  <LinksUpToDate>false</LinksUpToDate>
  <CharactersWithSpaces>6084</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2024-07-11T03:20:00Z</dcterms:created>
  <dc:creator>Administrator</dc:creator>
  <cp:lastModifiedBy>李文湘</cp:lastModifiedBy>
  <dcterms:modified xsi:type="dcterms:W3CDTF">2025-08-14T01:45:10Z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BD98F1FBB6D7488CB82F171BDDD48338_12</vt:lpwstr>
  </property>
</Properties>
</file>