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F5B03E5">
      <w:pPr>
        <w:jc w:val="center"/>
        <w:rPr>
          <w:rFonts w:ascii="黑体" w:eastAsia="黑体" w:cs="黑体"/>
          <w:b/>
          <w:sz w:val="48"/>
          <w:szCs w:val="48"/>
          <w:lang w:bidi="ar"/>
        </w:rPr>
      </w:pPr>
    </w:p>
    <w:p w14:paraId="5469D844">
      <w:pPr>
        <w:jc w:val="center"/>
        <w:rPr>
          <w:rFonts w:hint="default" w:ascii="黑体" w:eastAsia="黑体"/>
          <w:b/>
          <w:sz w:val="48"/>
          <w:szCs w:val="48"/>
          <w:lang w:val="en-US" w:eastAsia="zh-CN"/>
        </w:rPr>
      </w:pPr>
      <w:r>
        <w:rPr>
          <w:rFonts w:hint="eastAsia" w:ascii="黑体" w:eastAsia="黑体" w:cs="黑体"/>
          <w:b/>
          <w:sz w:val="48"/>
          <w:szCs w:val="48"/>
          <w:lang w:val="en-US" w:eastAsia="zh-CN" w:bidi="ar"/>
        </w:rPr>
        <w:t>汕尾市公共资源交易平台</w:t>
      </w:r>
    </w:p>
    <w:p w14:paraId="175F4A3B">
      <w:pPr>
        <w:widowControl/>
        <w:adjustRightInd w:val="0"/>
        <w:snapToGrid w:val="0"/>
        <w:spacing w:after="200"/>
        <w:jc w:val="center"/>
        <w:rPr>
          <w:rFonts w:hint="default" w:ascii="黑体" w:eastAsia="黑体"/>
          <w:b/>
          <w:sz w:val="48"/>
          <w:szCs w:val="48"/>
          <w:lang w:val="en-US" w:eastAsia="zh-CN"/>
        </w:rPr>
      </w:pPr>
      <w:r>
        <w:rPr>
          <w:rFonts w:hint="eastAsia" w:ascii="黑体" w:eastAsia="黑体"/>
          <w:b/>
          <w:sz w:val="48"/>
          <w:szCs w:val="48"/>
          <w:lang w:val="en-US" w:eastAsia="zh-CN"/>
        </w:rPr>
        <w:t>土地与矿业权交易</w:t>
      </w:r>
    </w:p>
    <w:p w14:paraId="270498D0">
      <w:pPr>
        <w:widowControl/>
        <w:adjustRightInd w:val="0"/>
        <w:snapToGrid w:val="0"/>
        <w:spacing w:after="200"/>
        <w:jc w:val="center"/>
        <w:rPr>
          <w:rFonts w:ascii="黑体" w:hAnsi="Tahoma" w:eastAsia="黑体" w:cs="Times New Roman"/>
          <w:b/>
          <w:kern w:val="0"/>
          <w:sz w:val="48"/>
          <w:szCs w:val="48"/>
        </w:rPr>
      </w:pPr>
      <w:r>
        <w:rPr>
          <w:rFonts w:hint="eastAsia" w:ascii="黑体" w:hAnsi="Tahoma" w:eastAsia="黑体" w:cs="Times New Roman"/>
          <w:b/>
          <w:kern w:val="0"/>
          <w:sz w:val="48"/>
          <w:szCs w:val="48"/>
        </w:rPr>
        <w:t>（</w:t>
      </w:r>
      <w:r>
        <w:rPr>
          <w:rFonts w:hint="eastAsia" w:ascii="黑体" w:hAnsi="Tahoma" w:eastAsia="黑体" w:cs="Times New Roman"/>
          <w:b/>
          <w:kern w:val="0"/>
          <w:sz w:val="48"/>
          <w:szCs w:val="48"/>
          <w:lang w:val="en-US" w:eastAsia="zh-CN"/>
        </w:rPr>
        <w:t>交易中心</w:t>
      </w:r>
      <w:r>
        <w:rPr>
          <w:rFonts w:hint="eastAsia" w:ascii="黑体" w:hAnsi="Tahoma" w:eastAsia="黑体" w:cs="Times New Roman"/>
          <w:b/>
          <w:kern w:val="0"/>
          <w:sz w:val="48"/>
          <w:szCs w:val="48"/>
        </w:rPr>
        <w:t>）</w:t>
      </w:r>
    </w:p>
    <w:p w14:paraId="7841BB94">
      <w:pPr>
        <w:widowControl/>
        <w:adjustRightInd w:val="0"/>
        <w:snapToGrid w:val="0"/>
        <w:spacing w:before="1440" w:after="200"/>
        <w:jc w:val="center"/>
        <w:rPr>
          <w:rFonts w:ascii="黑体" w:hAnsi="宋体" w:eastAsia="黑体" w:cs="Times New Roman"/>
          <w:b/>
          <w:kern w:val="0"/>
          <w:sz w:val="52"/>
          <w:szCs w:val="52"/>
        </w:rPr>
      </w:pPr>
      <w:r>
        <w:rPr>
          <w:rFonts w:hint="eastAsia" w:ascii="黑体" w:hAnsi="宋体" w:eastAsia="黑体" w:cs="Times New Roman"/>
          <w:b/>
          <w:kern w:val="0"/>
          <w:sz w:val="52"/>
          <w:szCs w:val="52"/>
        </w:rPr>
        <w:t>用</w:t>
      </w:r>
    </w:p>
    <w:p w14:paraId="107B08C6">
      <w:pPr>
        <w:widowControl/>
        <w:adjustRightInd w:val="0"/>
        <w:snapToGrid w:val="0"/>
        <w:spacing w:before="360" w:after="312" w:afterLines="100"/>
        <w:jc w:val="center"/>
        <w:rPr>
          <w:rFonts w:ascii="黑体" w:hAnsi="宋体" w:eastAsia="黑体" w:cs="Times New Roman"/>
          <w:b/>
          <w:kern w:val="0"/>
          <w:sz w:val="52"/>
          <w:szCs w:val="52"/>
        </w:rPr>
      </w:pPr>
      <w:r>
        <w:rPr>
          <w:rFonts w:hint="eastAsia" w:ascii="黑体" w:hAnsi="宋体" w:eastAsia="黑体" w:cs="Times New Roman"/>
          <w:b/>
          <w:kern w:val="0"/>
          <w:sz w:val="52"/>
          <w:szCs w:val="52"/>
        </w:rPr>
        <w:t>户</w:t>
      </w:r>
    </w:p>
    <w:p w14:paraId="47F4E2DD">
      <w:pPr>
        <w:widowControl/>
        <w:adjustRightInd w:val="0"/>
        <w:snapToGrid w:val="0"/>
        <w:spacing w:before="360" w:after="312" w:afterLines="100"/>
        <w:jc w:val="center"/>
        <w:rPr>
          <w:rFonts w:ascii="黑体" w:hAnsi="宋体" w:eastAsia="黑体" w:cs="Times New Roman"/>
          <w:b/>
          <w:kern w:val="0"/>
          <w:sz w:val="52"/>
          <w:szCs w:val="52"/>
        </w:rPr>
      </w:pPr>
      <w:r>
        <w:rPr>
          <w:rFonts w:hint="eastAsia" w:ascii="黑体" w:hAnsi="宋体" w:eastAsia="黑体" w:cs="Times New Roman"/>
          <w:b/>
          <w:kern w:val="0"/>
          <w:sz w:val="52"/>
          <w:szCs w:val="52"/>
        </w:rPr>
        <w:t>手</w:t>
      </w:r>
    </w:p>
    <w:p w14:paraId="1D4A1667">
      <w:pPr>
        <w:widowControl/>
        <w:adjustRightInd w:val="0"/>
        <w:snapToGrid w:val="0"/>
        <w:spacing w:before="360" w:after="312" w:afterLines="100"/>
        <w:jc w:val="center"/>
        <w:rPr>
          <w:rFonts w:ascii="黑体" w:hAnsi="宋体" w:eastAsia="黑体" w:cs="Times New Roman"/>
          <w:b/>
          <w:kern w:val="0"/>
          <w:sz w:val="52"/>
          <w:szCs w:val="52"/>
        </w:rPr>
      </w:pPr>
      <w:r>
        <w:rPr>
          <w:rFonts w:hint="eastAsia" w:ascii="黑体" w:hAnsi="宋体" w:eastAsia="黑体" w:cs="Times New Roman"/>
          <w:b/>
          <w:kern w:val="0"/>
          <w:sz w:val="52"/>
          <w:szCs w:val="52"/>
        </w:rPr>
        <w:t>册</w:t>
      </w:r>
    </w:p>
    <w:p w14:paraId="27DC4570">
      <w:pPr>
        <w:widowControl/>
        <w:adjustRightInd w:val="0"/>
        <w:snapToGrid w:val="0"/>
        <w:spacing w:after="200"/>
        <w:jc w:val="left"/>
        <w:rPr>
          <w:rFonts w:ascii="黑体" w:hAnsi="宋体" w:eastAsia="黑体" w:cs="Times New Roman"/>
          <w:b/>
          <w:kern w:val="0"/>
          <w:sz w:val="24"/>
        </w:rPr>
      </w:pPr>
    </w:p>
    <w:p w14:paraId="41812DD3">
      <w:pPr>
        <w:widowControl/>
        <w:adjustRightInd w:val="0"/>
        <w:snapToGrid w:val="0"/>
        <w:spacing w:after="200"/>
        <w:jc w:val="left"/>
        <w:rPr>
          <w:rFonts w:ascii="黑体" w:hAnsi="宋体" w:eastAsia="黑体" w:cs="Times New Roman"/>
          <w:b/>
          <w:kern w:val="0"/>
          <w:sz w:val="24"/>
        </w:rPr>
      </w:pPr>
    </w:p>
    <w:p w14:paraId="72A15DC4">
      <w:pPr>
        <w:widowControl/>
        <w:adjustRightInd w:val="0"/>
        <w:snapToGrid w:val="0"/>
        <w:spacing w:after="200"/>
        <w:jc w:val="left"/>
        <w:rPr>
          <w:rFonts w:ascii="黑体" w:hAnsi="宋体" w:eastAsia="黑体" w:cs="Times New Roman"/>
          <w:b/>
          <w:kern w:val="0"/>
          <w:sz w:val="24"/>
        </w:rPr>
      </w:pPr>
    </w:p>
    <w:p w14:paraId="547F2302">
      <w:pPr>
        <w:widowControl/>
        <w:adjustRightInd w:val="0"/>
        <w:snapToGrid w:val="0"/>
        <w:spacing w:after="200"/>
        <w:jc w:val="left"/>
        <w:rPr>
          <w:rFonts w:ascii="黑体" w:hAnsi="宋体" w:eastAsia="黑体" w:cs="Times New Roman"/>
          <w:b/>
          <w:kern w:val="0"/>
          <w:sz w:val="24"/>
        </w:rPr>
      </w:pPr>
    </w:p>
    <w:p w14:paraId="320F733B">
      <w:pPr>
        <w:widowControl/>
        <w:adjustRightInd w:val="0"/>
        <w:snapToGrid w:val="0"/>
        <w:spacing w:after="200"/>
        <w:jc w:val="left"/>
        <w:rPr>
          <w:rFonts w:ascii="黑体" w:hAnsi="宋体" w:eastAsia="黑体" w:cs="Times New Roman"/>
          <w:b/>
          <w:kern w:val="0"/>
          <w:sz w:val="24"/>
        </w:rPr>
      </w:pPr>
    </w:p>
    <w:p w14:paraId="029D80B9">
      <w:pPr>
        <w:widowControl/>
        <w:adjustRightInd w:val="0"/>
        <w:snapToGrid w:val="0"/>
        <w:spacing w:after="200"/>
        <w:jc w:val="left"/>
        <w:rPr>
          <w:rFonts w:ascii="黑体" w:hAnsi="宋体" w:eastAsia="黑体" w:cs="Times New Roman"/>
          <w:b/>
          <w:kern w:val="0"/>
          <w:sz w:val="24"/>
        </w:rPr>
      </w:pPr>
    </w:p>
    <w:p w14:paraId="25F70186">
      <w:pPr>
        <w:widowControl/>
        <w:adjustRightInd w:val="0"/>
        <w:snapToGrid w:val="0"/>
        <w:spacing w:after="200"/>
        <w:jc w:val="left"/>
        <w:rPr>
          <w:rFonts w:ascii="黑体" w:hAnsi="宋体" w:eastAsia="黑体" w:cs="Times New Roman"/>
          <w:b/>
          <w:kern w:val="0"/>
          <w:sz w:val="24"/>
        </w:rPr>
      </w:pPr>
    </w:p>
    <w:p w14:paraId="2FB0B7B6">
      <w:pPr>
        <w:widowControl/>
        <w:adjustRightInd w:val="0"/>
        <w:snapToGrid w:val="0"/>
        <w:spacing w:after="200"/>
        <w:jc w:val="center"/>
        <w:rPr>
          <w:rFonts w:ascii="Tahoma" w:hAnsi="Tahoma" w:eastAsia="黑体" w:cs="Times New Roman"/>
          <w:b/>
          <w:bCs/>
          <w:kern w:val="0"/>
          <w:sz w:val="28"/>
        </w:rPr>
      </w:pPr>
    </w:p>
    <w:p w14:paraId="651DD22F">
      <w:pPr>
        <w:widowControl/>
        <w:adjustRightInd w:val="0"/>
        <w:snapToGrid w:val="0"/>
        <w:spacing w:after="200"/>
        <w:jc w:val="center"/>
        <w:rPr>
          <w:rFonts w:hint="default" w:ascii="Tahoma" w:hAnsi="Tahoma" w:eastAsia="黑体" w:cs="Times New Roman"/>
          <w:b/>
          <w:bCs/>
          <w:kern w:val="0"/>
          <w:sz w:val="28"/>
          <w:lang w:val="en-US" w:eastAsia="zh-CN"/>
        </w:rPr>
      </w:pPr>
      <w:r>
        <w:rPr>
          <w:rFonts w:hint="eastAsia" w:ascii="Tahoma" w:hAnsi="Tahoma" w:eastAsia="黑体" w:cs="Times New Roman"/>
          <w:b/>
          <w:bCs/>
          <w:kern w:val="0"/>
          <w:sz w:val="28"/>
          <w:lang w:val="en-US" w:eastAsia="zh-CN"/>
        </w:rPr>
        <w:t>汕尾市公共资源交易中心</w:t>
      </w:r>
    </w:p>
    <w:p w14:paraId="4A38DC26">
      <w:pPr>
        <w:widowControl/>
        <w:adjustRightInd w:val="0"/>
        <w:snapToGrid w:val="0"/>
        <w:spacing w:after="200"/>
        <w:jc w:val="center"/>
        <w:rPr>
          <w:rFonts w:hint="default" w:ascii="Tahoma" w:hAnsi="Tahoma" w:eastAsia="黑体" w:cs="Times New Roman"/>
          <w:b/>
          <w:bCs/>
          <w:kern w:val="0"/>
          <w:sz w:val="28"/>
          <w:lang w:val="en-US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 w:ascii="Tahoma" w:hAnsi="Tahoma" w:eastAsia="黑体" w:cs="Times New Roman"/>
          <w:b/>
          <w:bCs/>
          <w:kern w:val="0"/>
          <w:sz w:val="28"/>
        </w:rPr>
        <w:t>202</w:t>
      </w:r>
      <w:r>
        <w:rPr>
          <w:rFonts w:hint="eastAsia" w:ascii="Tahoma" w:hAnsi="Tahoma" w:eastAsia="黑体" w:cs="Times New Roman"/>
          <w:b/>
          <w:bCs/>
          <w:kern w:val="0"/>
          <w:sz w:val="28"/>
          <w:lang w:val="en-US" w:eastAsia="zh-CN"/>
        </w:rPr>
        <w:t>4</w:t>
      </w:r>
      <w:r>
        <w:rPr>
          <w:rFonts w:hint="eastAsia" w:ascii="Tahoma" w:hAnsi="Tahoma" w:eastAsia="黑体" w:cs="Times New Roman"/>
          <w:b/>
          <w:bCs/>
          <w:kern w:val="0"/>
          <w:sz w:val="28"/>
        </w:rPr>
        <w:t>年</w:t>
      </w:r>
      <w:r>
        <w:rPr>
          <w:rFonts w:hint="eastAsia" w:ascii="Tahoma" w:hAnsi="Tahoma" w:eastAsia="黑体" w:cs="Times New Roman"/>
          <w:b/>
          <w:bCs/>
          <w:kern w:val="0"/>
          <w:sz w:val="28"/>
          <w:lang w:val="en-US" w:eastAsia="zh-CN"/>
        </w:rPr>
        <w:t>6月</w:t>
      </w:r>
    </w:p>
    <w:p w14:paraId="39589DD9">
      <w:pPr>
        <w:widowControl/>
        <w:adjustRightInd w:val="0"/>
        <w:snapToGrid w:val="0"/>
        <w:spacing w:after="200"/>
        <w:jc w:val="both"/>
        <w:rPr>
          <w:rFonts w:ascii="宋体" w:hAnsi="宋体" w:eastAsia="宋体"/>
        </w:rPr>
      </w:pPr>
    </w:p>
    <w:sdt>
      <w:sdtPr>
        <w:rPr>
          <w:lang w:val="zh-CN"/>
        </w:rPr>
        <w:id w:val="2118486262"/>
        <w:docPartObj>
          <w:docPartGallery w:val="Table of Contents"/>
          <w:docPartUnique/>
        </w:docPartObj>
      </w:sdtPr>
      <w:sdtEndPr>
        <w:rPr>
          <w:b/>
          <w:bCs/>
          <w:lang w:val="zh-CN"/>
        </w:rPr>
      </w:sdtEndPr>
      <w:sdtContent>
        <w:p w14:paraId="42F6010B">
          <w:pPr>
            <w:widowControl/>
            <w:jc w:val="center"/>
            <w:rPr>
              <w:rFonts w:ascii="宋体" w:hAnsi="宋体" w:eastAsia="宋体"/>
            </w:rPr>
          </w:pPr>
          <w:r>
            <w:rPr>
              <w:lang w:val="zh-CN"/>
            </w:rPr>
            <w:t>目录</w:t>
          </w:r>
        </w:p>
        <w:p w14:paraId="6B41F2BB">
          <w:pPr>
            <w:pStyle w:val="9"/>
            <w:tabs>
              <w:tab w:val="right" w:leader="dot" w:pos="8306"/>
            </w:tabs>
          </w:pPr>
          <w:r>
            <w:rPr>
              <w:b/>
              <w:bCs/>
              <w:lang w:val="zh-CN"/>
            </w:rPr>
            <w:fldChar w:fldCharType="begin"/>
          </w:r>
          <w:r>
            <w:rPr>
              <w:b/>
              <w:bCs/>
              <w:lang w:val="zh-CN"/>
            </w:rPr>
            <w:instrText xml:space="preserve"> TOC \o "1-3" \h \z \u </w:instrText>
          </w:r>
          <w:r>
            <w:rPr>
              <w:b/>
              <w:bCs/>
              <w:lang w:val="zh-CN"/>
            </w:rPr>
            <w:fldChar w:fldCharType="separate"/>
          </w: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_Toc256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default" w:ascii="黑体" w:hAnsi="Calibri" w:eastAsia="黑体" w:cs="Times New Roman"/>
            </w:rPr>
            <w:t xml:space="preserve">1. </w:t>
          </w:r>
          <w:r>
            <w:rPr>
              <w:rFonts w:hint="eastAsia" w:ascii="黑体" w:hAnsi="Calibri" w:eastAsia="黑体" w:cs="Times New Roman"/>
            </w:rPr>
            <w:t>登录</w:t>
          </w:r>
          <w:r>
            <w:tab/>
          </w:r>
          <w:r>
            <w:fldChar w:fldCharType="begin"/>
          </w:r>
          <w:r>
            <w:instrText xml:space="preserve"> PAGEREF _Toc256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 w14:paraId="612FDC72">
          <w:pPr>
            <w:pStyle w:val="9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_Toc5014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default" w:ascii="宋体" w:hAnsi="宋体" w:eastAsia="宋体"/>
            </w:rPr>
            <w:t xml:space="preserve">2. </w:t>
          </w:r>
          <w:r>
            <w:rPr>
              <w:rFonts w:hint="eastAsia" w:ascii="宋体" w:hAnsi="宋体" w:eastAsia="宋体"/>
            </w:rPr>
            <w:t>业务操作说明</w:t>
          </w:r>
          <w:r>
            <w:tab/>
          </w:r>
          <w:r>
            <w:fldChar w:fldCharType="begin"/>
          </w:r>
          <w:r>
            <w:instrText xml:space="preserve"> PAGEREF _Toc5014 \h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 w14:paraId="73B69553">
          <w:pPr>
            <w:pStyle w:val="10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_Toc9334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default" w:ascii="宋体" w:hAnsi="宋体" w:eastAsia="宋体"/>
            </w:rPr>
            <w:t xml:space="preserve">2.1. </w:t>
          </w:r>
          <w:r>
            <w:rPr>
              <w:rFonts w:hint="eastAsia" w:ascii="宋体" w:hAnsi="宋体" w:eastAsia="宋体"/>
            </w:rPr>
            <w:t>业务流程</w:t>
          </w:r>
          <w:r>
            <w:tab/>
          </w:r>
          <w:r>
            <w:fldChar w:fldCharType="begin"/>
          </w:r>
          <w:r>
            <w:instrText xml:space="preserve"> PAGEREF _Toc9334 \h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 w14:paraId="3E3184CA">
          <w:pPr>
            <w:pStyle w:val="10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_Toc12891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default" w:ascii="宋体" w:hAnsi="宋体" w:eastAsia="宋体"/>
              <w:lang w:val="en-US" w:eastAsia="zh-CN"/>
            </w:rPr>
            <w:t xml:space="preserve">2.2. </w:t>
          </w:r>
          <w:r>
            <w:rPr>
              <w:rFonts w:hint="eastAsia" w:ascii="宋体" w:hAnsi="宋体" w:eastAsia="宋体"/>
              <w:lang w:val="en-US" w:eastAsia="zh-CN"/>
            </w:rPr>
            <w:t>交易发布</w:t>
          </w:r>
          <w:r>
            <w:tab/>
          </w:r>
          <w:r>
            <w:fldChar w:fldCharType="begin"/>
          </w:r>
          <w:r>
            <w:instrText xml:space="preserve"> PAGEREF _Toc12891 \h </w:instrText>
          </w:r>
          <w:r>
            <w:fldChar w:fldCharType="separate"/>
          </w:r>
          <w:r>
            <w:t>5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 w14:paraId="70E64016">
          <w:pPr>
            <w:pStyle w:val="6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_Toc14285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default" w:ascii="宋体" w:hAnsi="宋体" w:eastAsia="宋体"/>
            </w:rPr>
            <w:t xml:space="preserve">2.2.1. </w:t>
          </w:r>
          <w:r>
            <w:rPr>
              <w:rFonts w:hint="eastAsia" w:ascii="宋体" w:hAnsi="宋体" w:eastAsia="宋体"/>
            </w:rPr>
            <w:t>进场申请</w:t>
          </w:r>
          <w:r>
            <w:rPr>
              <w:rFonts w:hint="eastAsia" w:ascii="宋体" w:hAnsi="宋体" w:eastAsia="宋体"/>
              <w:lang w:val="en-US" w:eastAsia="zh-CN"/>
            </w:rPr>
            <w:t>受理</w:t>
          </w:r>
          <w:r>
            <w:rPr>
              <w:rFonts w:hint="eastAsia" w:ascii="宋体" w:hAnsi="宋体" w:eastAsia="宋体"/>
            </w:rPr>
            <w:t>（</w:t>
          </w:r>
          <w:r>
            <w:rPr>
              <w:rFonts w:hint="eastAsia" w:ascii="宋体" w:hAnsi="宋体" w:eastAsia="宋体"/>
              <w:lang w:val="en-US" w:eastAsia="zh-CN"/>
            </w:rPr>
            <w:t>经办</w:t>
          </w:r>
          <w:r>
            <w:rPr>
              <w:rFonts w:hint="eastAsia" w:ascii="宋体" w:hAnsi="宋体" w:eastAsia="宋体"/>
            </w:rPr>
            <w:t>）</w:t>
          </w:r>
          <w:r>
            <w:tab/>
          </w:r>
          <w:r>
            <w:fldChar w:fldCharType="begin"/>
          </w:r>
          <w:r>
            <w:instrText xml:space="preserve"> PAGEREF _Toc14285 \h </w:instrText>
          </w:r>
          <w:r>
            <w:fldChar w:fldCharType="separate"/>
          </w:r>
          <w:r>
            <w:t>5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 w14:paraId="2A50DA11">
          <w:pPr>
            <w:pStyle w:val="6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_Toc2047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default" w:ascii="宋体" w:hAnsi="宋体" w:eastAsia="宋体"/>
            </w:rPr>
            <w:t xml:space="preserve">2.2.2. </w:t>
          </w:r>
          <w:r>
            <w:rPr>
              <w:rFonts w:hint="eastAsia" w:ascii="宋体" w:hAnsi="宋体" w:eastAsia="宋体"/>
            </w:rPr>
            <w:t>进场申请</w:t>
          </w:r>
          <w:r>
            <w:rPr>
              <w:rFonts w:hint="eastAsia" w:ascii="宋体" w:hAnsi="宋体" w:eastAsia="宋体"/>
              <w:lang w:val="en-US" w:eastAsia="zh-CN"/>
            </w:rPr>
            <w:t>审阅</w:t>
          </w:r>
          <w:r>
            <w:rPr>
              <w:rFonts w:hint="eastAsia" w:ascii="宋体" w:hAnsi="宋体" w:eastAsia="宋体"/>
            </w:rPr>
            <w:t>（</w:t>
          </w:r>
          <w:r>
            <w:rPr>
              <w:rFonts w:hint="eastAsia" w:ascii="宋体" w:hAnsi="宋体" w:eastAsia="宋体"/>
              <w:lang w:val="en-US" w:eastAsia="zh-CN"/>
            </w:rPr>
            <w:t>部长</w:t>
          </w:r>
          <w:r>
            <w:rPr>
              <w:rFonts w:hint="eastAsia" w:ascii="宋体" w:hAnsi="宋体" w:eastAsia="宋体"/>
            </w:rPr>
            <w:t>）</w:t>
          </w:r>
          <w:r>
            <w:tab/>
          </w:r>
          <w:r>
            <w:fldChar w:fldCharType="begin"/>
          </w:r>
          <w:r>
            <w:instrText xml:space="preserve"> PAGEREF _Toc2047 \h </w:instrText>
          </w:r>
          <w:r>
            <w:fldChar w:fldCharType="separate"/>
          </w:r>
          <w:r>
            <w:t>6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 w14:paraId="1A6F4733">
          <w:pPr>
            <w:pStyle w:val="6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_Toc27651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default" w:ascii="宋体" w:hAnsi="宋体" w:eastAsia="宋体"/>
            </w:rPr>
            <w:t xml:space="preserve">2.2.3. </w:t>
          </w:r>
          <w:r>
            <w:rPr>
              <w:rFonts w:hint="eastAsia" w:ascii="宋体" w:hAnsi="宋体" w:eastAsia="宋体"/>
              <w:lang w:val="en-US" w:eastAsia="zh-CN"/>
            </w:rPr>
            <w:t>项目公告拟稿</w:t>
          </w:r>
          <w:r>
            <w:rPr>
              <w:rFonts w:hint="eastAsia" w:ascii="宋体" w:hAnsi="宋体" w:eastAsia="宋体"/>
            </w:rPr>
            <w:t>（经办）</w:t>
          </w:r>
          <w:r>
            <w:tab/>
          </w:r>
          <w:r>
            <w:fldChar w:fldCharType="begin"/>
          </w:r>
          <w:r>
            <w:instrText xml:space="preserve"> PAGEREF _Toc27651 \h </w:instrText>
          </w:r>
          <w:r>
            <w:fldChar w:fldCharType="separate"/>
          </w:r>
          <w:r>
            <w:t>7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 w14:paraId="0AF7FFB3">
          <w:pPr>
            <w:pStyle w:val="6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_Toc8094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default" w:ascii="宋体" w:hAnsi="宋体" w:eastAsia="宋体"/>
            </w:rPr>
            <w:t xml:space="preserve">2.2.4. </w:t>
          </w:r>
          <w:r>
            <w:rPr>
              <w:rFonts w:hint="eastAsia" w:ascii="宋体" w:hAnsi="宋体" w:eastAsia="宋体"/>
            </w:rPr>
            <w:t>交易项目审核（部长）</w:t>
          </w:r>
          <w:r>
            <w:tab/>
          </w:r>
          <w:r>
            <w:fldChar w:fldCharType="begin"/>
          </w:r>
          <w:r>
            <w:instrText xml:space="preserve"> PAGEREF _Toc8094 \h </w:instrText>
          </w:r>
          <w:r>
            <w:fldChar w:fldCharType="separate"/>
          </w:r>
          <w:r>
            <w:t>10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 w14:paraId="541FCD65">
          <w:pPr>
            <w:pStyle w:val="6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_Toc3465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default" w:ascii="宋体" w:hAnsi="宋体" w:eastAsia="宋体"/>
            </w:rPr>
            <w:t xml:space="preserve">2.2.5. </w:t>
          </w:r>
          <w:r>
            <w:rPr>
              <w:rFonts w:hint="eastAsia" w:ascii="宋体" w:hAnsi="宋体" w:eastAsia="宋体"/>
            </w:rPr>
            <w:t>交易项目审批（中心领导）</w:t>
          </w:r>
          <w:r>
            <w:tab/>
          </w:r>
          <w:r>
            <w:fldChar w:fldCharType="begin"/>
          </w:r>
          <w:r>
            <w:instrText xml:space="preserve"> PAGEREF _Toc3465 \h </w:instrText>
          </w:r>
          <w:r>
            <w:fldChar w:fldCharType="separate"/>
          </w:r>
          <w:r>
            <w:t>12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 w14:paraId="14BEB731">
          <w:pPr>
            <w:pStyle w:val="6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_Toc29313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default" w:ascii="宋体" w:hAnsi="宋体" w:eastAsia="宋体"/>
              <w:lang w:val="en-US" w:eastAsia="zh-CN"/>
            </w:rPr>
            <w:t xml:space="preserve">2.2.6. </w:t>
          </w:r>
          <w:r>
            <w:rPr>
              <w:rFonts w:hint="eastAsia" w:ascii="宋体" w:hAnsi="宋体" w:eastAsia="宋体"/>
              <w:lang w:val="en-US" w:eastAsia="zh-CN"/>
            </w:rPr>
            <w:t>交易公告发布（经办）</w:t>
          </w:r>
          <w:r>
            <w:tab/>
          </w:r>
          <w:r>
            <w:fldChar w:fldCharType="begin"/>
          </w:r>
          <w:r>
            <w:instrText xml:space="preserve"> PAGEREF _Toc29313 \h </w:instrText>
          </w:r>
          <w:r>
            <w:fldChar w:fldCharType="separate"/>
          </w:r>
          <w:r>
            <w:t>13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 w14:paraId="61DD41D9">
          <w:pPr>
            <w:pStyle w:val="6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_Toc7329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default" w:ascii="宋体" w:hAnsi="宋体" w:eastAsia="宋体"/>
            </w:rPr>
            <w:t xml:space="preserve">2.2.7. </w:t>
          </w:r>
          <w:r>
            <w:rPr>
              <w:rFonts w:hint="eastAsia" w:ascii="宋体" w:hAnsi="宋体" w:eastAsia="宋体"/>
              <w:lang w:val="en-US" w:eastAsia="zh-CN"/>
            </w:rPr>
            <w:t>正在挂牌资源</w:t>
          </w:r>
          <w:r>
            <w:tab/>
          </w:r>
          <w:r>
            <w:fldChar w:fldCharType="begin"/>
          </w:r>
          <w:r>
            <w:instrText xml:space="preserve"> PAGEREF _Toc7329 \h </w:instrText>
          </w:r>
          <w:r>
            <w:fldChar w:fldCharType="separate"/>
          </w:r>
          <w:r>
            <w:t>14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 w14:paraId="43F9AA44">
          <w:pPr>
            <w:pStyle w:val="6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_Toc9110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default" w:ascii="宋体" w:hAnsi="宋体" w:eastAsia="宋体"/>
            </w:rPr>
            <w:t xml:space="preserve">2.2.8. </w:t>
          </w:r>
          <w:r>
            <w:rPr>
              <w:rFonts w:hint="eastAsia" w:ascii="宋体" w:hAnsi="宋体" w:eastAsia="宋体"/>
              <w:lang w:val="en-US" w:eastAsia="zh-CN"/>
            </w:rPr>
            <w:t>项目公告查询</w:t>
          </w:r>
          <w:r>
            <w:tab/>
          </w:r>
          <w:r>
            <w:fldChar w:fldCharType="begin"/>
          </w:r>
          <w:r>
            <w:instrText xml:space="preserve"> PAGEREF _Toc9110 \h </w:instrText>
          </w:r>
          <w:r>
            <w:fldChar w:fldCharType="separate"/>
          </w:r>
          <w:r>
            <w:t>15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 w14:paraId="19A83808">
          <w:pPr>
            <w:pStyle w:val="6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_Toc3435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default" w:ascii="宋体" w:hAnsi="宋体" w:eastAsia="宋体"/>
            </w:rPr>
            <w:t xml:space="preserve">2.2.9. </w:t>
          </w:r>
          <w:r>
            <w:rPr>
              <w:rFonts w:hint="eastAsia" w:ascii="宋体" w:hAnsi="宋体" w:eastAsia="宋体"/>
            </w:rPr>
            <w:t>出让交易查询</w:t>
          </w:r>
          <w:r>
            <w:tab/>
          </w:r>
          <w:r>
            <w:fldChar w:fldCharType="begin"/>
          </w:r>
          <w:r>
            <w:instrText xml:space="preserve"> PAGEREF _Toc3435 \h </w:instrText>
          </w:r>
          <w:r>
            <w:fldChar w:fldCharType="separate"/>
          </w:r>
          <w:r>
            <w:t>16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 w14:paraId="4B0BDC7D">
          <w:pPr>
            <w:pStyle w:val="10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_Toc26561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default" w:ascii="宋体" w:hAnsi="宋体" w:eastAsia="宋体"/>
              <w:lang w:val="en-US" w:eastAsia="zh-CN"/>
            </w:rPr>
            <w:t xml:space="preserve">2.3. </w:t>
          </w:r>
          <w:r>
            <w:rPr>
              <w:rFonts w:hint="eastAsia" w:ascii="宋体" w:hAnsi="宋体" w:eastAsia="宋体"/>
              <w:lang w:val="en-US" w:eastAsia="zh-CN"/>
            </w:rPr>
            <w:t>查看成交通知书</w:t>
          </w:r>
          <w:r>
            <w:tab/>
          </w:r>
          <w:r>
            <w:fldChar w:fldCharType="begin"/>
          </w:r>
          <w:r>
            <w:instrText xml:space="preserve"> PAGEREF _Toc26561 \h </w:instrText>
          </w:r>
          <w:r>
            <w:fldChar w:fldCharType="separate"/>
          </w:r>
          <w:r>
            <w:t>17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 w14:paraId="6128C8C4">
          <w:pPr>
            <w:pStyle w:val="10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_Toc5492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default" w:ascii="宋体" w:hAnsi="宋体" w:eastAsia="宋体"/>
              <w:lang w:val="en-US" w:eastAsia="zh-CN"/>
            </w:rPr>
            <w:t xml:space="preserve">2.4. </w:t>
          </w:r>
          <w:r>
            <w:rPr>
              <w:rFonts w:hint="eastAsia" w:ascii="宋体" w:hAnsi="宋体" w:eastAsia="宋体"/>
              <w:lang w:val="en-US" w:eastAsia="zh-CN"/>
            </w:rPr>
            <w:t>资格审查（经办、部长）</w:t>
          </w:r>
          <w:r>
            <w:tab/>
          </w:r>
          <w:r>
            <w:fldChar w:fldCharType="begin"/>
          </w:r>
          <w:r>
            <w:instrText xml:space="preserve"> PAGEREF _Toc5492 \h </w:instrText>
          </w:r>
          <w:r>
            <w:fldChar w:fldCharType="separate"/>
          </w:r>
          <w:r>
            <w:t>18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 w14:paraId="1D4FA4E5">
          <w:pPr>
            <w:pStyle w:val="10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_Toc2471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default" w:ascii="宋体" w:hAnsi="宋体" w:eastAsia="宋体"/>
              <w:lang w:val="en-US" w:eastAsia="zh-CN"/>
            </w:rPr>
            <w:t xml:space="preserve">2.5. </w:t>
          </w:r>
          <w:r>
            <w:rPr>
              <w:rFonts w:hint="eastAsia" w:ascii="宋体" w:hAnsi="宋体" w:eastAsia="宋体"/>
              <w:lang w:val="en-US" w:eastAsia="zh-CN"/>
            </w:rPr>
            <w:t>成交确认书</w:t>
          </w:r>
          <w:r>
            <w:tab/>
          </w:r>
          <w:r>
            <w:fldChar w:fldCharType="begin"/>
          </w:r>
          <w:r>
            <w:instrText xml:space="preserve"> PAGEREF _Toc2471 \h </w:instrText>
          </w:r>
          <w:r>
            <w:fldChar w:fldCharType="separate"/>
          </w:r>
          <w:r>
            <w:t>20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 w14:paraId="39675DBD">
          <w:pPr>
            <w:pStyle w:val="10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_Toc23255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default" w:ascii="宋体" w:hAnsi="宋体" w:eastAsia="宋体"/>
              <w:lang w:val="en-US" w:eastAsia="zh-CN"/>
            </w:rPr>
            <w:t xml:space="preserve">2.6. </w:t>
          </w:r>
          <w:r>
            <w:rPr>
              <w:rFonts w:hint="eastAsia" w:ascii="宋体" w:hAnsi="宋体" w:eastAsia="宋体"/>
              <w:lang w:val="en-US" w:eastAsia="zh-CN"/>
            </w:rPr>
            <w:t>合同签订</w:t>
          </w:r>
          <w:r>
            <w:tab/>
          </w:r>
          <w:r>
            <w:fldChar w:fldCharType="begin"/>
          </w:r>
          <w:r>
            <w:instrText xml:space="preserve"> PAGEREF _Toc23255 \h </w:instrText>
          </w:r>
          <w:r>
            <w:fldChar w:fldCharType="separate"/>
          </w:r>
          <w:r>
            <w:t>23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 w14:paraId="4D21BCED">
          <w:pPr>
            <w:pStyle w:val="10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_Toc11490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default" w:ascii="宋体" w:hAnsi="宋体" w:eastAsia="宋体"/>
            </w:rPr>
            <w:t xml:space="preserve">2.7. </w:t>
          </w:r>
          <w:r>
            <w:rPr>
              <w:rFonts w:hint="eastAsia" w:ascii="宋体" w:hAnsi="宋体" w:eastAsia="宋体"/>
            </w:rPr>
            <w:t>保证金退回</w:t>
          </w:r>
          <w:r>
            <w:tab/>
          </w:r>
          <w:r>
            <w:fldChar w:fldCharType="begin"/>
          </w:r>
          <w:r>
            <w:instrText xml:space="preserve"> PAGEREF _Toc11490 \h </w:instrText>
          </w:r>
          <w:r>
            <w:fldChar w:fldCharType="separate"/>
          </w:r>
          <w:r>
            <w:t>24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 w14:paraId="660B82DF">
          <w:pPr>
            <w:pStyle w:val="10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_Toc14622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default" w:ascii="宋体" w:hAnsi="宋体" w:eastAsia="宋体"/>
              <w:lang w:val="en-US" w:eastAsia="zh-CN"/>
            </w:rPr>
            <w:t xml:space="preserve">2.8. </w:t>
          </w:r>
          <w:r>
            <w:rPr>
              <w:rFonts w:hint="eastAsia" w:ascii="宋体" w:hAnsi="宋体" w:eastAsia="宋体"/>
              <w:lang w:val="en-US" w:eastAsia="zh-CN"/>
            </w:rPr>
            <w:t>中止交易</w:t>
          </w:r>
          <w:r>
            <w:tab/>
          </w:r>
          <w:r>
            <w:fldChar w:fldCharType="begin"/>
          </w:r>
          <w:r>
            <w:instrText xml:space="preserve"> PAGEREF _Toc14622 \h </w:instrText>
          </w:r>
          <w:r>
            <w:fldChar w:fldCharType="separate"/>
          </w:r>
          <w:r>
            <w:t>26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 w14:paraId="51B3000E">
          <w:pPr>
            <w:pStyle w:val="10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_Toc21440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default" w:ascii="宋体" w:hAnsi="宋体" w:eastAsia="宋体"/>
              <w:lang w:val="en-US" w:eastAsia="zh-CN"/>
            </w:rPr>
            <w:t xml:space="preserve">2.9. </w:t>
          </w:r>
          <w:r>
            <w:rPr>
              <w:rFonts w:hint="eastAsia" w:ascii="宋体" w:hAnsi="宋体" w:eastAsia="宋体"/>
              <w:lang w:val="en-US" w:eastAsia="zh-CN"/>
            </w:rPr>
            <w:t>恢复交易</w:t>
          </w:r>
          <w:r>
            <w:tab/>
          </w:r>
          <w:r>
            <w:fldChar w:fldCharType="begin"/>
          </w:r>
          <w:r>
            <w:instrText xml:space="preserve"> PAGEREF _Toc21440 \h </w:instrText>
          </w:r>
          <w:r>
            <w:fldChar w:fldCharType="separate"/>
          </w:r>
          <w:r>
            <w:t>30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 w14:paraId="49ABD124">
          <w:pPr>
            <w:pStyle w:val="10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_Toc12943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default" w:ascii="宋体" w:hAnsi="宋体" w:eastAsia="宋体"/>
              <w:lang w:val="en-US" w:eastAsia="zh-CN"/>
            </w:rPr>
            <w:t xml:space="preserve">2.10. </w:t>
          </w:r>
          <w:r>
            <w:rPr>
              <w:rFonts w:hint="eastAsia" w:ascii="宋体" w:hAnsi="宋体" w:eastAsia="宋体"/>
              <w:lang w:val="en-US" w:eastAsia="zh-CN"/>
            </w:rPr>
            <w:t>更正交易</w:t>
          </w:r>
          <w:r>
            <w:tab/>
          </w:r>
          <w:r>
            <w:fldChar w:fldCharType="begin"/>
          </w:r>
          <w:r>
            <w:instrText xml:space="preserve"> PAGEREF _Toc12943 \h </w:instrText>
          </w:r>
          <w:r>
            <w:fldChar w:fldCharType="separate"/>
          </w:r>
          <w:r>
            <w:t>34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 w14:paraId="35A4EDFD">
          <w:pPr>
            <w:pStyle w:val="10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_Toc1009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default" w:ascii="宋体" w:hAnsi="宋体" w:eastAsia="宋体"/>
              <w:lang w:val="en-US" w:eastAsia="zh-CN"/>
            </w:rPr>
            <w:t xml:space="preserve">2.11. </w:t>
          </w:r>
          <w:r>
            <w:rPr>
              <w:rFonts w:hint="eastAsia" w:ascii="宋体" w:hAnsi="宋体" w:eastAsia="宋体"/>
              <w:lang w:val="en-US" w:eastAsia="zh-CN"/>
            </w:rPr>
            <w:t>终止交易</w:t>
          </w:r>
          <w:r>
            <w:tab/>
          </w:r>
          <w:r>
            <w:fldChar w:fldCharType="begin"/>
          </w:r>
          <w:r>
            <w:instrText xml:space="preserve"> PAGEREF _Toc1009 \h </w:instrText>
          </w:r>
          <w:r>
            <w:fldChar w:fldCharType="separate"/>
          </w:r>
          <w:r>
            <w:t>39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 w14:paraId="4CFC6B56">
          <w:pPr>
            <w:pStyle w:val="10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_Toc6285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default" w:ascii="宋体" w:hAnsi="宋体" w:eastAsia="宋体"/>
            </w:rPr>
            <w:t xml:space="preserve">2.12. </w:t>
          </w:r>
          <w:r>
            <w:rPr>
              <w:rFonts w:hint="eastAsia" w:ascii="宋体" w:hAnsi="宋体" w:eastAsia="宋体"/>
            </w:rPr>
            <w:t>技术支持</w:t>
          </w:r>
          <w:r>
            <w:tab/>
          </w:r>
          <w:r>
            <w:fldChar w:fldCharType="begin"/>
          </w:r>
          <w:r>
            <w:instrText xml:space="preserve"> PAGEREF _Toc6285 \h </w:instrText>
          </w:r>
          <w:r>
            <w:fldChar w:fldCharType="separate"/>
          </w:r>
          <w:r>
            <w:t>43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 w14:paraId="45831679">
          <w:r>
            <w:rPr>
              <w:bCs/>
              <w:lang w:val="zh-CN"/>
            </w:rPr>
            <w:fldChar w:fldCharType="end"/>
          </w:r>
        </w:p>
      </w:sdtContent>
    </w:sdt>
    <w:p w14:paraId="727C8681">
      <w:pPr>
        <w:widowControl/>
        <w:jc w:val="left"/>
        <w:rPr>
          <w:rFonts w:ascii="宋体" w:hAnsi="宋体" w:eastAsia="宋体"/>
          <w:b/>
          <w:bCs/>
          <w:kern w:val="44"/>
          <w:sz w:val="44"/>
          <w:szCs w:val="44"/>
        </w:rPr>
      </w:pPr>
      <w:r>
        <w:rPr>
          <w:rFonts w:ascii="宋体" w:hAnsi="宋体" w:eastAsia="宋体"/>
        </w:rPr>
        <w:br w:type="page"/>
      </w:r>
    </w:p>
    <w:p w14:paraId="66CAF5AA">
      <w:pPr>
        <w:pStyle w:val="2"/>
        <w:widowControl w:val="0"/>
        <w:numPr>
          <w:ilvl w:val="0"/>
          <w:numId w:val="1"/>
        </w:numPr>
        <w:adjustRightInd/>
        <w:snapToGrid/>
        <w:ind w:left="425" w:leftChars="0" w:hanging="425" w:firstLineChars="0"/>
        <w:jc w:val="both"/>
        <w:rPr>
          <w:rFonts w:ascii="黑体" w:hAnsi="Calibri" w:eastAsia="黑体" w:cs="Times New Roman"/>
        </w:rPr>
      </w:pPr>
      <w:bookmarkStart w:id="0" w:name="_Toc407200889"/>
      <w:bookmarkStart w:id="1" w:name="_Toc290881815"/>
      <w:bookmarkStart w:id="2" w:name="_Toc11344"/>
      <w:bookmarkStart w:id="3" w:name="_Toc256"/>
      <w:bookmarkStart w:id="4" w:name="_Toc3165"/>
      <w:r>
        <w:rPr>
          <w:rFonts w:hint="eastAsia" w:ascii="黑体" w:hAnsi="Calibri" w:eastAsia="黑体" w:cs="Times New Roman"/>
        </w:rPr>
        <w:t>登录</w:t>
      </w:r>
      <w:bookmarkEnd w:id="0"/>
      <w:bookmarkEnd w:id="1"/>
      <w:bookmarkEnd w:id="2"/>
      <w:bookmarkEnd w:id="3"/>
      <w:bookmarkEnd w:id="4"/>
    </w:p>
    <w:p w14:paraId="37ACAFA9"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ascii="宋体" w:hAnsi="宋体" w:eastAsia="宋体" w:cs="Times New Roman"/>
          <w:kern w:val="2"/>
          <w:sz w:val="24"/>
          <w:szCs w:val="24"/>
        </w:rPr>
      </w:pPr>
      <w:r>
        <w:rPr>
          <w:rFonts w:hint="eastAsia" w:ascii="宋体" w:hAnsi="宋体" w:eastAsia="宋体" w:cs="Times New Roman"/>
          <w:kern w:val="2"/>
          <w:sz w:val="24"/>
          <w:szCs w:val="24"/>
        </w:rPr>
        <w:t>登录地址：</w:t>
      </w:r>
      <w:r>
        <w:rPr>
          <w:rFonts w:hint="eastAsia"/>
        </w:rPr>
        <w:t>https://jy.swggzy.cn/login</w:t>
      </w:r>
    </w:p>
    <w:p w14:paraId="2B6A2869"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</w:rPr>
        <w:t>门户地址：</w:t>
      </w:r>
      <w:r>
        <w:rPr>
          <w:rFonts w:hint="eastAsia"/>
        </w:rPr>
        <w:t>http://www.shanwei.gov.cn/swggzy/</w:t>
      </w:r>
    </w:p>
    <w:p w14:paraId="48F91357"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default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</w:rPr>
        <w:t>建议使用360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极速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浏览器</w:t>
      </w:r>
      <w:r>
        <w:rPr>
          <w:rFonts w:hint="eastAsia" w:ascii="宋体" w:hAnsi="宋体" w:eastAsia="宋体" w:cs="Times New Roman"/>
          <w:kern w:val="2"/>
          <w:sz w:val="24"/>
          <w:szCs w:val="24"/>
          <w:lang w:eastAsia="zh-CN"/>
        </w:rPr>
        <w:t>（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版本12.0或以上，极速模式</w:t>
      </w:r>
      <w:r>
        <w:rPr>
          <w:rFonts w:hint="eastAsia" w:ascii="宋体" w:hAnsi="宋体" w:eastAsia="宋体" w:cs="Times New Roman"/>
          <w:kern w:val="2"/>
          <w:sz w:val="24"/>
          <w:szCs w:val="24"/>
          <w:lang w:eastAsia="zh-CN"/>
        </w:rPr>
        <w:t>）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。</w:t>
      </w:r>
    </w:p>
    <w:p w14:paraId="48485766">
      <w:pPr>
        <w:widowControl w:val="0"/>
        <w:adjustRightInd/>
        <w:snapToGrid/>
        <w:spacing w:before="62" w:beforeLines="20" w:after="62" w:afterLines="20" w:line="360" w:lineRule="auto"/>
        <w:jc w:val="both"/>
        <w:rPr>
          <w:rFonts w:ascii="宋体" w:hAnsi="宋体" w:eastAsia="宋体" w:cs="Times New Roman"/>
          <w:color w:val="0000FF"/>
          <w:kern w:val="2"/>
          <w:sz w:val="24"/>
          <w:szCs w:val="24"/>
        </w:rPr>
      </w:pPr>
      <w:r>
        <w:drawing>
          <wp:inline distT="0" distB="0" distL="114300" distR="114300">
            <wp:extent cx="5266690" cy="2337435"/>
            <wp:effectExtent l="0" t="0" r="3810" b="12065"/>
            <wp:docPr id="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75FC03"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ascii="宋体" w:hAnsi="宋体" w:eastAsia="宋体" w:cs="Times New Roman"/>
          <w:color w:val="0000FF"/>
          <w:kern w:val="2"/>
          <w:sz w:val="24"/>
          <w:szCs w:val="24"/>
        </w:rPr>
      </w:pPr>
      <w:r>
        <w:rPr>
          <w:rFonts w:hint="eastAsia" w:ascii="宋体" w:hAnsi="宋体" w:eastAsia="宋体" w:cs="Times New Roman"/>
          <w:kern w:val="2"/>
          <w:sz w:val="24"/>
          <w:szCs w:val="24"/>
        </w:rPr>
        <w:t>进入登录界面，输入正确的用户名和密码，然后点击【登录】，即可进入系统。登录系统后，在首页面板可以看到待处理的待办事项。点击其中一个待办事项可以快速进行业务办理。</w:t>
      </w:r>
    </w:p>
    <w:p w14:paraId="41278398">
      <w:pPr>
        <w:ind w:firstLine="420" w:firstLineChars="200"/>
        <w:rPr>
          <w:rFonts w:ascii="宋体" w:hAnsi="宋体" w:eastAsia="宋体" w:cs="宋体"/>
        </w:rPr>
      </w:pPr>
      <w:r>
        <w:drawing>
          <wp:inline distT="0" distB="0" distL="114300" distR="114300">
            <wp:extent cx="5266690" cy="2337435"/>
            <wp:effectExtent l="0" t="0" r="3810" b="12065"/>
            <wp:docPr id="1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B4E2FA">
      <w:pPr>
        <w:pStyle w:val="2"/>
        <w:widowControl w:val="0"/>
        <w:numPr>
          <w:ilvl w:val="0"/>
          <w:numId w:val="1"/>
        </w:numPr>
        <w:adjustRightInd/>
        <w:snapToGrid/>
        <w:ind w:left="425" w:leftChars="0" w:hanging="425" w:firstLineChars="0"/>
        <w:jc w:val="both"/>
        <w:rPr>
          <w:rFonts w:ascii="宋体" w:hAnsi="宋体" w:eastAsia="宋体"/>
        </w:rPr>
      </w:pPr>
      <w:bookmarkStart w:id="5" w:name="_Toc5014"/>
      <w:r>
        <w:rPr>
          <w:rFonts w:hint="eastAsia" w:ascii="宋体" w:hAnsi="宋体" w:eastAsia="宋体"/>
        </w:rPr>
        <w:t>业务操作说明</w:t>
      </w:r>
      <w:bookmarkEnd w:id="5"/>
    </w:p>
    <w:p w14:paraId="0EE67478">
      <w:pPr>
        <w:pStyle w:val="3"/>
        <w:numPr>
          <w:ilvl w:val="1"/>
          <w:numId w:val="1"/>
        </w:numPr>
        <w:ind w:left="567" w:leftChars="0" w:hanging="567" w:firstLineChars="0"/>
        <w:rPr>
          <w:rFonts w:ascii="宋体" w:hAnsi="宋体" w:eastAsia="宋体"/>
        </w:rPr>
      </w:pPr>
      <w:r>
        <w:rPr>
          <w:rFonts w:hint="eastAsia" w:ascii="宋体" w:hAnsi="宋体" w:eastAsia="宋体"/>
          <w:lang w:val="en-US" w:eastAsia="zh-CN"/>
        </w:rPr>
        <w:t xml:space="preserve"> </w:t>
      </w:r>
      <w:bookmarkStart w:id="6" w:name="_Toc9334"/>
      <w:r>
        <w:rPr>
          <w:rFonts w:hint="eastAsia" w:ascii="宋体" w:hAnsi="宋体" w:eastAsia="宋体"/>
        </w:rPr>
        <w:t>业务流程</w:t>
      </w:r>
      <w:bookmarkEnd w:id="6"/>
    </w:p>
    <w:p w14:paraId="7F24336C">
      <w:pPr>
        <w:rPr>
          <w:rFonts w:hint="eastAsia" w:ascii="宋体" w:hAnsi="宋体" w:eastAsia="宋体"/>
          <w:lang w:eastAsia="zh-CN"/>
        </w:rPr>
      </w:pPr>
      <w:r>
        <w:rPr>
          <w:rFonts w:hint="eastAsia" w:ascii="宋体" w:hAnsi="宋体" w:eastAsia="宋体"/>
          <w:lang w:eastAsia="zh-CN"/>
        </w:rPr>
        <w:drawing>
          <wp:inline distT="0" distB="0" distL="114300" distR="114300">
            <wp:extent cx="5267325" cy="7365365"/>
            <wp:effectExtent l="0" t="0" r="3175" b="635"/>
            <wp:docPr id="70" name="图片 70" descr="1090cca692f166ef9616556feab36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70" descr="1090cca692f166ef9616556feab364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365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B94AB5">
      <w:pPr>
        <w:pStyle w:val="3"/>
        <w:numPr>
          <w:ilvl w:val="1"/>
          <w:numId w:val="1"/>
        </w:numPr>
        <w:ind w:left="567" w:leftChars="0" w:hanging="567" w:firstLineChars="0"/>
        <w:rPr>
          <w:rFonts w:hint="eastAsia" w:ascii="宋体" w:hAnsi="宋体" w:eastAsia="宋体"/>
          <w:lang w:val="en-US" w:eastAsia="zh-CN"/>
        </w:rPr>
      </w:pPr>
      <w:bookmarkStart w:id="7" w:name="_Toc12891"/>
      <w:r>
        <w:rPr>
          <w:rFonts w:hint="eastAsia" w:ascii="宋体" w:hAnsi="宋体" w:eastAsia="宋体"/>
          <w:lang w:val="en-US" w:eastAsia="zh-CN"/>
        </w:rPr>
        <w:t>交易发布</w:t>
      </w:r>
      <w:bookmarkEnd w:id="7"/>
    </w:p>
    <w:p w14:paraId="71FE4401">
      <w:pPr>
        <w:spacing w:before="62" w:beforeLines="20" w:after="62" w:afterLines="20" w:line="360" w:lineRule="auto"/>
        <w:ind w:firstLine="384" w:firstLineChars="183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有两个环节，交易进场、交易项目录入。</w:t>
      </w:r>
    </w:p>
    <w:p w14:paraId="093E47F6">
      <w:pPr>
        <w:spacing w:before="62" w:beforeLines="20" w:after="62" w:afterLines="20" w:line="360" w:lineRule="auto"/>
        <w:ind w:firstLine="384" w:firstLineChars="183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交易进场申请是由出让人发起提交到中心</w:t>
      </w:r>
      <w:r>
        <w:rPr>
          <w:rFonts w:hint="eastAsia" w:ascii="宋体" w:hAnsi="宋体" w:eastAsia="宋体" w:cs="宋体"/>
          <w:lang w:val="en-US" w:eastAsia="zh-CN"/>
        </w:rPr>
        <w:t>经办受理，部长审阅</w:t>
      </w:r>
      <w:r>
        <w:rPr>
          <w:rFonts w:hint="eastAsia" w:ascii="宋体" w:hAnsi="宋体" w:eastAsia="宋体" w:cs="宋体"/>
        </w:rPr>
        <w:t>，审</w:t>
      </w:r>
      <w:r>
        <w:rPr>
          <w:rFonts w:hint="eastAsia" w:ascii="宋体" w:hAnsi="宋体" w:eastAsia="宋体" w:cs="宋体"/>
          <w:lang w:val="en-US" w:eastAsia="zh-CN"/>
        </w:rPr>
        <w:t>阅</w:t>
      </w:r>
      <w:r>
        <w:rPr>
          <w:rFonts w:hint="eastAsia" w:ascii="宋体" w:hAnsi="宋体" w:eastAsia="宋体" w:cs="宋体"/>
        </w:rPr>
        <w:t>通过后</w:t>
      </w:r>
      <w:r>
        <w:rPr>
          <w:rFonts w:hint="eastAsia" w:ascii="宋体" w:hAnsi="宋体" w:eastAsia="宋体" w:cs="宋体"/>
          <w:lang w:eastAsia="zh-CN"/>
        </w:rPr>
        <w:t>，</w:t>
      </w:r>
      <w:r>
        <w:rPr>
          <w:rFonts w:hint="eastAsia" w:ascii="宋体" w:hAnsi="宋体" w:eastAsia="宋体" w:cs="宋体"/>
          <w:lang w:val="en-US" w:eastAsia="zh-CN"/>
        </w:rPr>
        <w:t>由中心经办录入</w:t>
      </w:r>
      <w:r>
        <w:rPr>
          <w:rFonts w:hint="eastAsia" w:ascii="宋体" w:hAnsi="宋体" w:eastAsia="宋体" w:cs="宋体"/>
        </w:rPr>
        <w:t>，由交易中心经办、部长、分管领导、中心领导进行审批，审批通过后自动发送交易公告。</w:t>
      </w:r>
    </w:p>
    <w:p w14:paraId="356F80E8">
      <w:pPr>
        <w:pStyle w:val="4"/>
        <w:numPr>
          <w:ilvl w:val="2"/>
          <w:numId w:val="1"/>
        </w:numPr>
        <w:ind w:left="709" w:leftChars="0" w:hanging="709" w:firstLineChars="0"/>
        <w:rPr>
          <w:rFonts w:ascii="宋体" w:hAnsi="宋体" w:eastAsia="宋体"/>
        </w:rPr>
      </w:pPr>
      <w:bookmarkStart w:id="8" w:name="_Toc14285"/>
      <w:r>
        <w:rPr>
          <w:rFonts w:hint="eastAsia" w:ascii="宋体" w:hAnsi="宋体" w:eastAsia="宋体"/>
        </w:rPr>
        <w:t>进场申请</w:t>
      </w:r>
      <w:r>
        <w:rPr>
          <w:rFonts w:hint="eastAsia" w:ascii="宋体" w:hAnsi="宋体" w:eastAsia="宋体"/>
          <w:lang w:val="en-US" w:eastAsia="zh-CN"/>
        </w:rPr>
        <w:t>受理</w:t>
      </w:r>
      <w:r>
        <w:rPr>
          <w:rFonts w:hint="eastAsia" w:ascii="宋体" w:hAnsi="宋体" w:eastAsia="宋体"/>
        </w:rPr>
        <w:t>（</w:t>
      </w:r>
      <w:r>
        <w:rPr>
          <w:rFonts w:hint="eastAsia" w:ascii="宋体" w:hAnsi="宋体" w:eastAsia="宋体"/>
          <w:lang w:val="en-US" w:eastAsia="zh-CN"/>
        </w:rPr>
        <w:t>经办</w:t>
      </w:r>
      <w:r>
        <w:rPr>
          <w:rFonts w:hint="eastAsia" w:ascii="宋体" w:hAnsi="宋体" w:eastAsia="宋体"/>
        </w:rPr>
        <w:t>）</w:t>
      </w:r>
      <w:bookmarkEnd w:id="8"/>
    </w:p>
    <w:p w14:paraId="419A3C2C"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default" w:ascii="宋体" w:hAnsi="宋体" w:eastAsia="宋体" w:cs="Times New Roman"/>
          <w:kern w:val="2"/>
          <w:sz w:val="24"/>
          <w:szCs w:val="24"/>
          <w:lang w:val="en-US"/>
        </w:rPr>
      </w:pPr>
      <w:r>
        <w:rPr>
          <w:rFonts w:hint="eastAsia" w:ascii="宋体" w:hAnsi="宋体" w:eastAsia="宋体" w:cs="Times New Roman"/>
          <w:kern w:val="2"/>
          <w:sz w:val="24"/>
          <w:szCs w:val="24"/>
        </w:rPr>
        <w:t>点击菜单“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项目申请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&gt;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进场经办受理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”，点击“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受理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”</w:t>
      </w:r>
      <w:r>
        <w:rPr>
          <w:rFonts w:hint="eastAsia" w:ascii="宋体" w:hAnsi="宋体" w:eastAsia="宋体" w:cs="Times New Roman"/>
          <w:kern w:val="2"/>
          <w:sz w:val="24"/>
          <w:szCs w:val="24"/>
          <w:lang w:eastAsia="zh-CN"/>
        </w:rPr>
        <w:t>，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进入受理进场信息页面，如受理通过，提交至部长审阅，如需修改，点击“退回”，则退回委托方重新进场。</w:t>
      </w:r>
    </w:p>
    <w:p w14:paraId="344712A8">
      <w:pPr>
        <w:spacing w:before="62" w:beforeLines="20" w:after="62" w:afterLines="20" w:line="360" w:lineRule="auto"/>
        <w:ind w:firstLine="384" w:firstLineChars="183"/>
        <w:rPr>
          <w:rFonts w:ascii="宋体" w:hAnsi="宋体" w:eastAsia="宋体" w:cs="宋体"/>
        </w:rPr>
      </w:pPr>
      <w:r>
        <w:drawing>
          <wp:inline distT="0" distB="0" distL="114300" distR="114300">
            <wp:extent cx="5266690" cy="2337435"/>
            <wp:effectExtent l="0" t="0" r="3810" b="12065"/>
            <wp:docPr id="1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9C3256">
      <w:pPr>
        <w:spacing w:before="62" w:beforeLines="20" w:after="62" w:afterLines="20" w:line="360" w:lineRule="auto"/>
        <w:ind w:firstLine="384" w:firstLineChars="183"/>
      </w:pPr>
      <w:r>
        <w:drawing>
          <wp:inline distT="0" distB="0" distL="114300" distR="114300">
            <wp:extent cx="5266690" cy="2337435"/>
            <wp:effectExtent l="0" t="0" r="3810" b="12065"/>
            <wp:docPr id="18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9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D0E08B">
      <w:pPr>
        <w:spacing w:before="62" w:beforeLines="20" w:after="62" w:afterLines="20" w:line="360" w:lineRule="auto"/>
        <w:ind w:firstLine="384" w:firstLineChars="183"/>
      </w:pPr>
      <w:r>
        <w:drawing>
          <wp:inline distT="0" distB="0" distL="114300" distR="114300">
            <wp:extent cx="5266690" cy="2337435"/>
            <wp:effectExtent l="0" t="0" r="3810" b="12065"/>
            <wp:docPr id="19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0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70E2CF">
      <w:pPr>
        <w:pStyle w:val="4"/>
        <w:numPr>
          <w:ilvl w:val="2"/>
          <w:numId w:val="1"/>
        </w:numPr>
        <w:ind w:left="709" w:leftChars="0" w:hanging="709" w:firstLineChars="0"/>
        <w:rPr>
          <w:rFonts w:ascii="宋体" w:hAnsi="宋体" w:eastAsia="宋体"/>
        </w:rPr>
      </w:pPr>
      <w:r>
        <w:rPr>
          <w:rFonts w:ascii="宋体" w:hAnsi="宋体" w:eastAsia="宋体"/>
        </w:rPr>
        <w:t xml:space="preserve"> </w:t>
      </w:r>
      <w:bookmarkStart w:id="9" w:name="_Toc2047"/>
      <w:r>
        <w:rPr>
          <w:rFonts w:hint="eastAsia" w:ascii="宋体" w:hAnsi="宋体" w:eastAsia="宋体"/>
        </w:rPr>
        <w:t>进场申请</w:t>
      </w:r>
      <w:r>
        <w:rPr>
          <w:rFonts w:hint="eastAsia" w:ascii="宋体" w:hAnsi="宋体" w:eastAsia="宋体"/>
          <w:lang w:val="en-US" w:eastAsia="zh-CN"/>
        </w:rPr>
        <w:t>审阅</w:t>
      </w:r>
      <w:r>
        <w:rPr>
          <w:rFonts w:hint="eastAsia" w:ascii="宋体" w:hAnsi="宋体" w:eastAsia="宋体"/>
        </w:rPr>
        <w:t>（</w:t>
      </w:r>
      <w:r>
        <w:rPr>
          <w:rFonts w:hint="eastAsia" w:ascii="宋体" w:hAnsi="宋体" w:eastAsia="宋体"/>
          <w:lang w:val="en-US" w:eastAsia="zh-CN"/>
        </w:rPr>
        <w:t>部长</w:t>
      </w:r>
      <w:r>
        <w:rPr>
          <w:rFonts w:hint="eastAsia" w:ascii="宋体" w:hAnsi="宋体" w:eastAsia="宋体"/>
        </w:rPr>
        <w:t>）</w:t>
      </w:r>
      <w:bookmarkEnd w:id="9"/>
    </w:p>
    <w:p w14:paraId="3FE3067B"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default" w:ascii="宋体" w:hAnsi="宋体" w:eastAsia="宋体" w:cs="Times New Roman"/>
          <w:kern w:val="2"/>
          <w:sz w:val="24"/>
          <w:szCs w:val="24"/>
          <w:lang w:val="en-US"/>
        </w:rPr>
      </w:pPr>
      <w:r>
        <w:rPr>
          <w:rFonts w:hint="eastAsia" w:ascii="宋体" w:hAnsi="宋体" w:eastAsia="宋体" w:cs="Times New Roman"/>
          <w:kern w:val="2"/>
          <w:sz w:val="24"/>
          <w:szCs w:val="24"/>
        </w:rPr>
        <w:t>点击菜单“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项目申请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&gt;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进场部长审阅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”，点击“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审阅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”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进入审阅进场信息页面，如审阅通过，则进入项目委托经办提交环节，如需修改，点击“退回”，则退回委托方重新进场。</w:t>
      </w:r>
    </w:p>
    <w:p w14:paraId="5D784F40">
      <w:pPr>
        <w:ind w:firstLine="420" w:firstLineChars="200"/>
        <w:rPr>
          <w:rFonts w:ascii="宋体" w:hAnsi="宋体" w:eastAsia="宋体" w:cs="宋体"/>
        </w:rPr>
      </w:pPr>
      <w:r>
        <w:drawing>
          <wp:inline distT="0" distB="0" distL="114300" distR="114300">
            <wp:extent cx="5266690" cy="2337435"/>
            <wp:effectExtent l="0" t="0" r="3810" b="12065"/>
            <wp:docPr id="1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B5CFCD">
      <w:pPr>
        <w:ind w:firstLine="420" w:firstLineChars="200"/>
      </w:pPr>
      <w:r>
        <w:drawing>
          <wp:inline distT="0" distB="0" distL="114300" distR="114300">
            <wp:extent cx="5266690" cy="2337435"/>
            <wp:effectExtent l="0" t="0" r="3810" b="12065"/>
            <wp:docPr id="16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72B557">
      <w:pPr>
        <w:ind w:firstLine="420" w:firstLineChars="200"/>
      </w:pPr>
      <w:r>
        <w:drawing>
          <wp:inline distT="0" distB="0" distL="114300" distR="114300">
            <wp:extent cx="5266690" cy="2337435"/>
            <wp:effectExtent l="0" t="0" r="3810" b="12065"/>
            <wp:docPr id="15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8A48E2">
      <w:pPr>
        <w:pStyle w:val="4"/>
        <w:numPr>
          <w:ilvl w:val="2"/>
          <w:numId w:val="1"/>
        </w:numPr>
        <w:ind w:left="709" w:leftChars="0" w:hanging="709" w:firstLineChars="0"/>
        <w:rPr>
          <w:rFonts w:ascii="宋体" w:hAnsi="宋体" w:eastAsia="宋体"/>
        </w:rPr>
      </w:pPr>
      <w:r>
        <w:rPr>
          <w:rFonts w:ascii="宋体" w:hAnsi="宋体" w:eastAsia="宋体"/>
        </w:rPr>
        <w:t xml:space="preserve"> </w:t>
      </w:r>
      <w:bookmarkStart w:id="10" w:name="_Toc27651"/>
      <w:r>
        <w:rPr>
          <w:rFonts w:hint="eastAsia" w:ascii="宋体" w:hAnsi="宋体" w:eastAsia="宋体"/>
          <w:lang w:val="en-US" w:eastAsia="zh-CN"/>
        </w:rPr>
        <w:t>项目公告拟稿</w:t>
      </w:r>
      <w:r>
        <w:rPr>
          <w:rFonts w:hint="eastAsia" w:ascii="宋体" w:hAnsi="宋体" w:eastAsia="宋体"/>
        </w:rPr>
        <w:t>（经办）</w:t>
      </w:r>
      <w:bookmarkEnd w:id="10"/>
    </w:p>
    <w:p w14:paraId="76A2C5E1"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eastAsia" w:ascii="宋体" w:hAnsi="宋体" w:eastAsia="宋体" w:cs="Times New Roman"/>
          <w:kern w:val="2"/>
          <w:sz w:val="24"/>
          <w:szCs w:val="24"/>
        </w:rPr>
      </w:pPr>
      <w:r>
        <w:rPr>
          <w:rFonts w:hint="eastAsia" w:ascii="宋体" w:hAnsi="宋体" w:eastAsia="宋体" w:cs="Times New Roman"/>
          <w:kern w:val="2"/>
          <w:sz w:val="24"/>
          <w:szCs w:val="24"/>
        </w:rPr>
        <w:t>中心经办点击菜单“交易发布&gt;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项目公告拟稿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”，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点击“编辑”，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进入交易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公告拟稿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页面。</w:t>
      </w:r>
    </w:p>
    <w:p w14:paraId="7333D497">
      <w:r>
        <w:drawing>
          <wp:inline distT="0" distB="0" distL="114300" distR="114300">
            <wp:extent cx="5266690" cy="2337435"/>
            <wp:effectExtent l="0" t="0" r="3810" b="12065"/>
            <wp:docPr id="20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403105"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default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需要完善页面上的信息，在交易时间处，录入“公告起始时间”，其他时间会自动联动出来，也可以自行手动修改时间。</w:t>
      </w:r>
    </w:p>
    <w:p w14:paraId="0478EF15"/>
    <w:p w14:paraId="2F8B637F">
      <w:r>
        <w:drawing>
          <wp:inline distT="0" distB="0" distL="114300" distR="114300">
            <wp:extent cx="5266690" cy="2337435"/>
            <wp:effectExtent l="0" t="0" r="3810" b="12065"/>
            <wp:docPr id="22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561712"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default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在宗地录入处，点击“编辑”，进入项目补充处理页，需要关注挂牌截止时间是否需要修改，以及可以对其他录入的信息进行修改。如检查无误，点击“保存”，则对宗地信息进行了保存。如后续还需要修改，则点击“暂存”，后续修改完成后再保存。</w:t>
      </w:r>
    </w:p>
    <w:p w14:paraId="31BDA6E0">
      <w:r>
        <w:drawing>
          <wp:inline distT="0" distB="0" distL="114300" distR="114300">
            <wp:extent cx="5266690" cy="2337435"/>
            <wp:effectExtent l="0" t="0" r="3810" b="12065"/>
            <wp:docPr id="23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4C222A">
      <w:r>
        <w:drawing>
          <wp:inline distT="0" distB="0" distL="114300" distR="114300">
            <wp:extent cx="5266690" cy="2337435"/>
            <wp:effectExtent l="0" t="0" r="3810" b="12065"/>
            <wp:docPr id="2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1ACECC">
      <w:r>
        <w:drawing>
          <wp:inline distT="0" distB="0" distL="114300" distR="114300">
            <wp:extent cx="5266690" cy="2337435"/>
            <wp:effectExtent l="0" t="0" r="3810" b="12065"/>
            <wp:docPr id="2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7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1F920F"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default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在公告信息处，需要先录入公告编号，公告的标题则会自动联动出来。点击“公告编辑”，进入公告编辑处理页，将公告内容录入编辑框后，点击“保存公告”。</w:t>
      </w:r>
    </w:p>
    <w:p w14:paraId="79254AC0">
      <w:pPr>
        <w:spacing w:before="62" w:beforeLines="20" w:after="62" w:afterLines="20" w:line="360" w:lineRule="auto"/>
        <w:jc w:val="both"/>
      </w:pPr>
      <w:r>
        <w:drawing>
          <wp:inline distT="0" distB="0" distL="114300" distR="114300">
            <wp:extent cx="5266690" cy="2337435"/>
            <wp:effectExtent l="0" t="0" r="3810" b="12065"/>
            <wp:docPr id="2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AC11CD">
      <w:pPr>
        <w:spacing w:before="62" w:beforeLines="20" w:after="62" w:afterLines="20" w:line="360" w:lineRule="auto"/>
        <w:jc w:val="both"/>
      </w:pPr>
      <w:r>
        <w:drawing>
          <wp:inline distT="0" distB="0" distL="114300" distR="114300">
            <wp:extent cx="5266690" cy="2337435"/>
            <wp:effectExtent l="0" t="0" r="3810" b="12065"/>
            <wp:docPr id="2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8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BA7887"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default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在挂牌文件附件处，点击“上传附件”，上传该项目的挂牌文件；如有其它公告附件，点击下面的公告附件进行上传。</w:t>
      </w:r>
    </w:p>
    <w:p w14:paraId="1BC1C450">
      <w:pPr>
        <w:spacing w:before="62" w:beforeLines="20" w:after="62" w:afterLines="20" w:line="360" w:lineRule="auto"/>
        <w:jc w:val="both"/>
      </w:pPr>
      <w:r>
        <w:drawing>
          <wp:inline distT="0" distB="0" distL="114300" distR="114300">
            <wp:extent cx="5266690" cy="1442720"/>
            <wp:effectExtent l="0" t="0" r="3810" b="5080"/>
            <wp:docPr id="2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19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442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A28EBB">
      <w:pPr>
        <w:spacing w:before="62" w:beforeLines="20" w:after="62" w:afterLines="20" w:line="360" w:lineRule="auto"/>
        <w:jc w:val="both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信息都编辑完成，点击“保存并提交委托”，流转到部长审阅。</w:t>
      </w:r>
    </w:p>
    <w:p w14:paraId="7987B086">
      <w:pPr>
        <w:spacing w:before="62" w:beforeLines="20" w:after="62" w:afterLines="20" w:line="360" w:lineRule="auto"/>
        <w:jc w:val="both"/>
      </w:pPr>
      <w:r>
        <w:drawing>
          <wp:inline distT="0" distB="0" distL="114300" distR="114300">
            <wp:extent cx="5266690" cy="2337435"/>
            <wp:effectExtent l="0" t="0" r="3810" b="12065"/>
            <wp:docPr id="3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20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61E385">
      <w:pPr>
        <w:pStyle w:val="4"/>
        <w:numPr>
          <w:ilvl w:val="2"/>
          <w:numId w:val="1"/>
        </w:numPr>
        <w:ind w:left="709" w:leftChars="0" w:hanging="709" w:firstLineChars="0"/>
        <w:rPr>
          <w:rFonts w:ascii="宋体" w:hAnsi="宋体" w:eastAsia="宋体"/>
        </w:rPr>
      </w:pPr>
      <w:bookmarkStart w:id="11" w:name="_Toc8094"/>
      <w:r>
        <w:rPr>
          <w:rFonts w:hint="eastAsia" w:ascii="宋体" w:hAnsi="宋体" w:eastAsia="宋体"/>
        </w:rPr>
        <w:t>交易项目审核（部长）</w:t>
      </w:r>
      <w:bookmarkEnd w:id="11"/>
    </w:p>
    <w:p w14:paraId="5F7349F0">
      <w:pPr>
        <w:spacing w:before="62" w:beforeLines="20" w:after="62" w:afterLines="20" w:line="360" w:lineRule="auto"/>
        <w:ind w:firstLine="480" w:firstLineChars="200"/>
        <w:rPr>
          <w:rFonts w:hint="eastAsia" w:ascii="宋体" w:hAnsi="宋体" w:eastAsia="宋体" w:cs="Times New Roman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sz w:val="24"/>
          <w:szCs w:val="24"/>
        </w:rPr>
        <w:t>交易中心部长点击菜单“交易发布 &gt;</w:t>
      </w: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项目部长审阅</w:t>
      </w:r>
      <w:r>
        <w:rPr>
          <w:rFonts w:hint="eastAsia" w:ascii="宋体" w:hAnsi="宋体" w:eastAsia="宋体" w:cs="Times New Roman"/>
          <w:sz w:val="24"/>
          <w:szCs w:val="24"/>
        </w:rPr>
        <w:t>”，</w:t>
      </w: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点击“审阅”，进入部长审阅处理页。</w:t>
      </w:r>
    </w:p>
    <w:p w14:paraId="7F084B14">
      <w:pPr>
        <w:spacing w:before="62" w:beforeLines="20" w:after="62" w:afterLines="20" w:line="360" w:lineRule="auto"/>
        <w:ind w:firstLine="420" w:firstLineChars="200"/>
        <w:jc w:val="left"/>
      </w:pPr>
      <w:r>
        <w:drawing>
          <wp:inline distT="0" distB="0" distL="114300" distR="114300">
            <wp:extent cx="5266690" cy="2337435"/>
            <wp:effectExtent l="0" t="0" r="3810" b="12065"/>
            <wp:docPr id="32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2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AD476D">
      <w:pPr>
        <w:spacing w:before="62" w:beforeLines="20" w:after="62" w:afterLines="20" w:line="360" w:lineRule="auto"/>
        <w:ind w:firstLine="420" w:firstLineChars="200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部长审阅页面，可以对交易时间、宗地录入、公告信息、挂牌文件附件、公告附件进行修改。</w:t>
      </w:r>
    </w:p>
    <w:p w14:paraId="6F01976D">
      <w:pPr>
        <w:spacing w:before="62" w:beforeLines="20" w:after="62" w:afterLines="20" w:line="360" w:lineRule="auto"/>
        <w:ind w:firstLine="420" w:firstLineChars="200"/>
      </w:pPr>
      <w:r>
        <w:drawing>
          <wp:inline distT="0" distB="0" distL="114300" distR="114300">
            <wp:extent cx="5266690" cy="2337435"/>
            <wp:effectExtent l="0" t="0" r="3810" b="12065"/>
            <wp:docPr id="34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22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7AD49C">
      <w:pPr>
        <w:spacing w:before="62" w:beforeLines="20" w:after="62" w:afterLines="20" w:line="360" w:lineRule="auto"/>
        <w:ind w:firstLine="420" w:firstLineChars="200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部长审阅无误后，点击“审阅”，提交至分管领导审阅（如有），再提交至中心主任审阅。（分管领导如无设置，则直接提交至中心主任审阅）；如审阅后需要退回，点击“退回”，则退回到经办项目委托环节。</w:t>
      </w:r>
    </w:p>
    <w:p w14:paraId="75D05FAC">
      <w:pPr>
        <w:spacing w:before="62" w:beforeLines="20" w:after="62" w:afterLines="20" w:line="360" w:lineRule="auto"/>
      </w:pPr>
      <w:r>
        <w:drawing>
          <wp:inline distT="0" distB="0" distL="114300" distR="114300">
            <wp:extent cx="5266690" cy="2337435"/>
            <wp:effectExtent l="0" t="0" r="3810" b="12065"/>
            <wp:docPr id="39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23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86FD3C">
      <w:pPr>
        <w:spacing w:before="62" w:beforeLines="20" w:after="62" w:afterLines="20" w:line="360" w:lineRule="auto"/>
      </w:pPr>
      <w:r>
        <w:drawing>
          <wp:inline distT="0" distB="0" distL="114300" distR="114300">
            <wp:extent cx="5266690" cy="2337435"/>
            <wp:effectExtent l="0" t="0" r="3810" b="12065"/>
            <wp:docPr id="42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24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5D7544">
      <w:pPr>
        <w:spacing w:before="62" w:beforeLines="20" w:after="62" w:afterLines="20" w:line="360" w:lineRule="auto"/>
        <w:rPr>
          <w:rFonts w:ascii="宋体" w:hAnsi="宋体" w:eastAsia="宋体" w:cs="Times New Roman"/>
          <w:sz w:val="24"/>
          <w:szCs w:val="24"/>
        </w:rPr>
      </w:pPr>
    </w:p>
    <w:p w14:paraId="2FBAE0A0">
      <w:pPr>
        <w:spacing w:before="62" w:beforeLines="20" w:after="62" w:afterLines="20" w:line="360" w:lineRule="auto"/>
        <w:rPr>
          <w:rFonts w:ascii="宋体" w:hAnsi="宋体" w:eastAsia="宋体" w:cs="Times New Roman"/>
          <w:sz w:val="24"/>
          <w:szCs w:val="24"/>
        </w:rPr>
      </w:pPr>
      <w:r>
        <w:t xml:space="preserve"> </w:t>
      </w:r>
    </w:p>
    <w:p w14:paraId="0B3684F0">
      <w:pPr>
        <w:spacing w:before="62" w:beforeLines="20" w:after="62" w:afterLines="20" w:line="360" w:lineRule="auto"/>
        <w:rPr>
          <w:rFonts w:ascii="宋体" w:hAnsi="宋体" w:eastAsia="宋体" w:cs="Times New Roman"/>
          <w:sz w:val="24"/>
          <w:szCs w:val="24"/>
        </w:rPr>
      </w:pPr>
    </w:p>
    <w:p w14:paraId="035D9EE7">
      <w:pPr>
        <w:pStyle w:val="4"/>
        <w:numPr>
          <w:ilvl w:val="2"/>
          <w:numId w:val="1"/>
        </w:numPr>
        <w:ind w:left="709" w:leftChars="0" w:hanging="709" w:firstLineChars="0"/>
        <w:rPr>
          <w:rFonts w:ascii="宋体" w:hAnsi="宋体" w:eastAsia="宋体"/>
        </w:rPr>
      </w:pPr>
      <w:bookmarkStart w:id="12" w:name="_Toc3465"/>
      <w:r>
        <w:rPr>
          <w:rFonts w:hint="eastAsia" w:ascii="宋体" w:hAnsi="宋体" w:eastAsia="宋体"/>
        </w:rPr>
        <w:t>交易项目审批（中心领导）</w:t>
      </w:r>
      <w:bookmarkEnd w:id="12"/>
    </w:p>
    <w:p w14:paraId="4FBD975F">
      <w:pPr>
        <w:spacing w:before="62" w:beforeLines="20" w:after="62" w:afterLines="20" w:line="360" w:lineRule="auto"/>
        <w:ind w:firstLine="42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交易中心领导点击菜单“交易发布 &gt;项目主任审阅”，找到对应项目，点击“审阅”，进入审阅处理页。</w:t>
      </w:r>
    </w:p>
    <w:p w14:paraId="1856FFB3">
      <w:pPr>
        <w:spacing w:before="62" w:beforeLines="20" w:after="62" w:afterLines="20" w:line="360" w:lineRule="auto"/>
        <w:ind w:firstLine="420" w:firstLineChars="200"/>
      </w:pPr>
      <w:r>
        <w:drawing>
          <wp:inline distT="0" distB="0" distL="114300" distR="114300">
            <wp:extent cx="5266690" cy="2337435"/>
            <wp:effectExtent l="0" t="0" r="3810" b="1206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A61C44">
      <w:pPr>
        <w:spacing w:before="62" w:beforeLines="20" w:after="62" w:afterLines="20" w:line="360" w:lineRule="auto"/>
        <w:ind w:firstLine="420" w:firstLineChars="20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主任审阅项目委托信息无误后，点击“审阅”按钮，流程就到委托人确认环节，如需修改，则点击“退回”按钮，流程回退至中心经办项目委托环节。</w:t>
      </w:r>
    </w:p>
    <w:p w14:paraId="4307782E">
      <w:pPr>
        <w:spacing w:before="62" w:beforeLines="20" w:after="62" w:afterLines="20" w:line="360" w:lineRule="auto"/>
        <w:ind w:firstLine="420" w:firstLineChars="200"/>
      </w:pPr>
      <w:r>
        <w:drawing>
          <wp:inline distT="0" distB="0" distL="114300" distR="114300">
            <wp:extent cx="5266690" cy="2337435"/>
            <wp:effectExtent l="0" t="0" r="3810" b="1206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F5358A">
      <w:pPr>
        <w:spacing w:before="62" w:beforeLines="20" w:after="62" w:afterLines="20" w:line="360" w:lineRule="auto"/>
        <w:ind w:firstLine="420" w:firstLineChars="200"/>
        <w:rPr>
          <w:rFonts w:ascii="宋体" w:hAnsi="宋体" w:eastAsia="宋体" w:cs="Times New Roman"/>
          <w:sz w:val="24"/>
          <w:szCs w:val="24"/>
        </w:rPr>
      </w:pPr>
      <w:r>
        <w:drawing>
          <wp:inline distT="0" distB="0" distL="114300" distR="114300">
            <wp:extent cx="5266690" cy="2337435"/>
            <wp:effectExtent l="0" t="0" r="3810" b="1206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</w:t>
      </w:r>
    </w:p>
    <w:p w14:paraId="0728D8E4">
      <w:pPr>
        <w:pStyle w:val="4"/>
        <w:numPr>
          <w:ilvl w:val="2"/>
          <w:numId w:val="1"/>
        </w:numPr>
        <w:ind w:left="709" w:leftChars="0" w:hanging="709" w:firstLineChars="0"/>
        <w:rPr>
          <w:rFonts w:hint="eastAsia" w:ascii="宋体" w:hAnsi="宋体" w:eastAsia="宋体"/>
          <w:lang w:val="en-US" w:eastAsia="zh-CN"/>
        </w:rPr>
      </w:pPr>
      <w:r>
        <w:rPr>
          <w:rFonts w:ascii="宋体" w:hAnsi="宋体" w:eastAsia="宋体"/>
        </w:rPr>
        <w:t xml:space="preserve"> </w:t>
      </w:r>
      <w:bookmarkStart w:id="13" w:name="_Toc29313"/>
      <w:r>
        <w:rPr>
          <w:rFonts w:hint="eastAsia" w:ascii="宋体" w:hAnsi="宋体" w:eastAsia="宋体"/>
          <w:lang w:val="en-US" w:eastAsia="zh-CN"/>
        </w:rPr>
        <w:t>交易公告发布（经办）</w:t>
      </w:r>
      <w:bookmarkEnd w:id="13"/>
    </w:p>
    <w:p w14:paraId="27855543">
      <w:pPr>
        <w:spacing w:before="62" w:beforeLines="20" w:after="62" w:afterLines="20" w:line="360" w:lineRule="auto"/>
        <w:ind w:firstLine="42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交易中心经办点击菜单“交易发布 &gt;项目公告发布”，找到对应项目，点击“发布项目”按钮，进入发布公告处理页。</w:t>
      </w:r>
    </w:p>
    <w:p w14:paraId="1D166731">
      <w:r>
        <w:drawing>
          <wp:inline distT="0" distB="0" distL="114300" distR="114300">
            <wp:extent cx="5266690" cy="2337435"/>
            <wp:effectExtent l="0" t="0" r="3810" b="1206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0B66F2">
      <w:pPr>
        <w:spacing w:before="62" w:beforeLines="20" w:after="62" w:afterLines="20" w:line="360" w:lineRule="auto"/>
        <w:ind w:firstLine="420" w:firstLineChars="20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检查完公告所有信息无误后，点击“保存并发布公告”按钮，即可将发布项目公告推送至门户和粤公平，如发现还需修改，则可以点击“退回”按钮，流程退回至中心经办项目委托环节。</w:t>
      </w:r>
    </w:p>
    <w:p w14:paraId="5556FFB1">
      <w:r>
        <w:drawing>
          <wp:inline distT="0" distB="0" distL="114300" distR="114300">
            <wp:extent cx="5266690" cy="2337435"/>
            <wp:effectExtent l="0" t="0" r="3810" b="1206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B8849E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6690" cy="2337435"/>
            <wp:effectExtent l="0" t="0" r="3810" b="1206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00BB3C">
      <w:pPr>
        <w:pStyle w:val="4"/>
        <w:numPr>
          <w:ilvl w:val="2"/>
          <w:numId w:val="1"/>
        </w:numPr>
        <w:ind w:left="709" w:leftChars="0" w:hanging="709" w:firstLineChars="0"/>
        <w:rPr>
          <w:rFonts w:ascii="宋体" w:hAnsi="宋体" w:eastAsia="宋体"/>
        </w:rPr>
      </w:pPr>
      <w:bookmarkStart w:id="14" w:name="_Toc7329"/>
      <w:r>
        <w:rPr>
          <w:rFonts w:hint="eastAsia" w:ascii="宋体" w:hAnsi="宋体" w:eastAsia="宋体"/>
          <w:lang w:val="en-US" w:eastAsia="zh-CN"/>
        </w:rPr>
        <w:t>正在挂牌资源</w:t>
      </w:r>
      <w:bookmarkEnd w:id="14"/>
    </w:p>
    <w:p w14:paraId="6241F613">
      <w:pPr>
        <w:spacing w:before="62" w:beforeLines="20" w:after="62" w:afterLines="20" w:line="360" w:lineRule="auto"/>
        <w:ind w:firstLine="480" w:firstLineChars="200"/>
        <w:rPr>
          <w:rFonts w:hint="eastAsia" w:ascii="宋体" w:hAnsi="宋体" w:eastAsia="宋体" w:cs="Times New Roman"/>
          <w:sz w:val="24"/>
          <w:szCs w:val="24"/>
        </w:rPr>
      </w:pPr>
      <w:r>
        <w:rPr>
          <w:rFonts w:hint="eastAsia" w:ascii="宋体" w:hAnsi="宋体" w:eastAsia="宋体" w:cs="Times New Roman"/>
          <w:sz w:val="24"/>
          <w:szCs w:val="24"/>
        </w:rPr>
        <w:t>发布公告后，交易中心经办、交易中心领导、交易中心分管领导、交易中心领导点击菜单“交易发布 &gt;</w:t>
      </w: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正在挂牌资源</w:t>
      </w:r>
      <w:r>
        <w:rPr>
          <w:rFonts w:hint="eastAsia" w:ascii="宋体" w:hAnsi="宋体" w:eastAsia="宋体" w:cs="Times New Roman"/>
          <w:sz w:val="24"/>
          <w:szCs w:val="24"/>
        </w:rPr>
        <w:t>”，</w:t>
      </w: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选择对应项目，点击“查看”按钮，查看该项目的基本信息、交易时间、竞买信息等</w:t>
      </w:r>
      <w:r>
        <w:rPr>
          <w:rFonts w:hint="eastAsia" w:ascii="宋体" w:hAnsi="宋体" w:eastAsia="宋体" w:cs="Times New Roman"/>
          <w:sz w:val="24"/>
          <w:szCs w:val="24"/>
        </w:rPr>
        <w:t>。</w:t>
      </w:r>
    </w:p>
    <w:p w14:paraId="4BBD060A">
      <w:pPr>
        <w:spacing w:before="62" w:beforeLines="20" w:after="62" w:afterLines="20" w:line="360" w:lineRule="auto"/>
        <w:ind w:firstLine="420" w:firstLineChars="200"/>
      </w:pPr>
      <w:r>
        <w:drawing>
          <wp:inline distT="0" distB="0" distL="114300" distR="114300">
            <wp:extent cx="5266690" cy="2337435"/>
            <wp:effectExtent l="0" t="0" r="3810" b="1206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E2BA9B">
      <w:pPr>
        <w:spacing w:before="62" w:beforeLines="20" w:after="62" w:afterLines="20" w:line="360" w:lineRule="auto"/>
        <w:ind w:firstLine="420" w:firstLineChars="200"/>
      </w:pPr>
      <w:r>
        <w:drawing>
          <wp:inline distT="0" distB="0" distL="114300" distR="114300">
            <wp:extent cx="5271135" cy="2604770"/>
            <wp:effectExtent l="0" t="0" r="12065" b="1143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604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FB38F7">
      <w:pPr>
        <w:spacing w:before="62" w:beforeLines="20" w:after="62" w:afterLines="20" w:line="360" w:lineRule="auto"/>
        <w:ind w:firstLine="420" w:firstLineChars="200"/>
        <w:rPr>
          <w:rFonts w:hint="eastAsia"/>
        </w:rPr>
      </w:pPr>
      <w:r>
        <w:drawing>
          <wp:inline distT="0" distB="0" distL="114300" distR="114300">
            <wp:extent cx="5264150" cy="2380615"/>
            <wp:effectExtent l="0" t="0" r="6350" b="6985"/>
            <wp:docPr id="12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9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380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A1AD45">
      <w:pPr>
        <w:spacing w:before="62" w:beforeLines="20" w:after="62" w:afterLines="20" w:line="360" w:lineRule="auto"/>
        <w:ind w:firstLine="480" w:firstLineChars="200"/>
        <w:rPr>
          <w:rFonts w:ascii="宋体" w:hAnsi="宋体" w:eastAsia="宋体" w:cs="Times New Roman"/>
          <w:sz w:val="24"/>
          <w:szCs w:val="24"/>
        </w:rPr>
      </w:pPr>
    </w:p>
    <w:p w14:paraId="6DCA02C8">
      <w:pPr>
        <w:pStyle w:val="4"/>
        <w:numPr>
          <w:ilvl w:val="2"/>
          <w:numId w:val="1"/>
        </w:numPr>
        <w:ind w:left="709" w:leftChars="0" w:hanging="709" w:firstLineChars="0"/>
        <w:rPr>
          <w:rFonts w:ascii="宋体" w:hAnsi="宋体" w:eastAsia="宋体"/>
        </w:rPr>
      </w:pPr>
      <w:bookmarkStart w:id="15" w:name="_Toc9110"/>
      <w:r>
        <w:rPr>
          <w:rFonts w:hint="eastAsia" w:ascii="宋体" w:hAnsi="宋体" w:eastAsia="宋体"/>
          <w:lang w:val="en-US" w:eastAsia="zh-CN"/>
        </w:rPr>
        <w:t>项目公告查询</w:t>
      </w:r>
      <w:bookmarkEnd w:id="15"/>
    </w:p>
    <w:p w14:paraId="6ECCC1D9">
      <w:pPr>
        <w:spacing w:before="62" w:beforeLines="20" w:after="62" w:afterLines="20" w:line="360" w:lineRule="auto"/>
        <w:ind w:firstLine="480" w:firstLineChars="200"/>
        <w:rPr>
          <w:rFonts w:hint="eastAsia" w:ascii="宋体" w:hAnsi="宋体" w:eastAsia="宋体" w:cs="Times New Roman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sz w:val="24"/>
          <w:szCs w:val="24"/>
        </w:rPr>
        <w:t xml:space="preserve">交易中心经办、交易中心领导、交易中心分管领导、交易中心领导，点击菜单“交易发布 &gt; </w:t>
      </w: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项目公告查询</w:t>
      </w:r>
      <w:r>
        <w:rPr>
          <w:rFonts w:hint="eastAsia" w:ascii="宋体" w:hAnsi="宋体" w:eastAsia="宋体" w:cs="Times New Roman"/>
          <w:sz w:val="24"/>
          <w:szCs w:val="24"/>
        </w:rPr>
        <w:t>”，</w:t>
      </w: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选择对应项目，点击“查看”按钮，可以查看交易基本信息及项目公告内容。</w:t>
      </w:r>
    </w:p>
    <w:p w14:paraId="2A2A7D97">
      <w:pPr>
        <w:spacing w:before="62" w:beforeLines="20" w:after="62" w:afterLines="20" w:line="360" w:lineRule="auto"/>
        <w:ind w:firstLine="420" w:firstLineChars="200"/>
        <w:rPr>
          <w:rFonts w:hint="default" w:ascii="宋体" w:hAnsi="宋体" w:eastAsia="宋体" w:cs="Times New Roman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5266690" cy="2337435"/>
            <wp:effectExtent l="0" t="0" r="3810" b="12065"/>
            <wp:docPr id="1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809562">
      <w:pPr>
        <w:spacing w:before="62" w:beforeLines="20" w:after="62" w:afterLines="20" w:line="360" w:lineRule="auto"/>
        <w:ind w:firstLine="420" w:firstLineChars="200"/>
        <w:rPr>
          <w:rFonts w:hint="eastAsia" w:ascii="宋体" w:hAnsi="宋体" w:eastAsia="宋体" w:cs="Times New Roman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5267325" cy="3475990"/>
            <wp:effectExtent l="0" t="0" r="3175" b="3810"/>
            <wp:docPr id="2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1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475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DF323B">
      <w:pPr>
        <w:spacing w:before="62" w:beforeLines="20" w:after="62" w:afterLines="20" w:line="360" w:lineRule="auto"/>
        <w:ind w:firstLine="480" w:firstLineChars="200"/>
        <w:rPr>
          <w:rFonts w:hint="eastAsia" w:ascii="宋体" w:hAnsi="宋体" w:eastAsia="宋体" w:cs="Times New Roman"/>
          <w:sz w:val="24"/>
          <w:szCs w:val="24"/>
        </w:rPr>
      </w:pPr>
    </w:p>
    <w:p w14:paraId="624241DC"/>
    <w:p w14:paraId="5C2A6305">
      <w:pPr>
        <w:pStyle w:val="4"/>
        <w:numPr>
          <w:ilvl w:val="2"/>
          <w:numId w:val="1"/>
        </w:numPr>
        <w:ind w:left="709" w:leftChars="0" w:hanging="709" w:firstLineChars="0"/>
        <w:rPr>
          <w:rFonts w:ascii="宋体" w:hAnsi="宋体" w:eastAsia="宋体"/>
        </w:rPr>
      </w:pPr>
      <w:bookmarkStart w:id="16" w:name="_Toc3435"/>
      <w:bookmarkStart w:id="17" w:name="_Toc100594702"/>
      <w:r>
        <w:rPr>
          <w:rFonts w:hint="eastAsia" w:ascii="宋体" w:hAnsi="宋体" w:eastAsia="宋体"/>
        </w:rPr>
        <w:t>出让交易查询</w:t>
      </w:r>
      <w:bookmarkEnd w:id="16"/>
      <w:bookmarkEnd w:id="17"/>
    </w:p>
    <w:p w14:paraId="7FAB9C86">
      <w:pPr>
        <w:spacing w:before="62" w:beforeLines="20" w:after="62" w:afterLines="20" w:line="360" w:lineRule="auto"/>
        <w:ind w:firstLine="480" w:firstLineChars="200"/>
        <w:rPr>
          <w:rFonts w:hint="default" w:ascii="宋体" w:hAnsi="宋体" w:eastAsia="宋体" w:cs="Times New Roman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sz w:val="24"/>
          <w:szCs w:val="24"/>
        </w:rPr>
        <w:t xml:space="preserve">交易中心经办、交易中心领导、交易中心分管领导、交易中心领导，点击菜单“交易发布 &gt; </w:t>
      </w: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交易查询</w:t>
      </w:r>
      <w:r>
        <w:rPr>
          <w:rFonts w:hint="eastAsia" w:ascii="宋体" w:hAnsi="宋体" w:eastAsia="宋体" w:cs="Times New Roman"/>
          <w:sz w:val="24"/>
          <w:szCs w:val="24"/>
        </w:rPr>
        <w:t>”，</w:t>
      </w: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列表显示所有的交易项目，选择对应项目，点击“查看”按钮，进入交易查询处理页。</w:t>
      </w:r>
    </w:p>
    <w:p w14:paraId="64E46C65">
      <w:r>
        <w:drawing>
          <wp:inline distT="0" distB="0" distL="114300" distR="114300">
            <wp:extent cx="5266690" cy="2337435"/>
            <wp:effectExtent l="0" t="0" r="3810" b="12065"/>
            <wp:docPr id="43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12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1D1994">
      <w:pPr>
        <w:spacing w:before="62" w:beforeLines="20" w:after="62" w:afterLines="20" w:line="360" w:lineRule="auto"/>
        <w:ind w:firstLine="480" w:firstLineChars="200"/>
        <w:rPr>
          <w:rFonts w:ascii="宋体" w:hAnsi="宋体" w:eastAsia="宋体" w:cs="Times New Roman"/>
          <w:sz w:val="24"/>
          <w:szCs w:val="24"/>
        </w:rPr>
      </w:pPr>
    </w:p>
    <w:p w14:paraId="0F67B1C3">
      <w:pPr>
        <w:pStyle w:val="3"/>
        <w:numPr>
          <w:ilvl w:val="1"/>
          <w:numId w:val="1"/>
        </w:numPr>
        <w:ind w:left="567" w:leftChars="0" w:hanging="567" w:firstLineChars="0"/>
        <w:rPr>
          <w:rFonts w:hint="eastAsia" w:ascii="宋体" w:hAnsi="宋体" w:eastAsia="宋体"/>
          <w:lang w:val="en-US" w:eastAsia="zh-CN"/>
        </w:rPr>
      </w:pPr>
      <w:bookmarkStart w:id="18" w:name="_Toc26561"/>
      <w:r>
        <w:rPr>
          <w:rFonts w:hint="eastAsia" w:ascii="宋体" w:hAnsi="宋体" w:eastAsia="宋体"/>
          <w:lang w:val="en-US" w:eastAsia="zh-CN"/>
        </w:rPr>
        <w:t>查看成交通知书</w:t>
      </w:r>
      <w:bookmarkEnd w:id="18"/>
    </w:p>
    <w:p w14:paraId="06683C65">
      <w:pPr>
        <w:spacing w:before="62" w:beforeLines="20" w:after="62" w:afterLines="20" w:line="360" w:lineRule="auto"/>
        <w:ind w:firstLine="480" w:firstLineChars="200"/>
        <w:rPr>
          <w:rFonts w:ascii="宋体" w:hAnsi="宋体" w:eastAsia="宋体" w:cs="Times New Roman"/>
          <w:sz w:val="24"/>
          <w:szCs w:val="24"/>
        </w:rPr>
      </w:pPr>
      <w:r>
        <w:rPr>
          <w:rFonts w:hint="eastAsia" w:ascii="宋体" w:hAnsi="宋体" w:eastAsia="宋体" w:cs="Times New Roman"/>
          <w:sz w:val="24"/>
          <w:szCs w:val="24"/>
        </w:rPr>
        <w:t>交易中心经办人点击菜单“交易竞价 &gt;</w:t>
      </w:r>
      <w:r>
        <w:rPr>
          <w:rFonts w:hint="eastAsia" w:ascii="宋体" w:hAnsi="宋体" w:eastAsia="宋体" w:cs="Times New Roman"/>
          <w:bCs/>
          <w:sz w:val="24"/>
          <w:szCs w:val="24"/>
        </w:rPr>
        <w:t>查看成交通知书（经办）</w:t>
      </w:r>
      <w:r>
        <w:rPr>
          <w:rFonts w:hint="eastAsia" w:ascii="宋体" w:hAnsi="宋体" w:eastAsia="宋体" w:cs="Times New Roman"/>
          <w:sz w:val="24"/>
          <w:szCs w:val="24"/>
        </w:rPr>
        <w:t>”，进入查看成交通知书页面。</w:t>
      </w:r>
    </w:p>
    <w:p w14:paraId="562F6010">
      <w:pPr>
        <w:spacing w:before="62" w:beforeLines="20" w:after="62" w:afterLines="20" w:line="360" w:lineRule="auto"/>
        <w:ind w:firstLine="420" w:firstLineChars="200"/>
        <w:rPr>
          <w:rFonts w:ascii="宋体" w:hAnsi="宋体" w:eastAsia="宋体" w:cs="Times New Roman"/>
          <w:b/>
          <w:bCs/>
          <w:sz w:val="24"/>
          <w:szCs w:val="24"/>
        </w:rPr>
      </w:pPr>
      <w:r>
        <w:drawing>
          <wp:inline distT="0" distB="0" distL="114300" distR="114300">
            <wp:extent cx="5266690" cy="2337435"/>
            <wp:effectExtent l="0" t="0" r="3810" b="12065"/>
            <wp:docPr id="4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1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4EC356">
      <w:pPr>
        <w:spacing w:before="62" w:beforeLines="20" w:after="62" w:afterLines="20" w:line="360" w:lineRule="auto"/>
        <w:ind w:firstLine="480" w:firstLineChars="200"/>
        <w:rPr>
          <w:rFonts w:hint="eastAsia" w:ascii="宋体" w:hAnsi="宋体" w:eastAsia="宋体" w:cs="Times New Roman"/>
          <w:sz w:val="24"/>
          <w:szCs w:val="24"/>
        </w:rPr>
      </w:pPr>
      <w:r>
        <w:rPr>
          <w:rFonts w:hint="eastAsia" w:ascii="宋体" w:hAnsi="宋体" w:eastAsia="宋体" w:cs="Times New Roman"/>
          <w:sz w:val="24"/>
          <w:szCs w:val="24"/>
        </w:rPr>
        <w:t>在查看成交通知书页面中，展示所有系统已发送的成交通知书，点击“查看”按钮可以查看该项目的成交通知书详情和通知书文件下载。</w:t>
      </w:r>
    </w:p>
    <w:p w14:paraId="0E21BE2E">
      <w:pPr>
        <w:spacing w:before="62" w:beforeLines="20" w:after="62" w:afterLines="20" w:line="360" w:lineRule="auto"/>
        <w:ind w:firstLine="420" w:firstLineChars="200"/>
        <w:rPr>
          <w:rFonts w:hint="eastAsia" w:ascii="宋体" w:hAnsi="宋体" w:eastAsia="宋体" w:cs="Times New Roman"/>
          <w:sz w:val="24"/>
          <w:szCs w:val="24"/>
        </w:rPr>
      </w:pPr>
      <w:r>
        <w:drawing>
          <wp:inline distT="0" distB="0" distL="114300" distR="114300">
            <wp:extent cx="5269230" cy="1168400"/>
            <wp:effectExtent l="0" t="0" r="1270" b="0"/>
            <wp:docPr id="4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3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116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2DA564">
      <w:pPr>
        <w:spacing w:before="62" w:beforeLines="20" w:after="62" w:afterLines="20" w:line="360" w:lineRule="auto"/>
        <w:ind w:firstLine="480" w:firstLineChars="200"/>
        <w:rPr>
          <w:rFonts w:ascii="宋体" w:hAnsi="宋体" w:eastAsia="宋体" w:cs="Times New Roman"/>
          <w:sz w:val="24"/>
          <w:szCs w:val="24"/>
        </w:rPr>
      </w:pPr>
    </w:p>
    <w:p w14:paraId="7948CC42">
      <w:pPr>
        <w:spacing w:before="62" w:beforeLines="20" w:after="62" w:afterLines="20" w:line="360" w:lineRule="auto"/>
        <w:ind w:firstLine="420" w:firstLineChars="200"/>
        <w:rPr>
          <w:rFonts w:ascii="宋体" w:hAnsi="宋体" w:eastAsia="宋体" w:cs="Times New Roman"/>
          <w:sz w:val="24"/>
          <w:szCs w:val="24"/>
        </w:rPr>
      </w:pPr>
      <w:r>
        <w:drawing>
          <wp:inline distT="0" distB="0" distL="114300" distR="114300">
            <wp:extent cx="5266690" cy="2337435"/>
            <wp:effectExtent l="0" t="0" r="3810" b="12065"/>
            <wp:docPr id="4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2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FF211E">
      <w:pPr>
        <w:spacing w:before="62" w:beforeLines="20" w:after="62" w:afterLines="20" w:line="360" w:lineRule="auto"/>
        <w:jc w:val="both"/>
        <w:rPr>
          <w:rFonts w:ascii="宋体" w:hAnsi="宋体" w:eastAsia="宋体" w:cs="Times New Roman"/>
          <w:sz w:val="24"/>
          <w:szCs w:val="24"/>
        </w:rPr>
      </w:pPr>
    </w:p>
    <w:p w14:paraId="6BA02C78">
      <w:pPr>
        <w:pStyle w:val="3"/>
        <w:numPr>
          <w:ilvl w:val="1"/>
          <w:numId w:val="1"/>
        </w:numPr>
        <w:ind w:left="567" w:leftChars="0" w:hanging="567" w:firstLineChars="0"/>
        <w:rPr>
          <w:rFonts w:hint="eastAsia" w:ascii="宋体" w:hAnsi="宋体" w:eastAsia="宋体"/>
          <w:lang w:val="en-US" w:eastAsia="zh-CN"/>
        </w:rPr>
      </w:pPr>
      <w:bookmarkStart w:id="19" w:name="_Toc5492"/>
      <w:r>
        <w:rPr>
          <w:rFonts w:hint="eastAsia" w:ascii="宋体" w:hAnsi="宋体" w:eastAsia="宋体"/>
          <w:lang w:val="en-US" w:eastAsia="zh-CN"/>
        </w:rPr>
        <w:t>资格审查（经办、部长）</w:t>
      </w:r>
      <w:bookmarkEnd w:id="19"/>
    </w:p>
    <w:p w14:paraId="17776CA4">
      <w:pPr>
        <w:spacing w:before="62" w:beforeLines="20" w:after="62" w:afterLines="20" w:line="360" w:lineRule="auto"/>
        <w:ind w:firstLine="482" w:firstLineChars="200"/>
        <w:rPr>
          <w:rFonts w:hint="eastAsia" w:ascii="宋体" w:hAnsi="宋体" w:eastAsia="宋体" w:cs="Times New Roman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b/>
          <w:bCs/>
          <w:sz w:val="24"/>
          <w:szCs w:val="24"/>
          <w:lang w:val="en-US" w:eastAsia="zh-CN"/>
        </w:rPr>
        <w:t>土地使用权资格审查流程为：</w:t>
      </w: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竞得人上传审核材料-中心经办审核-中心部长审核；</w:t>
      </w:r>
    </w:p>
    <w:p w14:paraId="369944F8">
      <w:pPr>
        <w:spacing w:before="62" w:beforeLines="20" w:after="62" w:afterLines="20" w:line="360" w:lineRule="auto"/>
        <w:ind w:firstLine="482" w:firstLineChars="200"/>
        <w:rPr>
          <w:rFonts w:hint="default" w:ascii="宋体" w:hAnsi="宋体" w:eastAsia="宋体" w:cs="Times New Roman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b/>
          <w:bCs/>
          <w:sz w:val="24"/>
          <w:szCs w:val="24"/>
          <w:lang w:val="en-US" w:eastAsia="zh-CN"/>
        </w:rPr>
        <w:t>矿业权出让资格审查流程为：</w:t>
      </w: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竞得人上传审核材料-中心经办审核-中心部长审核-</w:t>
      </w:r>
      <w:r>
        <w:rPr>
          <w:rFonts w:hint="eastAsia" w:ascii="宋体" w:hAnsi="宋体" w:eastAsia="宋体" w:cs="Times New Roman"/>
          <w:color w:val="auto"/>
          <w:sz w:val="24"/>
          <w:szCs w:val="24"/>
          <w:lang w:val="en-US" w:eastAsia="zh-CN"/>
        </w:rPr>
        <w:t>委托人确认；</w:t>
      </w:r>
    </w:p>
    <w:p w14:paraId="0582ECAD">
      <w:pPr>
        <w:spacing w:before="62" w:beforeLines="20" w:after="62" w:afterLines="20" w:line="360" w:lineRule="auto"/>
        <w:ind w:firstLine="480" w:firstLineChars="200"/>
        <w:rPr>
          <w:rFonts w:hint="default" w:ascii="宋体" w:hAnsi="宋体" w:eastAsia="宋体" w:cs="Times New Roman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sz w:val="24"/>
          <w:szCs w:val="24"/>
        </w:rPr>
        <w:t>交易中心经办点击菜单“</w:t>
      </w: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资格审查</w:t>
      </w:r>
      <w:r>
        <w:rPr>
          <w:rFonts w:hint="eastAsia" w:ascii="宋体" w:hAnsi="宋体" w:eastAsia="宋体" w:cs="Times New Roman"/>
          <w:sz w:val="24"/>
          <w:szCs w:val="24"/>
        </w:rPr>
        <w:t xml:space="preserve">&gt; </w:t>
      </w: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资格后审经办审查</w:t>
      </w:r>
      <w:r>
        <w:rPr>
          <w:rFonts w:hint="eastAsia" w:ascii="宋体" w:hAnsi="宋体" w:eastAsia="宋体" w:cs="Times New Roman"/>
          <w:sz w:val="24"/>
          <w:szCs w:val="24"/>
        </w:rPr>
        <w:t>”，进入</w:t>
      </w: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审查</w:t>
      </w:r>
      <w:r>
        <w:rPr>
          <w:rFonts w:hint="eastAsia" w:ascii="宋体" w:hAnsi="宋体" w:eastAsia="宋体" w:cs="Times New Roman"/>
          <w:sz w:val="24"/>
          <w:szCs w:val="24"/>
        </w:rPr>
        <w:t>页面，</w:t>
      </w: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审查无误后，点击“通过”按钮，流程到部长审核；如不通过，点击“退回”按钮，退回竞得人修改。</w:t>
      </w:r>
    </w:p>
    <w:p w14:paraId="3A13AAD5">
      <w:r>
        <w:drawing>
          <wp:inline distT="0" distB="0" distL="114300" distR="114300">
            <wp:extent cx="5266690" cy="1876425"/>
            <wp:effectExtent l="0" t="0" r="3810" b="3175"/>
            <wp:docPr id="4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87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4A6D8F">
      <w:r>
        <w:drawing>
          <wp:inline distT="0" distB="0" distL="114300" distR="114300">
            <wp:extent cx="5270500" cy="1532890"/>
            <wp:effectExtent l="0" t="0" r="0" b="3810"/>
            <wp:docPr id="4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5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532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56918E">
      <w:r>
        <w:drawing>
          <wp:inline distT="0" distB="0" distL="114300" distR="114300">
            <wp:extent cx="5269230" cy="2317750"/>
            <wp:effectExtent l="0" t="0" r="1270" b="6350"/>
            <wp:docPr id="4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6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31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0EFF00">
      <w:pPr>
        <w:spacing w:before="62" w:beforeLines="20" w:after="62" w:afterLines="20" w:line="360" w:lineRule="auto"/>
        <w:ind w:firstLine="480" w:firstLineChars="200"/>
        <w:rPr>
          <w:rFonts w:hint="default" w:ascii="宋体" w:hAnsi="宋体" w:eastAsia="宋体" w:cs="Times New Roman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sz w:val="24"/>
          <w:szCs w:val="24"/>
        </w:rPr>
        <w:t>交易中心</w:t>
      </w: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部长</w:t>
      </w:r>
      <w:r>
        <w:rPr>
          <w:rFonts w:hint="eastAsia" w:ascii="宋体" w:hAnsi="宋体" w:eastAsia="宋体" w:cs="Times New Roman"/>
          <w:sz w:val="24"/>
          <w:szCs w:val="24"/>
        </w:rPr>
        <w:t>点击菜单“</w:t>
      </w: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资格审查</w:t>
      </w:r>
      <w:r>
        <w:rPr>
          <w:rFonts w:hint="eastAsia" w:ascii="宋体" w:hAnsi="宋体" w:eastAsia="宋体" w:cs="Times New Roman"/>
          <w:sz w:val="24"/>
          <w:szCs w:val="24"/>
        </w:rPr>
        <w:t xml:space="preserve">&gt; </w:t>
      </w: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资格后审经办审查</w:t>
      </w:r>
      <w:r>
        <w:rPr>
          <w:rFonts w:hint="eastAsia" w:ascii="宋体" w:hAnsi="宋体" w:eastAsia="宋体" w:cs="Times New Roman"/>
          <w:sz w:val="24"/>
          <w:szCs w:val="24"/>
        </w:rPr>
        <w:t>”，进入</w:t>
      </w: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审查</w:t>
      </w:r>
      <w:r>
        <w:rPr>
          <w:rFonts w:hint="eastAsia" w:ascii="宋体" w:hAnsi="宋体" w:eastAsia="宋体" w:cs="Times New Roman"/>
          <w:sz w:val="24"/>
          <w:szCs w:val="24"/>
        </w:rPr>
        <w:t>页面，</w:t>
      </w: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审查无误后，点击“通过”按钮，审核通过；如不通过，点击“退回”按钮，退回竞得人上传资格审查材料环节。</w:t>
      </w:r>
      <w:r>
        <w:rPr>
          <w:rFonts w:hint="eastAsia" w:ascii="宋体" w:hAnsi="宋体" w:eastAsia="宋体" w:cs="Times New Roman"/>
          <w:color w:val="FF0000"/>
          <w:sz w:val="24"/>
          <w:szCs w:val="24"/>
          <w:lang w:val="en-US" w:eastAsia="zh-CN"/>
        </w:rPr>
        <w:t>（如果是矿业权出让资格审查，则需流转到委托人确认环节）</w:t>
      </w:r>
    </w:p>
    <w:p w14:paraId="59F45D6F">
      <w:r>
        <w:drawing>
          <wp:inline distT="0" distB="0" distL="114300" distR="114300">
            <wp:extent cx="5266690" cy="2271395"/>
            <wp:effectExtent l="0" t="0" r="3810" b="1905"/>
            <wp:docPr id="50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7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271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471245">
      <w:r>
        <w:drawing>
          <wp:inline distT="0" distB="0" distL="114300" distR="114300">
            <wp:extent cx="5266690" cy="2271395"/>
            <wp:effectExtent l="0" t="0" r="3810" b="1905"/>
            <wp:docPr id="51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8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271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B0109A"/>
    <w:p w14:paraId="48D2C301">
      <w:pPr>
        <w:pStyle w:val="3"/>
        <w:numPr>
          <w:ilvl w:val="1"/>
          <w:numId w:val="1"/>
        </w:numPr>
        <w:ind w:left="567" w:leftChars="0" w:hanging="567" w:firstLineChars="0"/>
        <w:rPr>
          <w:rFonts w:hint="eastAsia" w:ascii="宋体" w:hAnsi="宋体" w:eastAsia="宋体"/>
          <w:lang w:val="en-US" w:eastAsia="zh-CN"/>
        </w:rPr>
      </w:pPr>
      <w:bookmarkStart w:id="20" w:name="_Toc2471"/>
      <w:r>
        <w:rPr>
          <w:rFonts w:hint="eastAsia" w:ascii="宋体" w:hAnsi="宋体" w:eastAsia="宋体"/>
          <w:lang w:val="en-US" w:eastAsia="zh-CN"/>
        </w:rPr>
        <w:t>成交确认书</w:t>
      </w:r>
      <w:bookmarkEnd w:id="20"/>
    </w:p>
    <w:p w14:paraId="30801FC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62" w:beforeLines="20" w:after="62" w:afterLines="20" w:line="360" w:lineRule="auto"/>
        <w:ind w:firstLine="480" w:firstLineChars="200"/>
        <w:textAlignment w:val="auto"/>
        <w:rPr>
          <w:rFonts w:hint="default" w:ascii="宋体" w:hAnsi="宋体" w:eastAsia="宋体" w:cs="Times New Roman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交易中心经办点击菜单</w:t>
      </w:r>
      <w:r>
        <w:rPr>
          <w:rFonts w:hint="eastAsia" w:ascii="宋体" w:hAnsi="宋体" w:eastAsia="宋体" w:cs="Times New Roman"/>
          <w:sz w:val="24"/>
          <w:szCs w:val="24"/>
        </w:rPr>
        <w:t>“</w:t>
      </w: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成交确认</w:t>
      </w:r>
      <w:r>
        <w:rPr>
          <w:rFonts w:hint="eastAsia" w:ascii="宋体" w:hAnsi="宋体" w:eastAsia="宋体" w:cs="Times New Roman"/>
          <w:sz w:val="24"/>
          <w:szCs w:val="24"/>
        </w:rPr>
        <w:t xml:space="preserve">&gt; </w:t>
      </w: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成交确认书经办拟稿</w:t>
      </w:r>
      <w:r>
        <w:rPr>
          <w:rFonts w:hint="eastAsia" w:ascii="宋体" w:hAnsi="宋体" w:eastAsia="宋体" w:cs="Times New Roman"/>
          <w:sz w:val="24"/>
          <w:szCs w:val="24"/>
        </w:rPr>
        <w:t>”</w:t>
      </w:r>
      <w:r>
        <w:rPr>
          <w:rFonts w:hint="eastAsia" w:ascii="宋体" w:hAnsi="宋体" w:eastAsia="宋体" w:cs="Times New Roman"/>
          <w:sz w:val="24"/>
          <w:szCs w:val="24"/>
          <w:lang w:eastAsia="zh-CN"/>
        </w:rPr>
        <w:t>，</w:t>
      </w: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点击“编辑”按钮，进入成交确认书拟稿页，成交确认书会自动生成内容，可对内容进行修改，无误后点击文件，点击“提交”按钮，提交至部长审批。</w:t>
      </w:r>
    </w:p>
    <w:p w14:paraId="48EC4540">
      <w:pPr>
        <w:spacing w:before="62" w:beforeLines="20" w:after="62" w:afterLines="20" w:line="360" w:lineRule="auto"/>
        <w:ind w:firstLine="420" w:firstLineChars="200"/>
        <w:rPr>
          <w:rFonts w:hint="eastAsia" w:ascii="宋体" w:hAnsi="宋体" w:eastAsia="宋体" w:cs="Times New Roman"/>
          <w:sz w:val="24"/>
          <w:szCs w:val="24"/>
        </w:rPr>
      </w:pPr>
      <w:r>
        <w:drawing>
          <wp:inline distT="0" distB="0" distL="114300" distR="114300">
            <wp:extent cx="5273675" cy="1979930"/>
            <wp:effectExtent l="0" t="0" r="9525" b="1270"/>
            <wp:docPr id="5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1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1979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934C3E">
      <w:pPr>
        <w:spacing w:before="62" w:beforeLines="20" w:after="62" w:afterLines="20" w:line="360" w:lineRule="auto"/>
        <w:ind w:firstLine="420" w:firstLineChars="200"/>
      </w:pPr>
      <w:r>
        <w:drawing>
          <wp:inline distT="0" distB="0" distL="114300" distR="114300">
            <wp:extent cx="5266690" cy="2337435"/>
            <wp:effectExtent l="0" t="0" r="3810" b="12065"/>
            <wp:docPr id="5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2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44B391">
      <w:pPr>
        <w:spacing w:before="62" w:beforeLines="20" w:after="62" w:afterLines="20" w:line="360" w:lineRule="auto"/>
        <w:ind w:firstLine="420" w:firstLineChars="200"/>
      </w:pPr>
      <w:r>
        <w:drawing>
          <wp:inline distT="0" distB="0" distL="114300" distR="114300">
            <wp:extent cx="5266690" cy="2337435"/>
            <wp:effectExtent l="0" t="0" r="3810" b="12065"/>
            <wp:docPr id="5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3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AAD67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62" w:beforeLines="20" w:after="62" w:afterLines="20" w:line="360" w:lineRule="auto"/>
        <w:ind w:firstLine="480" w:firstLineChars="200"/>
        <w:textAlignment w:val="auto"/>
        <w:rPr>
          <w:rFonts w:hint="default" w:ascii="宋体" w:hAnsi="宋体" w:eastAsia="宋体" w:cs="Times New Roman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交易中心部长点击菜单“成交确认</w:t>
      </w:r>
      <w:r>
        <w:rPr>
          <w:rFonts w:hint="eastAsia" w:ascii="宋体" w:hAnsi="宋体" w:eastAsia="宋体" w:cs="Times New Roman"/>
          <w:sz w:val="24"/>
          <w:szCs w:val="24"/>
        </w:rPr>
        <w:t xml:space="preserve">&gt; </w:t>
      </w: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成交确认书部长审核”，点击“审批”按钮，进入审核处理页，审核无误后，点击“提交”按钮，提交至主任审批；如需修改，点击“退回”按钮，退回至经办拟稿环节。</w:t>
      </w:r>
    </w:p>
    <w:p w14:paraId="6D901FD7">
      <w:pPr>
        <w:spacing w:before="62" w:beforeLines="20" w:after="62" w:afterLines="20" w:line="360" w:lineRule="auto"/>
        <w:ind w:firstLine="420" w:firstLineChars="200"/>
      </w:pPr>
      <w:r>
        <w:drawing>
          <wp:inline distT="0" distB="0" distL="114300" distR="114300">
            <wp:extent cx="5266690" cy="1780540"/>
            <wp:effectExtent l="0" t="0" r="3810" b="10160"/>
            <wp:docPr id="5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4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78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AC3D9E">
      <w:pPr>
        <w:spacing w:before="62" w:beforeLines="20" w:after="62" w:afterLines="20" w:line="360" w:lineRule="auto"/>
        <w:ind w:firstLine="420" w:firstLineChars="200"/>
      </w:pPr>
      <w:r>
        <w:drawing>
          <wp:inline distT="0" distB="0" distL="114300" distR="114300">
            <wp:extent cx="5266690" cy="2337435"/>
            <wp:effectExtent l="0" t="0" r="3810" b="12065"/>
            <wp:docPr id="5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BB75FD">
      <w:pPr>
        <w:spacing w:before="62" w:beforeLines="20" w:after="62" w:afterLines="20" w:line="360" w:lineRule="auto"/>
        <w:ind w:firstLine="420" w:firstLineChars="200"/>
      </w:pPr>
      <w:r>
        <w:drawing>
          <wp:inline distT="0" distB="0" distL="114300" distR="114300">
            <wp:extent cx="5266690" cy="2337435"/>
            <wp:effectExtent l="0" t="0" r="3810" b="12065"/>
            <wp:docPr id="5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6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A10CE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62" w:beforeLines="20" w:after="62" w:afterLines="20" w:line="360" w:lineRule="auto"/>
        <w:ind w:firstLine="480" w:firstLineChars="200"/>
        <w:textAlignment w:val="auto"/>
      </w:pP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交易中心主任点击菜单“成交确认</w:t>
      </w:r>
      <w:r>
        <w:rPr>
          <w:rFonts w:hint="eastAsia" w:ascii="宋体" w:hAnsi="宋体" w:eastAsia="宋体" w:cs="Times New Roman"/>
          <w:sz w:val="24"/>
          <w:szCs w:val="24"/>
        </w:rPr>
        <w:t xml:space="preserve">&gt; </w:t>
      </w: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成交确认书主任审批”，点击“审批”按钮，进入审批处理页，审核无误后，点击“审批”按钮，流程流转至竞得人对成交确认书签章环节；如需修改，点击“退回”按钮，退回至经办拟稿环节。</w:t>
      </w:r>
    </w:p>
    <w:p w14:paraId="328493B8">
      <w:pPr>
        <w:spacing w:before="62" w:beforeLines="20" w:after="62" w:afterLines="20" w:line="360" w:lineRule="auto"/>
        <w:ind w:firstLine="420" w:firstLineChars="200"/>
      </w:pPr>
      <w:r>
        <w:drawing>
          <wp:inline distT="0" distB="0" distL="114300" distR="114300">
            <wp:extent cx="5262880" cy="1916430"/>
            <wp:effectExtent l="0" t="0" r="7620" b="1270"/>
            <wp:docPr id="2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1916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8180AA">
      <w:pPr>
        <w:spacing w:before="62" w:beforeLines="20" w:after="62" w:afterLines="20" w:line="360" w:lineRule="auto"/>
        <w:ind w:firstLine="420" w:firstLineChars="200"/>
      </w:pPr>
      <w:r>
        <w:drawing>
          <wp:inline distT="0" distB="0" distL="114300" distR="114300">
            <wp:extent cx="5266690" cy="2337435"/>
            <wp:effectExtent l="0" t="0" r="3810" b="12065"/>
            <wp:docPr id="5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2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1EE28B">
      <w:pPr>
        <w:spacing w:before="62" w:beforeLines="20" w:after="62" w:afterLines="20" w:line="360" w:lineRule="auto"/>
        <w:ind w:firstLine="420" w:firstLineChars="200"/>
      </w:pPr>
      <w:r>
        <w:drawing>
          <wp:inline distT="0" distB="0" distL="114300" distR="114300">
            <wp:extent cx="5266690" cy="2337435"/>
            <wp:effectExtent l="0" t="0" r="3810" b="12065"/>
            <wp:docPr id="6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3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E12ABD">
      <w:pPr>
        <w:pStyle w:val="3"/>
        <w:numPr>
          <w:ilvl w:val="1"/>
          <w:numId w:val="1"/>
        </w:numPr>
        <w:ind w:left="567" w:leftChars="0" w:hanging="567" w:firstLineChars="0"/>
        <w:rPr>
          <w:rFonts w:hint="eastAsia" w:ascii="宋体" w:hAnsi="宋体" w:eastAsia="宋体"/>
          <w:lang w:val="en-US" w:eastAsia="zh-CN"/>
        </w:rPr>
      </w:pPr>
      <w:bookmarkStart w:id="21" w:name="_Toc23255"/>
      <w:r>
        <w:rPr>
          <w:rFonts w:hint="eastAsia" w:ascii="宋体" w:hAnsi="宋体" w:eastAsia="宋体"/>
          <w:lang w:val="en-US" w:eastAsia="zh-CN"/>
        </w:rPr>
        <w:t>合同签订</w:t>
      </w:r>
      <w:bookmarkEnd w:id="21"/>
    </w:p>
    <w:p w14:paraId="506E6CA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62" w:beforeLines="20" w:after="62" w:afterLines="20" w:line="360" w:lineRule="auto"/>
        <w:ind w:firstLine="480" w:firstLineChars="200"/>
        <w:textAlignment w:val="auto"/>
        <w:rPr>
          <w:rFonts w:hint="default" w:ascii="宋体" w:hAnsi="宋体" w:eastAsia="宋体" w:cs="Times New Roman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交易中心经办点击菜单“合同签订&gt; 合同复核”，点击“复核”按钮，进入合同复核页面，点击“复核通过合同归档”按钮，合同归档，如需修改，点击“退回业主修改”按钮，流程回退至出让人合同重新签章。</w:t>
      </w:r>
    </w:p>
    <w:p w14:paraId="3F397DBF">
      <w:pPr>
        <w:spacing w:before="62" w:beforeLines="20" w:after="62" w:afterLines="20" w:line="360" w:lineRule="auto"/>
        <w:ind w:firstLine="420" w:firstLineChars="200"/>
      </w:pPr>
      <w:r>
        <w:drawing>
          <wp:inline distT="0" distB="0" distL="114300" distR="114300">
            <wp:extent cx="5266690" cy="2271395"/>
            <wp:effectExtent l="0" t="0" r="3810" b="1905"/>
            <wp:docPr id="6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1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271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D8BD7C">
      <w:pPr>
        <w:spacing w:before="62" w:beforeLines="20" w:after="62" w:afterLines="20" w:line="360" w:lineRule="auto"/>
        <w:ind w:firstLine="420" w:firstLineChars="200"/>
      </w:pPr>
      <w:r>
        <w:drawing>
          <wp:inline distT="0" distB="0" distL="114300" distR="114300">
            <wp:extent cx="5266690" cy="2271395"/>
            <wp:effectExtent l="0" t="0" r="3810" b="1905"/>
            <wp:docPr id="6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2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271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9FED56">
      <w:pPr>
        <w:spacing w:before="62" w:beforeLines="20" w:after="62" w:afterLines="20" w:line="360" w:lineRule="auto"/>
        <w:ind w:firstLine="420" w:firstLineChars="200"/>
        <w:rPr>
          <w:rFonts w:hint="default"/>
          <w:lang w:val="en-US" w:eastAsia="zh-CN"/>
        </w:rPr>
      </w:pPr>
      <w:r>
        <w:drawing>
          <wp:inline distT="0" distB="0" distL="114300" distR="114300">
            <wp:extent cx="5266690" cy="2271395"/>
            <wp:effectExtent l="0" t="0" r="3810" b="1905"/>
            <wp:docPr id="6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3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271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49A5DC">
      <w:pPr>
        <w:spacing w:before="62" w:beforeLines="20" w:after="62" w:afterLines="20" w:line="360" w:lineRule="auto"/>
        <w:ind w:firstLine="420" w:firstLineChars="200"/>
        <w:rPr>
          <w:rFonts w:hint="default"/>
          <w:lang w:val="en-US" w:eastAsia="zh-CN"/>
        </w:rPr>
      </w:pPr>
    </w:p>
    <w:p w14:paraId="50EFA6B7">
      <w:pPr>
        <w:pStyle w:val="3"/>
        <w:numPr>
          <w:ilvl w:val="1"/>
          <w:numId w:val="1"/>
        </w:numPr>
        <w:ind w:left="567" w:leftChars="0" w:hanging="567" w:firstLineChars="0"/>
        <w:rPr>
          <w:rFonts w:ascii="宋体" w:hAnsi="宋体" w:eastAsia="宋体"/>
        </w:rPr>
      </w:pPr>
      <w:bookmarkStart w:id="22" w:name="_Toc11490"/>
      <w:bookmarkStart w:id="23" w:name="_Hlk100602093"/>
      <w:r>
        <w:rPr>
          <w:rFonts w:hint="eastAsia" w:ascii="宋体" w:hAnsi="宋体" w:eastAsia="宋体"/>
        </w:rPr>
        <w:t>保证金退回</w:t>
      </w:r>
      <w:bookmarkEnd w:id="22"/>
    </w:p>
    <w:p w14:paraId="1840171F"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eastAsia" w:ascii="宋体" w:hAnsi="宋体" w:eastAsia="宋体" w:cs="Times New Roman"/>
          <w:kern w:val="2"/>
          <w:sz w:val="24"/>
          <w:szCs w:val="24"/>
        </w:rPr>
      </w:pPr>
      <w:r>
        <w:rPr>
          <w:rFonts w:hint="eastAsia" w:ascii="宋体" w:hAnsi="宋体" w:eastAsia="宋体" w:cs="Times New Roman"/>
          <w:kern w:val="2"/>
          <w:sz w:val="24"/>
          <w:szCs w:val="24"/>
        </w:rPr>
        <w:t>竞得人退保方式：出让人发起》经办受理 》部长审核 》 分管领导审核 》主任审核 》财务经办，财务经办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受理划款申请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后，在银行系统端发起竞得人保证金的转账处理。</w:t>
      </w:r>
    </w:p>
    <w:p w14:paraId="6CD908AA"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eastAsia" w:ascii="宋体" w:hAnsi="宋体" w:eastAsia="宋体" w:cs="Times New Roman"/>
          <w:kern w:val="2"/>
          <w:sz w:val="24"/>
          <w:szCs w:val="24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非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竞得人退保方式：竞价结束后系统自动退保。</w:t>
      </w:r>
    </w:p>
    <w:p w14:paraId="1230F9E0"/>
    <w:bookmarkEnd w:id="23"/>
    <w:p w14:paraId="272A0AC8">
      <w:pPr>
        <w:rPr>
          <w:rFonts w:hint="eastAsia" w:ascii="宋体" w:hAnsi="宋体" w:eastAsia="宋体" w:cs="宋体"/>
          <w:b/>
          <w:bCs/>
          <w:sz w:val="28"/>
          <w:szCs w:val="32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32"/>
          <w:lang w:val="en-US" w:eastAsia="zh-CN"/>
        </w:rPr>
        <w:t>2.6.1 划款审批（经办-部长-分管-主任）</w:t>
      </w:r>
    </w:p>
    <w:p w14:paraId="5AA5C218"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default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交易中心经办点击菜单“保证金退回&gt; 划款审批”，点击“审批”按钮，进入划款审批处理页，审批无误后点击“通过”按钮，流程流转到部长；如需修改，点击“退回”按钮，则退回至出让人修改。（部长审批、分管领导审批、主任审批操作相同）</w:t>
      </w:r>
    </w:p>
    <w:p w14:paraId="4DFB677F">
      <w:r>
        <w:drawing>
          <wp:inline distT="0" distB="0" distL="114300" distR="114300">
            <wp:extent cx="5271135" cy="2023745"/>
            <wp:effectExtent l="0" t="0" r="12065" b="8255"/>
            <wp:docPr id="6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1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023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4D42E8">
      <w:r>
        <w:drawing>
          <wp:inline distT="0" distB="0" distL="114300" distR="114300">
            <wp:extent cx="5266690" cy="2337435"/>
            <wp:effectExtent l="0" t="0" r="3810" b="12065"/>
            <wp:docPr id="6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2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AB0C4C">
      <w:r>
        <w:drawing>
          <wp:inline distT="0" distB="0" distL="114300" distR="114300">
            <wp:extent cx="5266690" cy="2337435"/>
            <wp:effectExtent l="0" t="0" r="3810" b="12065"/>
            <wp:docPr id="6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3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7BCAF3">
      <w:pPr>
        <w:rPr>
          <w:rFonts w:hint="eastAsia" w:ascii="宋体" w:hAnsi="宋体" w:eastAsia="宋体" w:cs="宋体"/>
          <w:b/>
          <w:bCs/>
          <w:sz w:val="28"/>
          <w:szCs w:val="32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32"/>
          <w:lang w:val="en-US" w:eastAsia="zh-CN"/>
        </w:rPr>
        <w:t>2.6.2划款受理（财务经办）</w:t>
      </w:r>
    </w:p>
    <w:p w14:paraId="0F9322BB"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default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财务经办点击菜单“保证金退回&gt; 划款受理”，点击“受理”进入划款受理审批处理页，检查填写信息以及附件材料无误后，点击“受理”按钮，进入受理流程，在银行系统端发起竞得人保证金的转账处理；如需修改，点击“退回”按钮，则退回至出让人修改。</w:t>
      </w:r>
    </w:p>
    <w:p w14:paraId="16BD2275">
      <w:r>
        <w:drawing>
          <wp:inline distT="0" distB="0" distL="114300" distR="114300">
            <wp:extent cx="5266690" cy="1837690"/>
            <wp:effectExtent l="0" t="0" r="3810" b="3810"/>
            <wp:docPr id="6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4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837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23B0A4">
      <w:r>
        <w:drawing>
          <wp:inline distT="0" distB="0" distL="114300" distR="114300">
            <wp:extent cx="5266690" cy="2337435"/>
            <wp:effectExtent l="0" t="0" r="3810" b="12065"/>
            <wp:docPr id="6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5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A078CD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6690" cy="2337435"/>
            <wp:effectExtent l="0" t="0" r="3810" b="12065"/>
            <wp:docPr id="6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6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F43E32">
      <w:pPr>
        <w:pStyle w:val="3"/>
        <w:numPr>
          <w:ilvl w:val="1"/>
          <w:numId w:val="1"/>
        </w:numPr>
        <w:ind w:left="567" w:leftChars="0" w:hanging="567" w:firstLineChars="0"/>
        <w:rPr>
          <w:rFonts w:hint="eastAsia" w:ascii="宋体" w:hAnsi="宋体" w:eastAsia="宋体"/>
          <w:lang w:val="en-US" w:eastAsia="zh-CN"/>
        </w:rPr>
      </w:pPr>
      <w:bookmarkStart w:id="24" w:name="_Toc14622"/>
      <w:r>
        <w:rPr>
          <w:rFonts w:hint="eastAsia" w:ascii="宋体" w:hAnsi="宋体" w:eastAsia="宋体"/>
          <w:lang w:val="en-US" w:eastAsia="zh-CN"/>
        </w:rPr>
        <w:t>中止交易</w:t>
      </w:r>
      <w:bookmarkEnd w:id="24"/>
    </w:p>
    <w:p w14:paraId="5576DD71">
      <w:pPr>
        <w:widowControl w:val="0"/>
        <w:adjustRightInd/>
        <w:snapToGrid/>
        <w:spacing w:before="62" w:beforeLines="20" w:after="62" w:afterLines="20" w:line="360" w:lineRule="auto"/>
        <w:ind w:firstLine="482" w:firstLineChars="200"/>
        <w:jc w:val="both"/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b/>
          <w:bCs/>
          <w:kern w:val="2"/>
          <w:sz w:val="24"/>
          <w:szCs w:val="24"/>
          <w:lang w:val="en-US" w:eastAsia="zh-CN"/>
        </w:rPr>
        <w:t>委托方发起流程：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委托方发起——经办审核——部长审核——分管审核——主任审核；</w:t>
      </w:r>
    </w:p>
    <w:p w14:paraId="5E7CCE96">
      <w:pPr>
        <w:widowControl w:val="0"/>
        <w:adjustRightInd/>
        <w:snapToGrid/>
        <w:spacing w:before="62" w:beforeLines="20" w:after="62" w:afterLines="20" w:line="360" w:lineRule="auto"/>
        <w:ind w:firstLine="482" w:firstLineChars="200"/>
        <w:jc w:val="both"/>
        <w:rPr>
          <w:rFonts w:hint="default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b/>
          <w:bCs/>
          <w:kern w:val="2"/>
          <w:sz w:val="24"/>
          <w:szCs w:val="24"/>
          <w:lang w:val="en-US" w:eastAsia="zh-CN"/>
        </w:rPr>
        <w:t>中心经办发起流程：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经办人发起——经办审核——部长审核——分管审核——主任审核；</w:t>
      </w:r>
    </w:p>
    <w:p w14:paraId="57508050">
      <w:pPr>
        <w:widowControl w:val="0"/>
        <w:adjustRightInd/>
        <w:snapToGrid/>
        <w:spacing w:before="62" w:beforeLines="20" w:after="62" w:afterLines="20" w:line="360" w:lineRule="auto"/>
        <w:ind w:firstLine="482" w:firstLineChars="200"/>
        <w:jc w:val="both"/>
        <w:rPr>
          <w:rFonts w:hint="eastAsia" w:ascii="宋体" w:hAnsi="宋体" w:eastAsia="宋体" w:cs="Times New Roman"/>
          <w:b/>
          <w:bCs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b/>
          <w:bCs/>
          <w:kern w:val="2"/>
          <w:sz w:val="24"/>
          <w:szCs w:val="24"/>
          <w:lang w:val="en-US" w:eastAsia="zh-CN"/>
        </w:rPr>
        <w:t>2.8.1 中心经办发起中止</w:t>
      </w:r>
    </w:p>
    <w:p w14:paraId="2921E75F">
      <w:pPr>
        <w:widowControl w:val="0"/>
        <w:adjustRightInd/>
        <w:snapToGrid/>
        <w:spacing w:before="62" w:beforeLines="20" w:after="62" w:afterLines="20" w:line="360" w:lineRule="auto"/>
        <w:ind w:firstLine="482" w:firstLineChars="200"/>
        <w:jc w:val="both"/>
        <w:rPr>
          <w:rFonts w:hint="default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b/>
          <w:bCs/>
          <w:kern w:val="2"/>
          <w:sz w:val="24"/>
          <w:szCs w:val="24"/>
          <w:lang w:val="en-US" w:eastAsia="zh-CN"/>
        </w:rPr>
        <w:t>交易中心经办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点击菜单“中止交易&gt; 发起项目中止”，点击“新增交易中止”按钮，选择好项目，点击“编辑”按钮，填写好中止原因及公告；如有附件，在中止公告附件处点击“上传附件”。填写完成后，点击“提交申请”按钮，流程流转到中心经办处理。</w:t>
      </w:r>
    </w:p>
    <w:p w14:paraId="6E293B76">
      <w:r>
        <w:drawing>
          <wp:inline distT="0" distB="0" distL="114300" distR="114300">
            <wp:extent cx="5266690" cy="2109470"/>
            <wp:effectExtent l="0" t="0" r="3810" b="11430"/>
            <wp:docPr id="1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109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0BD412">
      <w:r>
        <w:drawing>
          <wp:inline distT="0" distB="0" distL="114300" distR="114300">
            <wp:extent cx="5266690" cy="1481455"/>
            <wp:effectExtent l="0" t="0" r="3810" b="4445"/>
            <wp:docPr id="3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2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481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246E70">
      <w:r>
        <w:drawing>
          <wp:inline distT="0" distB="0" distL="114300" distR="114300">
            <wp:extent cx="5266690" cy="2337435"/>
            <wp:effectExtent l="0" t="0" r="3810" b="12065"/>
            <wp:docPr id="3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C5A980">
      <w:pPr>
        <w:widowControl w:val="0"/>
        <w:adjustRightInd/>
        <w:snapToGrid/>
        <w:spacing w:before="62" w:beforeLines="20" w:after="62" w:afterLines="20" w:line="360" w:lineRule="auto"/>
        <w:ind w:firstLine="482" w:firstLineChars="200"/>
        <w:jc w:val="both"/>
        <w:rPr>
          <w:rFonts w:hint="default" w:ascii="宋体" w:hAnsi="宋体" w:eastAsia="宋体" w:cs="Times New Roman"/>
          <w:b/>
          <w:bCs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b/>
          <w:bCs/>
          <w:kern w:val="2"/>
          <w:sz w:val="24"/>
          <w:szCs w:val="24"/>
          <w:lang w:val="en-US" w:eastAsia="zh-CN"/>
        </w:rPr>
        <w:t>2.8.2项目中止受理（经办-部长-分管领导-主任）</w:t>
      </w:r>
    </w:p>
    <w:p w14:paraId="7A20377E">
      <w:pPr>
        <w:widowControl w:val="0"/>
        <w:adjustRightInd/>
        <w:snapToGrid/>
        <w:spacing w:before="62" w:beforeLines="20" w:after="62" w:afterLines="20" w:line="360" w:lineRule="auto"/>
        <w:ind w:firstLine="482" w:firstLineChars="200"/>
        <w:jc w:val="both"/>
        <w:rPr>
          <w:rFonts w:hint="default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b/>
          <w:bCs/>
          <w:kern w:val="2"/>
          <w:sz w:val="24"/>
          <w:szCs w:val="24"/>
          <w:lang w:val="en-US" w:eastAsia="zh-CN"/>
        </w:rPr>
        <w:t>交易中心经办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点击菜单“中止交易&gt; 项目中止受理”，点击“受理”按钮，进入中止处理页，检查无误后，点击“受理通过”按钮，流程流转至部长审核；如需修改，点击“退回”按钮，退回至发起项目中止环节。</w:t>
      </w:r>
    </w:p>
    <w:p w14:paraId="2660F9B9">
      <w:r>
        <w:drawing>
          <wp:inline distT="0" distB="0" distL="114300" distR="114300">
            <wp:extent cx="5266690" cy="1986280"/>
            <wp:effectExtent l="0" t="0" r="3810" b="7620"/>
            <wp:docPr id="3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1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986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B5876B">
      <w:r>
        <w:drawing>
          <wp:inline distT="0" distB="0" distL="114300" distR="114300">
            <wp:extent cx="5266690" cy="2337435"/>
            <wp:effectExtent l="0" t="0" r="3810" b="12065"/>
            <wp:docPr id="3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2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17A0B7">
      <w:r>
        <w:drawing>
          <wp:inline distT="0" distB="0" distL="114300" distR="114300">
            <wp:extent cx="5266690" cy="2337435"/>
            <wp:effectExtent l="0" t="0" r="3810" b="12065"/>
            <wp:docPr id="3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4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375EBF">
      <w:pPr>
        <w:widowControl w:val="0"/>
        <w:adjustRightInd/>
        <w:snapToGrid/>
        <w:spacing w:before="62" w:beforeLines="20" w:after="62" w:afterLines="20" w:line="360" w:lineRule="auto"/>
        <w:ind w:firstLine="482" w:firstLineChars="200"/>
        <w:jc w:val="both"/>
        <w:rPr>
          <w:rFonts w:hint="default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b/>
          <w:bCs/>
          <w:kern w:val="2"/>
          <w:sz w:val="24"/>
          <w:szCs w:val="24"/>
          <w:lang w:val="en-US" w:eastAsia="zh-CN"/>
        </w:rPr>
        <w:t>交易中心部长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点击菜单“中止交易&gt; 项目中止审核”，点击“审核”按钮，进入中止处理页，检查无误后，点击“受理通过”按钮，流程流转至主任审核；如需修改，点击“退回”按钮，退回至发起项目中止环节。</w:t>
      </w:r>
    </w:p>
    <w:p w14:paraId="62C38322">
      <w:r>
        <w:drawing>
          <wp:inline distT="0" distB="0" distL="114300" distR="114300">
            <wp:extent cx="5273675" cy="1668780"/>
            <wp:effectExtent l="0" t="0" r="9525" b="7620"/>
            <wp:docPr id="40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5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1668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55F400">
      <w:r>
        <w:drawing>
          <wp:inline distT="0" distB="0" distL="114300" distR="114300">
            <wp:extent cx="5266690" cy="2337435"/>
            <wp:effectExtent l="0" t="0" r="3810" b="12065"/>
            <wp:docPr id="4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6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E318A3">
      <w:r>
        <w:drawing>
          <wp:inline distT="0" distB="0" distL="114300" distR="114300">
            <wp:extent cx="5266690" cy="2337435"/>
            <wp:effectExtent l="0" t="0" r="3810" b="12065"/>
            <wp:docPr id="5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7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C08C37">
      <w:pPr>
        <w:widowControl w:val="0"/>
        <w:adjustRightInd/>
        <w:snapToGrid/>
        <w:spacing w:before="62" w:beforeLines="20" w:after="62" w:afterLines="20" w:line="360" w:lineRule="auto"/>
        <w:ind w:firstLine="482" w:firstLineChars="200"/>
        <w:jc w:val="both"/>
        <w:rPr>
          <w:rFonts w:hint="default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b/>
          <w:bCs/>
          <w:kern w:val="2"/>
          <w:sz w:val="24"/>
          <w:szCs w:val="24"/>
          <w:lang w:val="en-US" w:eastAsia="zh-CN"/>
        </w:rPr>
        <w:t>交易中心主任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点击菜单“中止交易&gt; 项目中止审批”，点击“审批”按钮，进入中止处理页，检查无误后，点击“审批通过”按钮，审批流程通过；如需修改，点击“退回”按钮，退回至发起项目中止环节。</w:t>
      </w:r>
    </w:p>
    <w:p w14:paraId="36A092FD"/>
    <w:p w14:paraId="0D4C90A5">
      <w:r>
        <w:drawing>
          <wp:inline distT="0" distB="0" distL="114300" distR="114300">
            <wp:extent cx="5266690" cy="2337435"/>
            <wp:effectExtent l="0" t="0" r="3810" b="12065"/>
            <wp:docPr id="71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8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E4CA75">
      <w:r>
        <w:drawing>
          <wp:inline distT="0" distB="0" distL="114300" distR="114300">
            <wp:extent cx="5266690" cy="2337435"/>
            <wp:effectExtent l="0" t="0" r="3810" b="12065"/>
            <wp:docPr id="72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9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67BF8B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66690" cy="2337435"/>
            <wp:effectExtent l="0" t="0" r="3810" b="12065"/>
            <wp:docPr id="73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10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C8D941">
      <w:pPr>
        <w:pStyle w:val="3"/>
        <w:numPr>
          <w:ilvl w:val="1"/>
          <w:numId w:val="1"/>
        </w:numPr>
        <w:ind w:left="567" w:leftChars="0" w:hanging="567" w:firstLineChars="0"/>
        <w:rPr>
          <w:rFonts w:hint="eastAsia" w:ascii="宋体" w:hAnsi="宋体" w:eastAsia="宋体"/>
          <w:lang w:val="en-US" w:eastAsia="zh-CN"/>
        </w:rPr>
      </w:pPr>
      <w:bookmarkStart w:id="25" w:name="_Toc21440"/>
      <w:r>
        <w:rPr>
          <w:rFonts w:hint="eastAsia" w:ascii="宋体" w:hAnsi="宋体" w:eastAsia="宋体"/>
          <w:lang w:val="en-US" w:eastAsia="zh-CN"/>
        </w:rPr>
        <w:t>恢复交易</w:t>
      </w:r>
      <w:bookmarkEnd w:id="25"/>
    </w:p>
    <w:p w14:paraId="4617099C">
      <w:pPr>
        <w:widowControl w:val="0"/>
        <w:adjustRightInd/>
        <w:snapToGrid/>
        <w:spacing w:before="62" w:beforeLines="20" w:after="62" w:afterLines="20" w:line="360" w:lineRule="auto"/>
        <w:ind w:firstLine="482" w:firstLineChars="200"/>
        <w:jc w:val="both"/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b/>
          <w:bCs/>
          <w:kern w:val="2"/>
          <w:sz w:val="24"/>
          <w:szCs w:val="24"/>
          <w:lang w:val="en-US" w:eastAsia="zh-CN"/>
        </w:rPr>
        <w:t>委托方发起流程：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委托方发起——经办审核——部长审核——分管审核——主任审核；</w:t>
      </w:r>
    </w:p>
    <w:p w14:paraId="7D4D19CD">
      <w:pPr>
        <w:widowControl w:val="0"/>
        <w:adjustRightInd/>
        <w:snapToGrid/>
        <w:spacing w:before="62" w:beforeLines="20" w:after="62" w:afterLines="20" w:line="360" w:lineRule="auto"/>
        <w:ind w:firstLine="482" w:firstLineChars="200"/>
        <w:jc w:val="both"/>
        <w:rPr>
          <w:rFonts w:hint="default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b/>
          <w:bCs/>
          <w:kern w:val="2"/>
          <w:sz w:val="24"/>
          <w:szCs w:val="24"/>
          <w:lang w:val="en-US" w:eastAsia="zh-CN"/>
        </w:rPr>
        <w:t>中心经办发起流程：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经办人发起——经办审核——部长审核——分管审核——主任审核；</w:t>
      </w:r>
    </w:p>
    <w:p w14:paraId="27815682">
      <w:pPr>
        <w:widowControl w:val="0"/>
        <w:adjustRightInd/>
        <w:snapToGrid/>
        <w:spacing w:before="62" w:beforeLines="20" w:after="62" w:afterLines="20" w:line="360" w:lineRule="auto"/>
        <w:ind w:firstLine="482" w:firstLineChars="200"/>
        <w:jc w:val="both"/>
        <w:rPr>
          <w:rFonts w:hint="default" w:ascii="宋体" w:hAnsi="宋体" w:eastAsia="宋体" w:cs="Times New Roman"/>
          <w:b/>
          <w:bCs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b/>
          <w:bCs/>
          <w:kern w:val="2"/>
          <w:sz w:val="24"/>
          <w:szCs w:val="24"/>
          <w:lang w:val="en-US" w:eastAsia="zh-CN"/>
        </w:rPr>
        <w:t>2.9.1 中心经办发起恢复</w:t>
      </w:r>
    </w:p>
    <w:p w14:paraId="462B7A36">
      <w:pPr>
        <w:widowControl w:val="0"/>
        <w:adjustRightInd/>
        <w:snapToGrid/>
        <w:spacing w:before="62" w:beforeLines="20" w:after="62" w:afterLines="20" w:line="360" w:lineRule="auto"/>
        <w:ind w:firstLine="482" w:firstLineChars="200"/>
        <w:jc w:val="both"/>
        <w:rPr>
          <w:rFonts w:hint="eastAsia"/>
          <w:lang w:val="en-US" w:eastAsia="zh-CN"/>
        </w:rPr>
      </w:pPr>
      <w:r>
        <w:rPr>
          <w:rFonts w:hint="eastAsia" w:ascii="宋体" w:hAnsi="宋体" w:eastAsia="宋体" w:cs="Times New Roman"/>
          <w:b/>
          <w:bCs/>
          <w:kern w:val="2"/>
          <w:sz w:val="24"/>
          <w:szCs w:val="24"/>
          <w:lang w:val="en-US" w:eastAsia="zh-CN"/>
        </w:rPr>
        <w:t>交易中心经办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点击菜单“恢复交易&gt; 发起项目恢复”，点击“新增交易恢复”按钮，选择好项目，点击“编辑”按钮，填写好恢复原因及公告；如有附件，在恢复公告附件处点击“上传附件”。填写完成后，点击“提交申请”按钮，流程流转到中心经办处理。</w:t>
      </w:r>
    </w:p>
    <w:p w14:paraId="7BB3411D">
      <w:pPr>
        <w:widowControl w:val="0"/>
        <w:adjustRightInd/>
        <w:snapToGrid/>
        <w:spacing w:before="62" w:beforeLines="20" w:after="62" w:afterLines="20" w:line="360" w:lineRule="auto"/>
        <w:ind w:firstLine="420" w:firstLineChars="200"/>
        <w:jc w:val="both"/>
      </w:pPr>
      <w:r>
        <w:drawing>
          <wp:inline distT="0" distB="0" distL="114300" distR="114300">
            <wp:extent cx="5266690" cy="1958340"/>
            <wp:effectExtent l="0" t="0" r="3810" b="10160"/>
            <wp:docPr id="3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1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95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7ABFC6">
      <w:pPr>
        <w:widowControl w:val="0"/>
        <w:adjustRightInd/>
        <w:snapToGrid/>
        <w:spacing w:before="62" w:beforeLines="20" w:after="62" w:afterLines="20" w:line="360" w:lineRule="auto"/>
        <w:ind w:firstLine="420" w:firstLineChars="200"/>
        <w:jc w:val="both"/>
      </w:pPr>
      <w:r>
        <w:drawing>
          <wp:inline distT="0" distB="0" distL="114300" distR="114300">
            <wp:extent cx="5273675" cy="1534160"/>
            <wp:effectExtent l="0" t="0" r="9525" b="2540"/>
            <wp:docPr id="7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2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1534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A75145">
      <w:pPr>
        <w:widowControl w:val="0"/>
        <w:adjustRightInd/>
        <w:snapToGrid/>
        <w:spacing w:before="62" w:beforeLines="20" w:after="62" w:afterLines="20" w:line="360" w:lineRule="auto"/>
        <w:ind w:firstLine="420" w:firstLineChars="200"/>
        <w:jc w:val="both"/>
        <w:rPr>
          <w:rFonts w:hint="default"/>
          <w:lang w:val="en-US" w:eastAsia="zh-CN"/>
        </w:rPr>
      </w:pPr>
      <w:r>
        <w:drawing>
          <wp:inline distT="0" distB="0" distL="114300" distR="114300">
            <wp:extent cx="5266690" cy="2337435"/>
            <wp:effectExtent l="0" t="0" r="3810" b="12065"/>
            <wp:docPr id="7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3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DF2816">
      <w:pPr>
        <w:rPr>
          <w:rFonts w:hint="eastAsia"/>
          <w:lang w:val="en-US" w:eastAsia="zh-CN"/>
        </w:rPr>
      </w:pPr>
    </w:p>
    <w:p w14:paraId="5F58DCE5">
      <w:pPr>
        <w:bidi w:val="0"/>
        <w:rPr>
          <w:rFonts w:hint="eastAsia" w:asciiTheme="minorHAnsi" w:hAnsiTheme="minorHAnsi" w:eastAsiaTheme="minorEastAsia" w:cstheme="minorBidi"/>
          <w:kern w:val="2"/>
          <w:sz w:val="21"/>
          <w:szCs w:val="22"/>
          <w:lang w:val="en-US" w:eastAsia="zh-CN" w:bidi="ar-SA"/>
        </w:rPr>
      </w:pPr>
    </w:p>
    <w:p w14:paraId="662692FC">
      <w:pPr>
        <w:widowControl w:val="0"/>
        <w:adjustRightInd/>
        <w:snapToGrid/>
        <w:spacing w:before="62" w:beforeLines="20" w:after="62" w:afterLines="20" w:line="360" w:lineRule="auto"/>
        <w:ind w:firstLine="420" w:firstLineChars="200"/>
        <w:jc w:val="both"/>
        <w:rPr>
          <w:rFonts w:hint="default" w:ascii="宋体" w:hAnsi="宋体" w:eastAsia="宋体" w:cs="Times New Roman"/>
          <w:b/>
          <w:bCs/>
          <w:kern w:val="2"/>
          <w:sz w:val="24"/>
          <w:szCs w:val="24"/>
          <w:lang w:val="en-US" w:eastAsia="zh-CN"/>
        </w:rPr>
      </w:pPr>
      <w:r>
        <w:rPr>
          <w:rFonts w:hint="eastAsia"/>
          <w:lang w:val="en-US" w:eastAsia="zh-CN"/>
        </w:rPr>
        <w:tab/>
      </w:r>
      <w:r>
        <w:rPr>
          <w:rFonts w:hint="eastAsia" w:ascii="宋体" w:hAnsi="宋体" w:eastAsia="宋体" w:cs="Times New Roman"/>
          <w:b/>
          <w:bCs/>
          <w:kern w:val="2"/>
          <w:sz w:val="24"/>
          <w:szCs w:val="24"/>
          <w:lang w:val="en-US" w:eastAsia="zh-CN"/>
        </w:rPr>
        <w:t>2.9.2项目恢复受理（经办-部长-分管领导-主任）</w:t>
      </w:r>
    </w:p>
    <w:p w14:paraId="02FD266D">
      <w:pPr>
        <w:widowControl w:val="0"/>
        <w:adjustRightInd/>
        <w:snapToGrid/>
        <w:spacing w:before="62" w:beforeLines="20" w:after="62" w:afterLines="20" w:line="360" w:lineRule="auto"/>
        <w:ind w:firstLine="482" w:firstLineChars="200"/>
        <w:jc w:val="both"/>
        <w:rPr>
          <w:rFonts w:hint="default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b/>
          <w:bCs/>
          <w:kern w:val="2"/>
          <w:sz w:val="24"/>
          <w:szCs w:val="24"/>
          <w:lang w:val="en-US" w:eastAsia="zh-CN"/>
        </w:rPr>
        <w:t>交易中心经办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点击菜单“恢复交易&gt; 项目恢复受理”，点击“受理”按钮，进入恢复处理页，检查无误后，点击“受理通过”按钮，流程流转至部长审核；如需修改，点击“退回”按钮，退回至发起项目恢复环节。</w:t>
      </w:r>
    </w:p>
    <w:p w14:paraId="2E306324">
      <w:pPr>
        <w:tabs>
          <w:tab w:val="left" w:pos="918"/>
        </w:tabs>
        <w:bidi w:val="0"/>
        <w:jc w:val="left"/>
      </w:pPr>
      <w:r>
        <w:drawing>
          <wp:inline distT="0" distB="0" distL="114300" distR="114300">
            <wp:extent cx="5273675" cy="1971675"/>
            <wp:effectExtent l="0" t="0" r="9525" b="9525"/>
            <wp:docPr id="7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4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1971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1AA90C">
      <w:pPr>
        <w:tabs>
          <w:tab w:val="left" w:pos="918"/>
        </w:tabs>
        <w:bidi w:val="0"/>
        <w:jc w:val="left"/>
      </w:pPr>
      <w:r>
        <w:drawing>
          <wp:inline distT="0" distB="0" distL="114300" distR="114300">
            <wp:extent cx="5266690" cy="2337435"/>
            <wp:effectExtent l="0" t="0" r="3810" b="12065"/>
            <wp:docPr id="7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5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2A3AE3">
      <w:pPr>
        <w:tabs>
          <w:tab w:val="left" w:pos="918"/>
        </w:tabs>
        <w:bidi w:val="0"/>
        <w:jc w:val="left"/>
      </w:pPr>
      <w:r>
        <w:drawing>
          <wp:inline distT="0" distB="0" distL="114300" distR="114300">
            <wp:extent cx="5266690" cy="2337435"/>
            <wp:effectExtent l="0" t="0" r="3810" b="12065"/>
            <wp:docPr id="7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6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108966">
      <w:pPr>
        <w:widowControl w:val="0"/>
        <w:adjustRightInd/>
        <w:snapToGrid/>
        <w:spacing w:before="62" w:beforeLines="20" w:after="62" w:afterLines="20" w:line="360" w:lineRule="auto"/>
        <w:ind w:firstLine="482" w:firstLineChars="200"/>
        <w:jc w:val="both"/>
        <w:rPr>
          <w:rFonts w:hint="default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b/>
          <w:bCs/>
          <w:kern w:val="2"/>
          <w:sz w:val="24"/>
          <w:szCs w:val="24"/>
          <w:lang w:val="en-US" w:eastAsia="zh-CN"/>
        </w:rPr>
        <w:t>交易中心部长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点击菜单“恢复交易&gt; 项目恢复审核”，点击“审核”按钮，进入恢复处理页，检查无误后，点击“受理通过”按钮，流程流转至主任审核；如需修改，点击“退回”按钮，退回至发起项目恢复环节。</w:t>
      </w:r>
    </w:p>
    <w:p w14:paraId="72ABC032">
      <w:pPr>
        <w:tabs>
          <w:tab w:val="left" w:pos="918"/>
        </w:tabs>
        <w:bidi w:val="0"/>
        <w:jc w:val="left"/>
      </w:pPr>
    </w:p>
    <w:p w14:paraId="49DD8CD7">
      <w:pPr>
        <w:tabs>
          <w:tab w:val="left" w:pos="918"/>
        </w:tabs>
        <w:bidi w:val="0"/>
        <w:jc w:val="left"/>
      </w:pPr>
      <w:r>
        <w:drawing>
          <wp:inline distT="0" distB="0" distL="114300" distR="114300">
            <wp:extent cx="5266690" cy="1711960"/>
            <wp:effectExtent l="0" t="0" r="3810" b="2540"/>
            <wp:docPr id="7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7"/>
                    <pic:cNvPicPr>
                      <a:picLocks noChangeAspect="1"/>
                    </pic:cNvPicPr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711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F86A95">
      <w:pPr>
        <w:tabs>
          <w:tab w:val="left" w:pos="918"/>
        </w:tabs>
        <w:bidi w:val="0"/>
        <w:jc w:val="left"/>
      </w:pPr>
      <w:r>
        <w:drawing>
          <wp:inline distT="0" distB="0" distL="114300" distR="114300">
            <wp:extent cx="5266690" cy="2337435"/>
            <wp:effectExtent l="0" t="0" r="3810" b="12065"/>
            <wp:docPr id="80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8"/>
                    <pic:cNvPicPr>
                      <a:picLocks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F1ED93">
      <w:pPr>
        <w:tabs>
          <w:tab w:val="left" w:pos="918"/>
        </w:tabs>
        <w:bidi w:val="0"/>
        <w:jc w:val="left"/>
      </w:pPr>
      <w:r>
        <w:drawing>
          <wp:inline distT="0" distB="0" distL="114300" distR="114300">
            <wp:extent cx="5266690" cy="2337435"/>
            <wp:effectExtent l="0" t="0" r="3810" b="12065"/>
            <wp:docPr id="81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9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D88645">
      <w:pPr>
        <w:widowControl w:val="0"/>
        <w:adjustRightInd/>
        <w:snapToGrid/>
        <w:spacing w:before="62" w:beforeLines="20" w:after="62" w:afterLines="20" w:line="360" w:lineRule="auto"/>
        <w:ind w:firstLine="482" w:firstLineChars="200"/>
        <w:jc w:val="both"/>
        <w:rPr>
          <w:rFonts w:hint="default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b/>
          <w:bCs/>
          <w:kern w:val="2"/>
          <w:sz w:val="24"/>
          <w:szCs w:val="24"/>
          <w:lang w:val="en-US" w:eastAsia="zh-CN"/>
        </w:rPr>
        <w:t>交易中心主任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点击菜单“恢复交易&gt; 项目恢复审批”，点击“审批”按钮，进入恢复处理页，检查无误后，点击“审批通过”按钮，审批流程通过；如需修改，点击“退回”按钮，退回至发起项目恢复环节。</w:t>
      </w:r>
    </w:p>
    <w:p w14:paraId="05CA7481">
      <w:pPr>
        <w:tabs>
          <w:tab w:val="left" w:pos="918"/>
        </w:tabs>
        <w:bidi w:val="0"/>
        <w:jc w:val="left"/>
      </w:pPr>
      <w:r>
        <w:drawing>
          <wp:inline distT="0" distB="0" distL="114300" distR="114300">
            <wp:extent cx="5266690" cy="2032635"/>
            <wp:effectExtent l="0" t="0" r="3810" b="12065"/>
            <wp:docPr id="82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10"/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032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F76563">
      <w:pPr>
        <w:tabs>
          <w:tab w:val="left" w:pos="918"/>
        </w:tabs>
        <w:bidi w:val="0"/>
        <w:jc w:val="left"/>
      </w:pPr>
      <w:r>
        <w:drawing>
          <wp:inline distT="0" distB="0" distL="114300" distR="114300">
            <wp:extent cx="5266690" cy="2337435"/>
            <wp:effectExtent l="0" t="0" r="3810" b="12065"/>
            <wp:docPr id="83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11"/>
                    <pic:cNvPicPr>
                      <a:picLocks noChangeAspect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02C4AF">
      <w:pPr>
        <w:tabs>
          <w:tab w:val="left" w:pos="918"/>
        </w:tabs>
        <w:bidi w:val="0"/>
        <w:jc w:val="left"/>
        <w:rPr>
          <w:rFonts w:hint="eastAsia"/>
          <w:lang w:val="en-US" w:eastAsia="zh-CN"/>
        </w:rPr>
      </w:pPr>
      <w:r>
        <w:drawing>
          <wp:inline distT="0" distB="0" distL="114300" distR="114300">
            <wp:extent cx="5266690" cy="2337435"/>
            <wp:effectExtent l="0" t="0" r="3810" b="12065"/>
            <wp:docPr id="84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12"/>
                    <pic:cNvPicPr>
                      <a:picLocks noChangeAspect="1"/>
                    </pic:cNvPicPr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70A5BF">
      <w:pPr>
        <w:pStyle w:val="3"/>
        <w:numPr>
          <w:ilvl w:val="1"/>
          <w:numId w:val="1"/>
        </w:numPr>
        <w:ind w:left="567" w:leftChars="0" w:hanging="567" w:firstLineChars="0"/>
        <w:rPr>
          <w:rFonts w:hint="eastAsia" w:ascii="宋体" w:hAnsi="宋体" w:eastAsia="宋体"/>
          <w:lang w:val="en-US" w:eastAsia="zh-CN"/>
        </w:rPr>
      </w:pPr>
      <w:bookmarkStart w:id="26" w:name="_Toc12943"/>
      <w:r>
        <w:rPr>
          <w:rFonts w:hint="eastAsia" w:ascii="宋体" w:hAnsi="宋体" w:eastAsia="宋体"/>
          <w:lang w:val="en-US" w:eastAsia="zh-CN"/>
        </w:rPr>
        <w:t>更正交易</w:t>
      </w:r>
      <w:bookmarkEnd w:id="26"/>
    </w:p>
    <w:p w14:paraId="3A0EC7FA">
      <w:pPr>
        <w:widowControl w:val="0"/>
        <w:adjustRightInd/>
        <w:snapToGrid/>
        <w:spacing w:before="62" w:beforeLines="20" w:after="62" w:afterLines="20" w:line="360" w:lineRule="auto"/>
        <w:ind w:firstLine="482" w:firstLineChars="200"/>
        <w:jc w:val="both"/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b/>
          <w:bCs/>
          <w:kern w:val="2"/>
          <w:sz w:val="24"/>
          <w:szCs w:val="24"/>
          <w:lang w:val="en-US" w:eastAsia="zh-CN"/>
        </w:rPr>
        <w:t>委托方发起流程：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委托方发起——经办审核——部长审核——分管审核——主任审核；</w:t>
      </w:r>
    </w:p>
    <w:p w14:paraId="3278F5E0">
      <w:pPr>
        <w:widowControl w:val="0"/>
        <w:adjustRightInd/>
        <w:snapToGrid/>
        <w:spacing w:before="62" w:beforeLines="20" w:after="62" w:afterLines="20" w:line="360" w:lineRule="auto"/>
        <w:ind w:firstLine="482" w:firstLineChars="200"/>
        <w:jc w:val="both"/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b/>
          <w:bCs/>
          <w:kern w:val="2"/>
          <w:sz w:val="24"/>
          <w:szCs w:val="24"/>
          <w:lang w:val="en-US" w:eastAsia="zh-CN"/>
        </w:rPr>
        <w:t>中心经办发起流程：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经办人发起——经办审核——部长审核——分管审核——主任审核；</w:t>
      </w:r>
    </w:p>
    <w:p w14:paraId="13A88756">
      <w:pPr>
        <w:widowControl w:val="0"/>
        <w:adjustRightInd/>
        <w:snapToGrid/>
        <w:spacing w:before="62" w:beforeLines="20" w:after="62" w:afterLines="20" w:line="360" w:lineRule="auto"/>
        <w:ind w:firstLine="482" w:firstLineChars="200"/>
        <w:jc w:val="both"/>
        <w:rPr>
          <w:rFonts w:hint="default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b/>
          <w:bCs/>
          <w:kern w:val="2"/>
          <w:sz w:val="24"/>
          <w:szCs w:val="24"/>
          <w:lang w:val="en-US" w:eastAsia="zh-CN"/>
        </w:rPr>
        <w:t>2.10.1 中心经办发起更正</w:t>
      </w:r>
    </w:p>
    <w:p w14:paraId="639E9284"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eastAsia" w:ascii="宋体" w:hAnsi="宋体" w:eastAsia="宋体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点击菜单“更正交易&gt; 发起项目更正”，点击“新增交易更正”按钮，选择好项目，点击“更正”按钮，进入更正处理页，将需要更正的信息（如基本信息、交易时间、资格审核材料等）更正完毕后，点击“发布更正公告”按钮，进入更正公告拟稿页，编辑好更正原因及公告；在更正公告附件处点击“上传附件”，将更正公告附件上传，并对附件进行电子签章。编辑完成后，点击“提交申请”按钮，流程流转到中心经办处理。</w:t>
      </w:r>
    </w:p>
    <w:p w14:paraId="4202F8B0">
      <w:r>
        <w:drawing>
          <wp:inline distT="0" distB="0" distL="114300" distR="114300">
            <wp:extent cx="5273675" cy="2032000"/>
            <wp:effectExtent l="0" t="0" r="9525" b="0"/>
            <wp:docPr id="85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13"/>
                    <pic:cNvPicPr>
                      <a:picLocks noChangeAspect="1"/>
                    </pic:cNvPicPr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03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D26D4A">
      <w:r>
        <w:drawing>
          <wp:inline distT="0" distB="0" distL="114300" distR="114300">
            <wp:extent cx="5266690" cy="1176655"/>
            <wp:effectExtent l="0" t="0" r="3810" b="4445"/>
            <wp:docPr id="8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图片 5"/>
                    <pic:cNvPicPr>
                      <a:picLocks noChangeAspect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176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282A6C">
      <w:r>
        <w:drawing>
          <wp:inline distT="0" distB="0" distL="114300" distR="114300">
            <wp:extent cx="5269865" cy="2984500"/>
            <wp:effectExtent l="0" t="0" r="635" b="0"/>
            <wp:docPr id="8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图片 6"/>
                    <pic:cNvPicPr>
                      <a:picLocks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98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27B912">
      <w:r>
        <w:drawing>
          <wp:inline distT="0" distB="0" distL="114300" distR="114300">
            <wp:extent cx="5268595" cy="2394585"/>
            <wp:effectExtent l="0" t="0" r="1905" b="5715"/>
            <wp:docPr id="8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图片 7"/>
                    <pic:cNvPicPr>
                      <a:picLocks noChangeAspect="1"/>
                    </pic:cNvPicPr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394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C410BF">
      <w:r>
        <w:drawing>
          <wp:inline distT="0" distB="0" distL="114300" distR="114300">
            <wp:extent cx="5266690" cy="2159000"/>
            <wp:effectExtent l="0" t="0" r="3810" b="0"/>
            <wp:docPr id="8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图片 8"/>
                    <pic:cNvPicPr>
                      <a:picLocks noChangeAspect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15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06EB41">
      <w:r>
        <w:drawing>
          <wp:inline distT="0" distB="0" distL="114300" distR="114300">
            <wp:extent cx="5266690" cy="2337435"/>
            <wp:effectExtent l="0" t="0" r="3810" b="12065"/>
            <wp:docPr id="9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图片 9"/>
                    <pic:cNvPicPr>
                      <a:picLocks noChangeAspect="1"/>
                    </pic:cNvPicPr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A8A3C3">
      <w:pPr>
        <w:rPr>
          <w:rFonts w:hint="eastAsia" w:ascii="宋体" w:hAnsi="宋体" w:eastAsia="宋体" w:cs="Times New Roman"/>
          <w:b/>
          <w:bCs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b/>
          <w:bCs/>
          <w:kern w:val="2"/>
          <w:sz w:val="24"/>
          <w:szCs w:val="24"/>
          <w:lang w:val="en-US" w:eastAsia="zh-CN"/>
        </w:rPr>
        <w:t>2.10.2项目更正受理（经办-部长-分管领导-主任）</w:t>
      </w:r>
    </w:p>
    <w:p w14:paraId="5AADEBD8">
      <w:pPr>
        <w:widowControl w:val="0"/>
        <w:adjustRightInd/>
        <w:snapToGrid/>
        <w:spacing w:before="62" w:beforeLines="20" w:after="62" w:afterLines="20" w:line="360" w:lineRule="auto"/>
        <w:ind w:firstLine="482" w:firstLineChars="200"/>
        <w:jc w:val="both"/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b/>
          <w:bCs/>
          <w:kern w:val="2"/>
          <w:sz w:val="24"/>
          <w:szCs w:val="24"/>
          <w:lang w:val="en-US" w:eastAsia="zh-CN"/>
        </w:rPr>
        <w:t>交易中心经办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点击菜单“更正交易&gt; 受理项目更正”，点击“受理”按钮，进入更正处理页，检查无误后，点击“受理通过”按钮，流程流转至部长审核；如需修改，点击“退回”按钮，退回至发起项目更正环节。</w:t>
      </w:r>
    </w:p>
    <w:p w14:paraId="1BA31DA5">
      <w:pPr>
        <w:widowControl w:val="0"/>
        <w:adjustRightInd/>
        <w:snapToGrid/>
        <w:spacing w:before="62" w:beforeLines="20" w:after="62" w:afterLines="20" w:line="360" w:lineRule="auto"/>
        <w:ind w:firstLine="420" w:firstLineChars="200"/>
        <w:jc w:val="both"/>
      </w:pPr>
      <w:r>
        <w:drawing>
          <wp:inline distT="0" distB="0" distL="114300" distR="114300">
            <wp:extent cx="5266690" cy="2139950"/>
            <wp:effectExtent l="0" t="0" r="3810" b="6350"/>
            <wp:docPr id="91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图片 14"/>
                    <pic:cNvPicPr>
                      <a:picLocks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139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4A0C27">
      <w:pPr>
        <w:widowControl w:val="0"/>
        <w:adjustRightInd/>
        <w:snapToGrid/>
        <w:spacing w:before="62" w:beforeLines="20" w:after="62" w:afterLines="20" w:line="360" w:lineRule="auto"/>
        <w:ind w:firstLine="420" w:firstLineChars="200"/>
        <w:jc w:val="both"/>
      </w:pPr>
      <w:r>
        <w:drawing>
          <wp:inline distT="0" distB="0" distL="114300" distR="114300">
            <wp:extent cx="5266690" cy="2337435"/>
            <wp:effectExtent l="0" t="0" r="3810" b="12065"/>
            <wp:docPr id="92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图片 15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58D572">
      <w:pPr>
        <w:widowControl w:val="0"/>
        <w:adjustRightInd/>
        <w:snapToGrid/>
        <w:spacing w:before="62" w:beforeLines="20" w:after="62" w:afterLines="20" w:line="360" w:lineRule="auto"/>
        <w:ind w:firstLine="420" w:firstLineChars="200"/>
        <w:jc w:val="both"/>
        <w:rPr>
          <w:rFonts w:hint="default"/>
          <w:lang w:val="en-US" w:eastAsia="zh-CN"/>
        </w:rPr>
      </w:pPr>
      <w:r>
        <w:drawing>
          <wp:inline distT="0" distB="0" distL="114300" distR="114300">
            <wp:extent cx="5266690" cy="2337435"/>
            <wp:effectExtent l="0" t="0" r="3810" b="12065"/>
            <wp:docPr id="93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图片 16"/>
                    <pic:cNvPicPr>
                      <a:picLocks noChangeAspect="1"/>
                    </pic:cNvPicPr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816523">
      <w:pPr>
        <w:widowControl w:val="0"/>
        <w:adjustRightInd/>
        <w:snapToGrid/>
        <w:spacing w:before="62" w:beforeLines="20" w:after="62" w:afterLines="20" w:line="360" w:lineRule="auto"/>
        <w:ind w:firstLine="482" w:firstLineChars="200"/>
        <w:jc w:val="both"/>
        <w:rPr>
          <w:rFonts w:hint="default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b/>
          <w:bCs/>
          <w:kern w:val="2"/>
          <w:sz w:val="24"/>
          <w:szCs w:val="24"/>
          <w:lang w:val="en-US" w:eastAsia="zh-CN"/>
        </w:rPr>
        <w:t>交易中心部长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点击菜单“恢复交易&gt; 审核项目更正”，点击“审核”按钮，进入更正处理页，检查无误后，点击“审核通过”按钮，流程流转至主任审核；如需修改，点击“退回”按钮，退回至发起项目更正环节。</w:t>
      </w:r>
    </w:p>
    <w:p w14:paraId="0DCBBC5E">
      <w:r>
        <w:drawing>
          <wp:inline distT="0" distB="0" distL="114300" distR="114300">
            <wp:extent cx="5266690" cy="1695450"/>
            <wp:effectExtent l="0" t="0" r="3810" b="6350"/>
            <wp:docPr id="94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图片 17"/>
                    <pic:cNvPicPr>
                      <a:picLocks noChangeAspect="1"/>
                    </pic:cNvPicPr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69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FB9A2C">
      <w:r>
        <w:drawing>
          <wp:inline distT="0" distB="0" distL="114300" distR="114300">
            <wp:extent cx="5266690" cy="2337435"/>
            <wp:effectExtent l="0" t="0" r="3810" b="12065"/>
            <wp:docPr id="95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图片 18"/>
                    <pic:cNvPicPr>
                      <a:picLocks noChangeAspect="1"/>
                    </pic:cNvPicPr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317F16">
      <w:r>
        <w:drawing>
          <wp:inline distT="0" distB="0" distL="114300" distR="114300">
            <wp:extent cx="5266690" cy="2337435"/>
            <wp:effectExtent l="0" t="0" r="3810" b="12065"/>
            <wp:docPr id="96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图片 19"/>
                    <pic:cNvPicPr>
                      <a:picLocks noChangeAspect="1"/>
                    </pic:cNvPicPr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10FE3F">
      <w:pPr>
        <w:widowControl w:val="0"/>
        <w:adjustRightInd/>
        <w:snapToGrid/>
        <w:spacing w:before="62" w:beforeLines="20" w:after="62" w:afterLines="20" w:line="360" w:lineRule="auto"/>
        <w:ind w:firstLine="482" w:firstLineChars="200"/>
        <w:jc w:val="both"/>
        <w:rPr>
          <w:rFonts w:hint="default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b/>
          <w:bCs/>
          <w:kern w:val="2"/>
          <w:sz w:val="24"/>
          <w:szCs w:val="24"/>
          <w:lang w:val="en-US" w:eastAsia="zh-CN"/>
        </w:rPr>
        <w:t>交易中心主任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点击菜单“更正交易&gt; 审批项目更正”，点击“审批”按钮，进入更正处理页，检查无误后，点击“审批通过”按钮，审批流程通过；如需修改，点击“退回”按钮，退回至发起项目更正环节。</w:t>
      </w:r>
    </w:p>
    <w:p w14:paraId="6066FEC4">
      <w:r>
        <w:drawing>
          <wp:inline distT="0" distB="0" distL="114300" distR="114300">
            <wp:extent cx="5266690" cy="1978025"/>
            <wp:effectExtent l="0" t="0" r="3810" b="3175"/>
            <wp:docPr id="97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图片 20"/>
                    <pic:cNvPicPr>
                      <a:picLocks noChangeAspect="1"/>
                    </pic:cNvPicPr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978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2A017E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66690" cy="2337435"/>
            <wp:effectExtent l="0" t="0" r="3810" b="12065"/>
            <wp:docPr id="98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21"/>
                    <pic:cNvPicPr>
                      <a:picLocks noChangeAspect="1"/>
                    </pic:cNvPicPr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6690" cy="2337435"/>
            <wp:effectExtent l="0" t="0" r="3810" b="12065"/>
            <wp:docPr id="99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图片 22"/>
                    <pic:cNvPicPr>
                      <a:picLocks noChangeAspect="1"/>
                    </pic:cNvPicPr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3C5DA2">
      <w:pPr>
        <w:pStyle w:val="3"/>
        <w:numPr>
          <w:ilvl w:val="1"/>
          <w:numId w:val="1"/>
        </w:numPr>
        <w:ind w:left="567" w:leftChars="0" w:hanging="567" w:firstLineChars="0"/>
        <w:rPr>
          <w:rFonts w:hint="default" w:ascii="宋体" w:hAnsi="宋体" w:eastAsia="宋体"/>
          <w:lang w:val="en-US" w:eastAsia="zh-CN"/>
        </w:rPr>
      </w:pPr>
      <w:bookmarkStart w:id="27" w:name="_Toc1009"/>
      <w:r>
        <w:rPr>
          <w:rFonts w:hint="eastAsia" w:ascii="宋体" w:hAnsi="宋体" w:eastAsia="宋体"/>
          <w:lang w:val="en-US" w:eastAsia="zh-CN"/>
        </w:rPr>
        <w:t>终止交易</w:t>
      </w:r>
      <w:bookmarkEnd w:id="27"/>
    </w:p>
    <w:p w14:paraId="52161552">
      <w:pPr>
        <w:widowControl w:val="0"/>
        <w:adjustRightInd/>
        <w:snapToGrid/>
        <w:spacing w:before="62" w:beforeLines="20" w:after="62" w:afterLines="20" w:line="360" w:lineRule="auto"/>
        <w:ind w:firstLine="482" w:firstLineChars="200"/>
        <w:jc w:val="both"/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b/>
          <w:bCs/>
          <w:kern w:val="2"/>
          <w:sz w:val="24"/>
          <w:szCs w:val="24"/>
          <w:lang w:val="en-US" w:eastAsia="zh-CN"/>
        </w:rPr>
        <w:t>委托方发起流程：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委托方发起——经办审核——部长审核——分管审核——主任审核；</w:t>
      </w:r>
    </w:p>
    <w:p w14:paraId="39CC300A">
      <w:pPr>
        <w:widowControl w:val="0"/>
        <w:adjustRightInd/>
        <w:snapToGrid/>
        <w:spacing w:before="62" w:beforeLines="20" w:after="62" w:afterLines="20" w:line="360" w:lineRule="auto"/>
        <w:ind w:firstLine="482" w:firstLineChars="200"/>
        <w:jc w:val="both"/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b/>
          <w:bCs/>
          <w:kern w:val="2"/>
          <w:sz w:val="24"/>
          <w:szCs w:val="24"/>
          <w:lang w:val="en-US" w:eastAsia="zh-CN"/>
        </w:rPr>
        <w:t>中心经办发起流程：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经办人发起——经办审核——部长审核——分管审核——主任审核；</w:t>
      </w:r>
    </w:p>
    <w:p w14:paraId="64DECAD8">
      <w:pPr>
        <w:widowControl w:val="0"/>
        <w:adjustRightInd/>
        <w:snapToGrid/>
        <w:spacing w:before="62" w:beforeLines="20" w:after="62" w:afterLines="20" w:line="360" w:lineRule="auto"/>
        <w:ind w:firstLine="482" w:firstLineChars="200"/>
        <w:jc w:val="both"/>
        <w:rPr>
          <w:rFonts w:hint="eastAsia" w:ascii="宋体" w:hAnsi="宋体" w:eastAsia="宋体" w:cs="Times New Roman"/>
          <w:b/>
          <w:bCs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b/>
          <w:bCs/>
          <w:kern w:val="2"/>
          <w:sz w:val="24"/>
          <w:szCs w:val="24"/>
          <w:lang w:val="en-US" w:eastAsia="zh-CN"/>
        </w:rPr>
        <w:t>2.11.1 中心经办发起终止</w:t>
      </w:r>
    </w:p>
    <w:p w14:paraId="4A4904C8"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eastAsia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点击菜单“终止交易&gt; 发起项目终止”，点击“新增交易终止”按钮，选择好项目，点击“编辑”按钮，进入终止处理页，编辑终止公告标题及公告；如有附件，在终止公告附件处点击“上传附件”。填写完成后，点击“提交申请”按钮，流程流转到中心经办处理。</w:t>
      </w:r>
    </w:p>
    <w:p w14:paraId="1C18D3AC">
      <w:pPr>
        <w:widowControl w:val="0"/>
        <w:adjustRightInd/>
        <w:snapToGrid/>
        <w:spacing w:before="62" w:beforeLines="20" w:after="62" w:afterLines="20" w:line="360" w:lineRule="auto"/>
        <w:jc w:val="both"/>
      </w:pPr>
      <w:r>
        <w:drawing>
          <wp:inline distT="0" distB="0" distL="114300" distR="114300">
            <wp:extent cx="5266690" cy="1974850"/>
            <wp:effectExtent l="0" t="0" r="3810" b="6350"/>
            <wp:docPr id="10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图片 1"/>
                    <pic:cNvPicPr>
                      <a:picLocks noChangeAspect="1"/>
                    </pic:cNvPicPr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97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561333">
      <w:pPr>
        <w:widowControl w:val="0"/>
        <w:adjustRightInd/>
        <w:snapToGrid/>
        <w:spacing w:before="62" w:beforeLines="20" w:after="62" w:afterLines="20" w:line="360" w:lineRule="auto"/>
        <w:jc w:val="both"/>
      </w:pPr>
      <w:r>
        <w:drawing>
          <wp:inline distT="0" distB="0" distL="114300" distR="114300">
            <wp:extent cx="5266690" cy="1000125"/>
            <wp:effectExtent l="0" t="0" r="3810" b="3175"/>
            <wp:docPr id="10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图片 2"/>
                    <pic:cNvPicPr>
                      <a:picLocks noChangeAspect="1"/>
                    </pic:cNvPicPr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00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C0B821">
      <w:pPr>
        <w:widowControl w:val="0"/>
        <w:adjustRightInd/>
        <w:snapToGrid/>
        <w:spacing w:before="62" w:beforeLines="20" w:after="62" w:afterLines="20" w:line="360" w:lineRule="auto"/>
        <w:jc w:val="both"/>
        <w:rPr>
          <w:rFonts w:hint="default"/>
          <w:lang w:val="en-US" w:eastAsia="zh-CN"/>
        </w:rPr>
      </w:pPr>
      <w:r>
        <w:drawing>
          <wp:inline distT="0" distB="0" distL="114300" distR="114300">
            <wp:extent cx="5266690" cy="2337435"/>
            <wp:effectExtent l="0" t="0" r="3810" b="12065"/>
            <wp:docPr id="10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图片 3"/>
                    <pic:cNvPicPr>
                      <a:picLocks noChangeAspect="1"/>
                    </pic:cNvPicPr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827561">
      <w:pPr>
        <w:rPr>
          <w:rFonts w:hint="eastAsia" w:ascii="宋体" w:hAnsi="宋体" w:eastAsia="宋体" w:cs="Times New Roman"/>
          <w:b/>
          <w:bCs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b/>
          <w:bCs/>
          <w:kern w:val="2"/>
          <w:sz w:val="24"/>
          <w:szCs w:val="24"/>
          <w:lang w:val="en-US" w:eastAsia="zh-CN"/>
        </w:rPr>
        <w:t>2.11.2项目更正受理（经办-部长-分管领导-主任）</w:t>
      </w:r>
    </w:p>
    <w:p w14:paraId="0E757B9E">
      <w:pPr>
        <w:widowControl w:val="0"/>
        <w:adjustRightInd/>
        <w:snapToGrid/>
        <w:spacing w:before="62" w:beforeLines="20" w:after="62" w:afterLines="20" w:line="360" w:lineRule="auto"/>
        <w:ind w:firstLine="482" w:firstLineChars="200"/>
        <w:jc w:val="both"/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b/>
          <w:bCs/>
          <w:kern w:val="2"/>
          <w:sz w:val="24"/>
          <w:szCs w:val="24"/>
          <w:lang w:val="en-US" w:eastAsia="zh-CN"/>
        </w:rPr>
        <w:t>交易中心经办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点击菜单“终止交易&gt; 项目终止受理”，点击“受理”按钮，进入终止处理页，检查无误后，点击“受理通过”按钮，流程流转至部长审核；如需修改，点击“退回”按钮，退回至发起项目终止环节。</w:t>
      </w:r>
    </w:p>
    <w:p w14:paraId="79496238">
      <w:r>
        <w:drawing>
          <wp:inline distT="0" distB="0" distL="114300" distR="114300">
            <wp:extent cx="5266690" cy="1994535"/>
            <wp:effectExtent l="0" t="0" r="3810" b="12065"/>
            <wp:docPr id="10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图片 2"/>
                    <pic:cNvPicPr>
                      <a:picLocks noChangeAspect="1"/>
                    </pic:cNvPicPr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994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32C415">
      <w:r>
        <w:drawing>
          <wp:inline distT="0" distB="0" distL="114300" distR="114300">
            <wp:extent cx="5266690" cy="2337435"/>
            <wp:effectExtent l="0" t="0" r="3810" b="12065"/>
            <wp:docPr id="10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图片 3"/>
                    <pic:cNvPicPr>
                      <a:picLocks noChangeAspect="1"/>
                    </pic:cNvPicPr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B21FA0">
      <w:r>
        <w:drawing>
          <wp:inline distT="0" distB="0" distL="114300" distR="114300">
            <wp:extent cx="5266690" cy="2337435"/>
            <wp:effectExtent l="0" t="0" r="3810" b="12065"/>
            <wp:docPr id="10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图片 4"/>
                    <pic:cNvPicPr>
                      <a:picLocks noChangeAspect="1"/>
                    </pic:cNvPicPr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2EB9E9">
      <w:pPr>
        <w:widowControl w:val="0"/>
        <w:adjustRightInd/>
        <w:snapToGrid/>
        <w:spacing w:before="62" w:beforeLines="20" w:after="62" w:afterLines="20" w:line="360" w:lineRule="auto"/>
        <w:ind w:firstLine="482" w:firstLineChars="200"/>
        <w:jc w:val="both"/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b/>
          <w:bCs/>
          <w:kern w:val="2"/>
          <w:sz w:val="24"/>
          <w:szCs w:val="24"/>
          <w:lang w:val="en-US" w:eastAsia="zh-CN"/>
        </w:rPr>
        <w:t>交易中心部长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点击菜单“终止交易&gt; 项目终止审核”，点击“审核”按钮，进入终止处理页，检查无误后，点击“审核通过”按钮，流程流转至主任审批；如需修改，点击“退回”按钮，退回至发起项目终止环节。</w:t>
      </w:r>
    </w:p>
    <w:p w14:paraId="115C0BCA">
      <w:pPr>
        <w:widowControl w:val="0"/>
        <w:adjustRightInd/>
        <w:snapToGrid/>
        <w:spacing w:before="62" w:beforeLines="20" w:after="62" w:afterLines="20" w:line="360" w:lineRule="auto"/>
        <w:ind w:firstLine="420" w:firstLineChars="200"/>
        <w:jc w:val="both"/>
      </w:pPr>
      <w:r>
        <w:drawing>
          <wp:inline distT="0" distB="0" distL="114300" distR="114300">
            <wp:extent cx="5266690" cy="1720215"/>
            <wp:effectExtent l="0" t="0" r="3810" b="6985"/>
            <wp:docPr id="10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图片 5"/>
                    <pic:cNvPicPr>
                      <a:picLocks noChangeAspect="1"/>
                    </pic:cNvPicPr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720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CB52F3">
      <w:pPr>
        <w:widowControl w:val="0"/>
        <w:adjustRightInd/>
        <w:snapToGrid/>
        <w:spacing w:before="62" w:beforeLines="20" w:after="62" w:afterLines="20" w:line="360" w:lineRule="auto"/>
        <w:ind w:firstLine="420" w:firstLineChars="200"/>
        <w:jc w:val="both"/>
      </w:pPr>
      <w:r>
        <w:drawing>
          <wp:inline distT="0" distB="0" distL="114300" distR="114300">
            <wp:extent cx="5266690" cy="2337435"/>
            <wp:effectExtent l="0" t="0" r="3810" b="12065"/>
            <wp:docPr id="10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图片 6"/>
                    <pic:cNvPicPr>
                      <a:picLocks noChangeAspect="1"/>
                    </pic:cNvPicPr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01A0AE">
      <w:pPr>
        <w:widowControl w:val="0"/>
        <w:adjustRightInd/>
        <w:snapToGrid/>
        <w:spacing w:before="62" w:beforeLines="20" w:after="62" w:afterLines="20" w:line="360" w:lineRule="auto"/>
        <w:ind w:firstLine="420" w:firstLineChars="200"/>
        <w:jc w:val="both"/>
        <w:rPr>
          <w:rFonts w:hint="default"/>
          <w:lang w:val="en-US" w:eastAsia="zh-CN"/>
        </w:rPr>
      </w:pPr>
      <w:r>
        <w:drawing>
          <wp:inline distT="0" distB="0" distL="114300" distR="114300">
            <wp:extent cx="5266690" cy="2337435"/>
            <wp:effectExtent l="0" t="0" r="3810" b="12065"/>
            <wp:docPr id="10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图片 7"/>
                    <pic:cNvPicPr>
                      <a:picLocks noChangeAspect="1"/>
                    </pic:cNvPicPr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F71F38">
      <w:pPr>
        <w:widowControl w:val="0"/>
        <w:adjustRightInd/>
        <w:snapToGrid/>
        <w:spacing w:before="62" w:beforeLines="20" w:after="62" w:afterLines="20" w:line="360" w:lineRule="auto"/>
        <w:ind w:firstLine="482" w:firstLineChars="200"/>
        <w:jc w:val="both"/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b/>
          <w:bCs/>
          <w:kern w:val="2"/>
          <w:sz w:val="24"/>
          <w:szCs w:val="24"/>
          <w:lang w:val="en-US" w:eastAsia="zh-CN"/>
        </w:rPr>
        <w:t>交易中心主任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点击菜单“终止交易&gt; 项目终止审批”，点击“审批”按钮，进入终止处理页，检查无误后，点击“审批通过”按钮，审批流程通过；如需修改，点击“退回”按钮，退回至发起项目终止环节。</w:t>
      </w:r>
    </w:p>
    <w:p w14:paraId="3148E4BC">
      <w:pPr>
        <w:rPr>
          <w:rFonts w:hint="default"/>
          <w:lang w:val="en-US" w:eastAsia="zh-CN"/>
        </w:rPr>
      </w:pPr>
    </w:p>
    <w:p w14:paraId="1C68891E">
      <w:r>
        <w:drawing>
          <wp:inline distT="0" distB="0" distL="114300" distR="114300">
            <wp:extent cx="5266690" cy="2007870"/>
            <wp:effectExtent l="0" t="0" r="3810" b="11430"/>
            <wp:docPr id="10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图片 8"/>
                    <pic:cNvPicPr>
                      <a:picLocks noChangeAspect="1"/>
                    </pic:cNvPicPr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007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D5A243">
      <w:r>
        <w:drawing>
          <wp:inline distT="0" distB="0" distL="114300" distR="114300">
            <wp:extent cx="5266690" cy="2337435"/>
            <wp:effectExtent l="0" t="0" r="3810" b="12065"/>
            <wp:docPr id="11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图片 9"/>
                    <pic:cNvPicPr>
                      <a:picLocks noChangeAspect="1"/>
                    </pic:cNvPicPr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8FF192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6690" cy="2337435"/>
            <wp:effectExtent l="0" t="0" r="3810" b="12065"/>
            <wp:docPr id="11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图片 10"/>
                    <pic:cNvPicPr>
                      <a:picLocks noChangeAspect="1"/>
                    </pic:cNvPicPr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338D42">
      <w:pPr>
        <w:pStyle w:val="3"/>
        <w:numPr>
          <w:ilvl w:val="1"/>
          <w:numId w:val="1"/>
        </w:numPr>
        <w:ind w:left="567" w:leftChars="0" w:hanging="567" w:firstLineChars="0"/>
        <w:rPr>
          <w:rFonts w:hint="eastAsia" w:ascii="宋体" w:hAnsi="宋体" w:eastAsia="宋体"/>
        </w:rPr>
      </w:pPr>
      <w:bookmarkStart w:id="28" w:name="_Toc6285"/>
      <w:bookmarkStart w:id="29" w:name="_Toc1047"/>
      <w:r>
        <w:rPr>
          <w:rFonts w:hint="eastAsia" w:ascii="宋体" w:hAnsi="宋体" w:eastAsia="宋体"/>
        </w:rPr>
        <w:t>技术支持</w:t>
      </w:r>
      <w:bookmarkEnd w:id="28"/>
      <w:bookmarkEnd w:id="29"/>
    </w:p>
    <w:p w14:paraId="3F970205">
      <w:pPr>
        <w:spacing w:before="62" w:beforeLines="20" w:after="62" w:afterLines="20" w:line="360" w:lineRule="auto"/>
        <w:ind w:firstLine="480" w:firstLineChars="200"/>
        <w:rPr>
          <w:rFonts w:hint="default" w:ascii="宋体" w:hAnsi="宋体" w:eastAsia="宋体" w:cs="Times New Roman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sz w:val="24"/>
          <w:szCs w:val="24"/>
        </w:rPr>
        <w:t>技术支持联系人：</w:t>
      </w: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苏工</w:t>
      </w:r>
    </w:p>
    <w:p w14:paraId="5490913B">
      <w:pPr>
        <w:spacing w:before="62" w:beforeLines="20" w:after="62" w:afterLines="20" w:line="360" w:lineRule="auto"/>
        <w:ind w:firstLine="480" w:firstLineChars="200"/>
        <w:rPr>
          <w:rFonts w:hint="default" w:ascii="宋体" w:hAnsi="宋体" w:eastAsia="宋体" w:cs="Times New Roman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sz w:val="24"/>
          <w:szCs w:val="24"/>
        </w:rPr>
        <w:t>电话：</w:t>
      </w: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13536498728</w:t>
      </w:r>
      <w:bookmarkStart w:id="30" w:name="_GoBack"/>
      <w:bookmarkEnd w:id="30"/>
    </w:p>
    <w:p w14:paraId="4450A779">
      <w:pPr>
        <w:spacing w:before="62" w:beforeLines="20" w:after="62" w:afterLines="20" w:line="360" w:lineRule="auto"/>
        <w:ind w:firstLine="480" w:firstLineChars="200"/>
        <w:rPr>
          <w:rFonts w:ascii="宋体" w:hAnsi="宋体" w:eastAsia="宋体" w:cs="Times New Roman"/>
          <w:sz w:val="24"/>
          <w:szCs w:val="24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Calibri Light">
    <w:panose1 w:val="020F0302020204030204"/>
    <w:charset w:val="00"/>
    <w:family w:val="swiss"/>
    <w:pitch w:val="default"/>
    <w:sig w:usb0="E4002EFF" w:usb1="C200247B" w:usb2="00000009" w:usb3="00000000" w:csb0="200001F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D5C10C94"/>
    <w:multiLevelType w:val="multilevel"/>
    <w:tmpl w:val="D5C10C94"/>
    <w:lvl w:ilvl="0" w:tentative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  <w:lvl w:ilvl="1" w:tentative="0">
      <w:start w:val="1"/>
      <w:numFmt w:val="decimal"/>
      <w:lvlText w:val="%1.%2."/>
      <w:lvlJc w:val="left"/>
      <w:pPr>
        <w:ind w:left="567" w:hanging="567"/>
      </w:pPr>
      <w:rPr>
        <w:rFonts w:hint="default"/>
      </w:rPr>
    </w:lvl>
    <w:lvl w:ilvl="2" w:tentative="0">
      <w:start w:val="1"/>
      <w:numFmt w:val="decimal"/>
      <w:lvlText w:val="%1.%2.%3."/>
      <w:lvlJc w:val="left"/>
      <w:pPr>
        <w:ind w:left="709" w:hanging="709"/>
      </w:pPr>
      <w:rPr>
        <w:rFonts w:hint="default"/>
      </w:rPr>
    </w:lvl>
    <w:lvl w:ilvl="3" w:tentative="0">
      <w:start w:val="1"/>
      <w:numFmt w:val="decimal"/>
      <w:lvlText w:val="%1.%2.%3.%4."/>
      <w:lvlJc w:val="left"/>
      <w:pPr>
        <w:ind w:left="850" w:hanging="850"/>
      </w:pPr>
      <w:rPr>
        <w:rFonts w:hint="default"/>
      </w:rPr>
    </w:lvl>
    <w:lvl w:ilvl="4" w:tentative="0">
      <w:start w:val="1"/>
      <w:numFmt w:val="decimal"/>
      <w:lvlText w:val="%1.%2.%3.%4.%5."/>
      <w:lvlJc w:val="left"/>
      <w:pPr>
        <w:ind w:left="991" w:hanging="991"/>
      </w:pPr>
      <w:rPr>
        <w:rFonts w:hint="default"/>
      </w:rPr>
    </w:lvl>
    <w:lvl w:ilvl="5" w:tentative="0">
      <w:start w:val="1"/>
      <w:numFmt w:val="decimal"/>
      <w:lvlText w:val="%1.%2.%3.%4.%5.%6."/>
      <w:lvlJc w:val="left"/>
      <w:pPr>
        <w:ind w:left="1134" w:hanging="1134"/>
      </w:pPr>
      <w:rPr>
        <w:rFonts w:hint="default"/>
      </w:rPr>
    </w:lvl>
    <w:lvl w:ilvl="6" w:tentative="0">
      <w:start w:val="1"/>
      <w:numFmt w:val="decimal"/>
      <w:lvlText w:val="%1.%2.%3.%4.%5.%6.%7."/>
      <w:lvlJc w:val="left"/>
      <w:pPr>
        <w:ind w:left="1275" w:hanging="1275"/>
      </w:pPr>
      <w:rPr>
        <w:rFonts w:hint="default"/>
      </w:rPr>
    </w:lvl>
    <w:lvl w:ilvl="7" w:tentative="0">
      <w:start w:val="1"/>
      <w:numFmt w:val="decimal"/>
      <w:lvlText w:val="%1.%2.%3.%4.%5.%6.%7.%8."/>
      <w:lvlJc w:val="left"/>
      <w:pPr>
        <w:ind w:left="1418" w:hanging="1418"/>
      </w:pPr>
      <w:rPr>
        <w:rFonts w:hint="default"/>
      </w:rPr>
    </w:lvl>
    <w:lvl w:ilvl="8" w:tentative="0">
      <w:start w:val="1"/>
      <w:numFmt w:val="decimal"/>
      <w:lvlText w:val="%1.%2.%3.%4.%5.%6.%7.%8.%9."/>
      <w:lvlJc w:val="left"/>
      <w:pPr>
        <w:ind w:left="1558" w:hanging="1558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ZmE2M2I5ODA2ZGEyZTlmMDdlZWMwOTg0ZjRhZjcyMDcifQ=="/>
  </w:docVars>
  <w:rsids>
    <w:rsidRoot w:val="00215986"/>
    <w:rsid w:val="00010C22"/>
    <w:rsid w:val="00013B41"/>
    <w:rsid w:val="00034C62"/>
    <w:rsid w:val="00042BE5"/>
    <w:rsid w:val="000472D3"/>
    <w:rsid w:val="000474BF"/>
    <w:rsid w:val="0009024C"/>
    <w:rsid w:val="000A4C77"/>
    <w:rsid w:val="000C4FEA"/>
    <w:rsid w:val="000C7009"/>
    <w:rsid w:val="000D462E"/>
    <w:rsid w:val="000F4908"/>
    <w:rsid w:val="00107E89"/>
    <w:rsid w:val="00121094"/>
    <w:rsid w:val="001253FD"/>
    <w:rsid w:val="00172581"/>
    <w:rsid w:val="0017361C"/>
    <w:rsid w:val="00183628"/>
    <w:rsid w:val="001B62F4"/>
    <w:rsid w:val="001C4D22"/>
    <w:rsid w:val="001E549F"/>
    <w:rsid w:val="001E6CDC"/>
    <w:rsid w:val="00215986"/>
    <w:rsid w:val="002217F2"/>
    <w:rsid w:val="002311F3"/>
    <w:rsid w:val="002361DA"/>
    <w:rsid w:val="002444D2"/>
    <w:rsid w:val="002578B5"/>
    <w:rsid w:val="00266A0F"/>
    <w:rsid w:val="00290597"/>
    <w:rsid w:val="002E13B8"/>
    <w:rsid w:val="00300BF4"/>
    <w:rsid w:val="00320D64"/>
    <w:rsid w:val="00322720"/>
    <w:rsid w:val="00323C3F"/>
    <w:rsid w:val="00343A46"/>
    <w:rsid w:val="003504DA"/>
    <w:rsid w:val="00350622"/>
    <w:rsid w:val="00386028"/>
    <w:rsid w:val="00391C4B"/>
    <w:rsid w:val="003A11F1"/>
    <w:rsid w:val="003A2D35"/>
    <w:rsid w:val="003A357E"/>
    <w:rsid w:val="003A4832"/>
    <w:rsid w:val="003B1983"/>
    <w:rsid w:val="003B5E4A"/>
    <w:rsid w:val="003C061B"/>
    <w:rsid w:val="003C67FC"/>
    <w:rsid w:val="003D0090"/>
    <w:rsid w:val="003E565E"/>
    <w:rsid w:val="003F393F"/>
    <w:rsid w:val="003F42F8"/>
    <w:rsid w:val="003F7B53"/>
    <w:rsid w:val="00406B55"/>
    <w:rsid w:val="00413DA1"/>
    <w:rsid w:val="00415796"/>
    <w:rsid w:val="00435613"/>
    <w:rsid w:val="0044139C"/>
    <w:rsid w:val="00446139"/>
    <w:rsid w:val="004531E6"/>
    <w:rsid w:val="004553F9"/>
    <w:rsid w:val="00474D61"/>
    <w:rsid w:val="0049173A"/>
    <w:rsid w:val="00497F11"/>
    <w:rsid w:val="004B2ACB"/>
    <w:rsid w:val="004B643C"/>
    <w:rsid w:val="004C59BC"/>
    <w:rsid w:val="00500FC7"/>
    <w:rsid w:val="0050182D"/>
    <w:rsid w:val="00505247"/>
    <w:rsid w:val="0050544D"/>
    <w:rsid w:val="00507041"/>
    <w:rsid w:val="005126AB"/>
    <w:rsid w:val="005205A2"/>
    <w:rsid w:val="00521697"/>
    <w:rsid w:val="00560E88"/>
    <w:rsid w:val="00571D2C"/>
    <w:rsid w:val="0058479D"/>
    <w:rsid w:val="005927C7"/>
    <w:rsid w:val="005A75AB"/>
    <w:rsid w:val="005B7F03"/>
    <w:rsid w:val="005D3580"/>
    <w:rsid w:val="005E42EE"/>
    <w:rsid w:val="005F0DF4"/>
    <w:rsid w:val="005F3A33"/>
    <w:rsid w:val="005F47DF"/>
    <w:rsid w:val="005F5833"/>
    <w:rsid w:val="006005B4"/>
    <w:rsid w:val="006027A8"/>
    <w:rsid w:val="0063234C"/>
    <w:rsid w:val="00643139"/>
    <w:rsid w:val="00650F62"/>
    <w:rsid w:val="0068585E"/>
    <w:rsid w:val="00694A0C"/>
    <w:rsid w:val="006A10DE"/>
    <w:rsid w:val="006A35D9"/>
    <w:rsid w:val="006B0011"/>
    <w:rsid w:val="006B7E3F"/>
    <w:rsid w:val="006F4C72"/>
    <w:rsid w:val="0070735A"/>
    <w:rsid w:val="00717458"/>
    <w:rsid w:val="00732918"/>
    <w:rsid w:val="0074189F"/>
    <w:rsid w:val="00762DDD"/>
    <w:rsid w:val="00767FCB"/>
    <w:rsid w:val="00774E2E"/>
    <w:rsid w:val="00777CE8"/>
    <w:rsid w:val="0079112B"/>
    <w:rsid w:val="007A42CC"/>
    <w:rsid w:val="007B2A90"/>
    <w:rsid w:val="007C3573"/>
    <w:rsid w:val="0080074F"/>
    <w:rsid w:val="0081146A"/>
    <w:rsid w:val="0081632C"/>
    <w:rsid w:val="00845E34"/>
    <w:rsid w:val="0085086B"/>
    <w:rsid w:val="008665B8"/>
    <w:rsid w:val="008820A6"/>
    <w:rsid w:val="008939E6"/>
    <w:rsid w:val="008A2006"/>
    <w:rsid w:val="008B3096"/>
    <w:rsid w:val="008B44CA"/>
    <w:rsid w:val="008B4577"/>
    <w:rsid w:val="008B7EA5"/>
    <w:rsid w:val="008D1B27"/>
    <w:rsid w:val="008F0A5E"/>
    <w:rsid w:val="00900DEA"/>
    <w:rsid w:val="0090563B"/>
    <w:rsid w:val="009107D1"/>
    <w:rsid w:val="0092193F"/>
    <w:rsid w:val="0092492F"/>
    <w:rsid w:val="0093444D"/>
    <w:rsid w:val="00951D34"/>
    <w:rsid w:val="00972047"/>
    <w:rsid w:val="00987ED8"/>
    <w:rsid w:val="009C34FA"/>
    <w:rsid w:val="009F17F0"/>
    <w:rsid w:val="009F5F10"/>
    <w:rsid w:val="00A003E9"/>
    <w:rsid w:val="00A1021A"/>
    <w:rsid w:val="00A10360"/>
    <w:rsid w:val="00A22F72"/>
    <w:rsid w:val="00A23D37"/>
    <w:rsid w:val="00A52E65"/>
    <w:rsid w:val="00A704A6"/>
    <w:rsid w:val="00AB35A6"/>
    <w:rsid w:val="00AD793E"/>
    <w:rsid w:val="00AE0409"/>
    <w:rsid w:val="00AE273B"/>
    <w:rsid w:val="00AE65EB"/>
    <w:rsid w:val="00AE6BF2"/>
    <w:rsid w:val="00AF32F3"/>
    <w:rsid w:val="00AF638B"/>
    <w:rsid w:val="00B02DAB"/>
    <w:rsid w:val="00B50DB7"/>
    <w:rsid w:val="00B758FC"/>
    <w:rsid w:val="00B859DD"/>
    <w:rsid w:val="00B96487"/>
    <w:rsid w:val="00BA3113"/>
    <w:rsid w:val="00BA5A77"/>
    <w:rsid w:val="00BA6D47"/>
    <w:rsid w:val="00BB52E4"/>
    <w:rsid w:val="00BD10B6"/>
    <w:rsid w:val="00BE0DCB"/>
    <w:rsid w:val="00C0033A"/>
    <w:rsid w:val="00C12272"/>
    <w:rsid w:val="00C171BF"/>
    <w:rsid w:val="00C21DD8"/>
    <w:rsid w:val="00C270C1"/>
    <w:rsid w:val="00C343C1"/>
    <w:rsid w:val="00C47D4D"/>
    <w:rsid w:val="00C5388F"/>
    <w:rsid w:val="00C55CA2"/>
    <w:rsid w:val="00C56851"/>
    <w:rsid w:val="00C570EF"/>
    <w:rsid w:val="00C63181"/>
    <w:rsid w:val="00C638C6"/>
    <w:rsid w:val="00C657B0"/>
    <w:rsid w:val="00C65E60"/>
    <w:rsid w:val="00C931F7"/>
    <w:rsid w:val="00C95128"/>
    <w:rsid w:val="00CA2E7E"/>
    <w:rsid w:val="00CB7E0F"/>
    <w:rsid w:val="00CC3534"/>
    <w:rsid w:val="00CD03D0"/>
    <w:rsid w:val="00CD47ED"/>
    <w:rsid w:val="00CD5651"/>
    <w:rsid w:val="00CE26D0"/>
    <w:rsid w:val="00D2573C"/>
    <w:rsid w:val="00D40691"/>
    <w:rsid w:val="00D504CE"/>
    <w:rsid w:val="00D618BE"/>
    <w:rsid w:val="00D7487C"/>
    <w:rsid w:val="00D759AF"/>
    <w:rsid w:val="00D9656F"/>
    <w:rsid w:val="00DC0D58"/>
    <w:rsid w:val="00DD4478"/>
    <w:rsid w:val="00DE0848"/>
    <w:rsid w:val="00E15232"/>
    <w:rsid w:val="00E205FD"/>
    <w:rsid w:val="00E25C28"/>
    <w:rsid w:val="00E2709F"/>
    <w:rsid w:val="00E27ED8"/>
    <w:rsid w:val="00E35DD3"/>
    <w:rsid w:val="00E407CE"/>
    <w:rsid w:val="00E80A94"/>
    <w:rsid w:val="00E8681C"/>
    <w:rsid w:val="00E92E6B"/>
    <w:rsid w:val="00E93B78"/>
    <w:rsid w:val="00F07650"/>
    <w:rsid w:val="00F1142F"/>
    <w:rsid w:val="00F32CDE"/>
    <w:rsid w:val="00F3552D"/>
    <w:rsid w:val="00F37B6A"/>
    <w:rsid w:val="00F5043C"/>
    <w:rsid w:val="00F7482B"/>
    <w:rsid w:val="00F80065"/>
    <w:rsid w:val="00F84DDD"/>
    <w:rsid w:val="00F9366F"/>
    <w:rsid w:val="00FB100B"/>
    <w:rsid w:val="00FB3A84"/>
    <w:rsid w:val="00FC67FE"/>
    <w:rsid w:val="00FD3171"/>
    <w:rsid w:val="00FD4293"/>
    <w:rsid w:val="00FD58AF"/>
    <w:rsid w:val="00FE1123"/>
    <w:rsid w:val="00FF78BA"/>
    <w:rsid w:val="022E0EF2"/>
    <w:rsid w:val="02BF7F2B"/>
    <w:rsid w:val="02C65825"/>
    <w:rsid w:val="04DA0918"/>
    <w:rsid w:val="057743B8"/>
    <w:rsid w:val="06053152"/>
    <w:rsid w:val="06507B85"/>
    <w:rsid w:val="06A628E5"/>
    <w:rsid w:val="06B84C89"/>
    <w:rsid w:val="06D66EBD"/>
    <w:rsid w:val="07DE071F"/>
    <w:rsid w:val="09502F56"/>
    <w:rsid w:val="0A6F752E"/>
    <w:rsid w:val="0A9B46A5"/>
    <w:rsid w:val="0C6753CA"/>
    <w:rsid w:val="0D3F57BC"/>
    <w:rsid w:val="0D527E22"/>
    <w:rsid w:val="0D913B3D"/>
    <w:rsid w:val="0DD34156"/>
    <w:rsid w:val="0EDD528C"/>
    <w:rsid w:val="101D3AB4"/>
    <w:rsid w:val="11D64215"/>
    <w:rsid w:val="141542F5"/>
    <w:rsid w:val="162C3563"/>
    <w:rsid w:val="163137A6"/>
    <w:rsid w:val="16971BEE"/>
    <w:rsid w:val="16F413C5"/>
    <w:rsid w:val="170D2487"/>
    <w:rsid w:val="182B2775"/>
    <w:rsid w:val="18583BD5"/>
    <w:rsid w:val="19526877"/>
    <w:rsid w:val="19766A09"/>
    <w:rsid w:val="1A5C5F55"/>
    <w:rsid w:val="1A9D0C17"/>
    <w:rsid w:val="1BA15893"/>
    <w:rsid w:val="1BEC4D61"/>
    <w:rsid w:val="1C930278"/>
    <w:rsid w:val="1CC25AC1"/>
    <w:rsid w:val="1D5E3A3C"/>
    <w:rsid w:val="1D777325"/>
    <w:rsid w:val="1D8334A3"/>
    <w:rsid w:val="1F6D61B8"/>
    <w:rsid w:val="1FD2426D"/>
    <w:rsid w:val="20931C4F"/>
    <w:rsid w:val="20B9542D"/>
    <w:rsid w:val="227635D6"/>
    <w:rsid w:val="22C05634"/>
    <w:rsid w:val="237946DC"/>
    <w:rsid w:val="23B57E06"/>
    <w:rsid w:val="244119C2"/>
    <w:rsid w:val="248024EA"/>
    <w:rsid w:val="251610A0"/>
    <w:rsid w:val="263A5446"/>
    <w:rsid w:val="2805356B"/>
    <w:rsid w:val="281B28A8"/>
    <w:rsid w:val="2A3C50FF"/>
    <w:rsid w:val="2B33475A"/>
    <w:rsid w:val="2B487ADA"/>
    <w:rsid w:val="2B4A1AA4"/>
    <w:rsid w:val="2BD70F3D"/>
    <w:rsid w:val="2BFF463C"/>
    <w:rsid w:val="2D220B48"/>
    <w:rsid w:val="2D76476A"/>
    <w:rsid w:val="2DE351DF"/>
    <w:rsid w:val="2E4E5407"/>
    <w:rsid w:val="2EE95130"/>
    <w:rsid w:val="317C228B"/>
    <w:rsid w:val="31F91B2E"/>
    <w:rsid w:val="333F7A14"/>
    <w:rsid w:val="33A3129A"/>
    <w:rsid w:val="34735BC7"/>
    <w:rsid w:val="35EB79DF"/>
    <w:rsid w:val="35FC1BEC"/>
    <w:rsid w:val="36213401"/>
    <w:rsid w:val="364517E5"/>
    <w:rsid w:val="365A197C"/>
    <w:rsid w:val="365D0515"/>
    <w:rsid w:val="36941E25"/>
    <w:rsid w:val="36BA686A"/>
    <w:rsid w:val="377C2FE5"/>
    <w:rsid w:val="383D7C89"/>
    <w:rsid w:val="384653A1"/>
    <w:rsid w:val="38502EC8"/>
    <w:rsid w:val="386A3388"/>
    <w:rsid w:val="387737AC"/>
    <w:rsid w:val="388D5293"/>
    <w:rsid w:val="39902D77"/>
    <w:rsid w:val="3A742699"/>
    <w:rsid w:val="3A9E14C4"/>
    <w:rsid w:val="3B141786"/>
    <w:rsid w:val="3D233F03"/>
    <w:rsid w:val="3D784803"/>
    <w:rsid w:val="3DA24BB0"/>
    <w:rsid w:val="3E7C1EAB"/>
    <w:rsid w:val="3F141D55"/>
    <w:rsid w:val="3F2226C4"/>
    <w:rsid w:val="411918A4"/>
    <w:rsid w:val="41AA074E"/>
    <w:rsid w:val="4262727B"/>
    <w:rsid w:val="435A5FC2"/>
    <w:rsid w:val="438A0837"/>
    <w:rsid w:val="43A57754"/>
    <w:rsid w:val="43BE1C86"/>
    <w:rsid w:val="46D71FE6"/>
    <w:rsid w:val="473A3A9A"/>
    <w:rsid w:val="4743767B"/>
    <w:rsid w:val="485B0EB0"/>
    <w:rsid w:val="48906307"/>
    <w:rsid w:val="48D04F3E"/>
    <w:rsid w:val="499F2B63"/>
    <w:rsid w:val="4A001853"/>
    <w:rsid w:val="4C177328"/>
    <w:rsid w:val="4DB074E0"/>
    <w:rsid w:val="4E0144A3"/>
    <w:rsid w:val="4E794D35"/>
    <w:rsid w:val="4F130782"/>
    <w:rsid w:val="4F2549B3"/>
    <w:rsid w:val="4F9500B3"/>
    <w:rsid w:val="50E35A2B"/>
    <w:rsid w:val="51190050"/>
    <w:rsid w:val="51E1640E"/>
    <w:rsid w:val="52102850"/>
    <w:rsid w:val="522B58DB"/>
    <w:rsid w:val="5335728F"/>
    <w:rsid w:val="53497F97"/>
    <w:rsid w:val="54313B3E"/>
    <w:rsid w:val="55A439DB"/>
    <w:rsid w:val="58D345D7"/>
    <w:rsid w:val="5913510C"/>
    <w:rsid w:val="5A8E07B6"/>
    <w:rsid w:val="5AA004E9"/>
    <w:rsid w:val="5AAD6442"/>
    <w:rsid w:val="5ABB385C"/>
    <w:rsid w:val="5AEE5FFD"/>
    <w:rsid w:val="5C5D2B35"/>
    <w:rsid w:val="5CF3176B"/>
    <w:rsid w:val="5CF76AE6"/>
    <w:rsid w:val="5D1C654D"/>
    <w:rsid w:val="5D635B47"/>
    <w:rsid w:val="5DB92E5C"/>
    <w:rsid w:val="5E1E62F4"/>
    <w:rsid w:val="5EF85464"/>
    <w:rsid w:val="5FA25B0E"/>
    <w:rsid w:val="60216CC6"/>
    <w:rsid w:val="60326087"/>
    <w:rsid w:val="603A1480"/>
    <w:rsid w:val="611539DF"/>
    <w:rsid w:val="624D71A8"/>
    <w:rsid w:val="628726BA"/>
    <w:rsid w:val="640E2967"/>
    <w:rsid w:val="645A795A"/>
    <w:rsid w:val="648C1BEF"/>
    <w:rsid w:val="649100F8"/>
    <w:rsid w:val="661971BD"/>
    <w:rsid w:val="669575FC"/>
    <w:rsid w:val="66BC48FC"/>
    <w:rsid w:val="66EA3218"/>
    <w:rsid w:val="6AFE7291"/>
    <w:rsid w:val="6BA02A3F"/>
    <w:rsid w:val="6BAA7419"/>
    <w:rsid w:val="6BAC61E3"/>
    <w:rsid w:val="6E0A419F"/>
    <w:rsid w:val="6E623FDB"/>
    <w:rsid w:val="6F1352D6"/>
    <w:rsid w:val="70076BE8"/>
    <w:rsid w:val="706C7393"/>
    <w:rsid w:val="706F4B50"/>
    <w:rsid w:val="70781894"/>
    <w:rsid w:val="70967F6C"/>
    <w:rsid w:val="70E04D4F"/>
    <w:rsid w:val="715F4802"/>
    <w:rsid w:val="71C54FAD"/>
    <w:rsid w:val="72313EC3"/>
    <w:rsid w:val="742C238D"/>
    <w:rsid w:val="751122B7"/>
    <w:rsid w:val="75171CE6"/>
    <w:rsid w:val="75AA354F"/>
    <w:rsid w:val="75C86E1A"/>
    <w:rsid w:val="75FE45EA"/>
    <w:rsid w:val="767E397C"/>
    <w:rsid w:val="76D06F5A"/>
    <w:rsid w:val="77C56CD4"/>
    <w:rsid w:val="783D5139"/>
    <w:rsid w:val="79250D92"/>
    <w:rsid w:val="792D386C"/>
    <w:rsid w:val="79312F28"/>
    <w:rsid w:val="7A68530D"/>
    <w:rsid w:val="7BCE2CB0"/>
    <w:rsid w:val="7C5A61FC"/>
    <w:rsid w:val="7D0F3580"/>
    <w:rsid w:val="7D7F24B4"/>
    <w:rsid w:val="7E187931"/>
    <w:rsid w:val="7E221091"/>
    <w:rsid w:val="7EE13986"/>
    <w:rsid w:val="7F6B70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semiHidden="0" w:name="toc 1"/>
    <w:lsdException w:qFormat="1" w:uiPriority="39" w:semiHidden="0" w:name="toc 2"/>
    <w:lsdException w:qFormat="1" w:uiPriority="39" w:semiHidden="0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16"/>
    <w:autoRedefine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link w:val="17"/>
    <w:autoRedefine/>
    <w:unhideWhenUsed/>
    <w:qFormat/>
    <w:uiPriority w:val="9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paragraph" w:styleId="4">
    <w:name w:val="heading 3"/>
    <w:basedOn w:val="1"/>
    <w:next w:val="1"/>
    <w:link w:val="18"/>
    <w:autoRedefine/>
    <w:unhideWhenUsed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5">
    <w:name w:val="heading 4"/>
    <w:basedOn w:val="1"/>
    <w:next w:val="1"/>
    <w:link w:val="20"/>
    <w:autoRedefine/>
    <w:semiHidden/>
    <w:unhideWhenUsed/>
    <w:qFormat/>
    <w:uiPriority w:val="9"/>
    <w:pPr>
      <w:keepNext/>
      <w:keepLines/>
      <w:spacing w:before="280" w:after="290" w:line="376" w:lineRule="auto"/>
      <w:outlineLvl w:val="3"/>
    </w:pPr>
    <w:rPr>
      <w:rFonts w:asciiTheme="majorHAnsi" w:hAnsiTheme="majorHAnsi" w:eastAsiaTheme="majorEastAsia" w:cstheme="majorBidi"/>
      <w:b/>
      <w:bCs/>
      <w:sz w:val="28"/>
      <w:szCs w:val="28"/>
    </w:rPr>
  </w:style>
  <w:style w:type="character" w:default="1" w:styleId="12">
    <w:name w:val="Default Paragraph Font"/>
    <w:autoRedefine/>
    <w:semiHidden/>
    <w:unhideWhenUsed/>
    <w:qFormat/>
    <w:uiPriority w:val="1"/>
  </w:style>
  <w:style w:type="table" w:default="1" w:styleId="11">
    <w:name w:val="Normal Table"/>
    <w:autoRedefine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6">
    <w:name w:val="toc 3"/>
    <w:basedOn w:val="1"/>
    <w:next w:val="1"/>
    <w:autoRedefine/>
    <w:unhideWhenUsed/>
    <w:qFormat/>
    <w:uiPriority w:val="39"/>
    <w:pPr>
      <w:ind w:left="840" w:leftChars="400"/>
    </w:pPr>
  </w:style>
  <w:style w:type="paragraph" w:styleId="7">
    <w:name w:val="footer"/>
    <w:basedOn w:val="1"/>
    <w:link w:val="15"/>
    <w:autoRedefine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8">
    <w:name w:val="header"/>
    <w:basedOn w:val="1"/>
    <w:link w:val="14"/>
    <w:autoRedefine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9">
    <w:name w:val="toc 1"/>
    <w:basedOn w:val="1"/>
    <w:next w:val="1"/>
    <w:autoRedefine/>
    <w:unhideWhenUsed/>
    <w:qFormat/>
    <w:uiPriority w:val="39"/>
  </w:style>
  <w:style w:type="paragraph" w:styleId="10">
    <w:name w:val="toc 2"/>
    <w:basedOn w:val="1"/>
    <w:next w:val="1"/>
    <w:autoRedefine/>
    <w:unhideWhenUsed/>
    <w:qFormat/>
    <w:uiPriority w:val="39"/>
    <w:pPr>
      <w:ind w:left="420" w:leftChars="200"/>
    </w:pPr>
  </w:style>
  <w:style w:type="character" w:styleId="13">
    <w:name w:val="Hyperlink"/>
    <w:basedOn w:val="12"/>
    <w:autoRedefine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customStyle="1" w:styleId="14">
    <w:name w:val="页眉 字符"/>
    <w:basedOn w:val="12"/>
    <w:link w:val="8"/>
    <w:autoRedefine/>
    <w:qFormat/>
    <w:uiPriority w:val="99"/>
    <w:rPr>
      <w:sz w:val="18"/>
      <w:szCs w:val="18"/>
    </w:rPr>
  </w:style>
  <w:style w:type="character" w:customStyle="1" w:styleId="15">
    <w:name w:val="页脚 字符"/>
    <w:basedOn w:val="12"/>
    <w:link w:val="7"/>
    <w:autoRedefine/>
    <w:qFormat/>
    <w:uiPriority w:val="99"/>
    <w:rPr>
      <w:sz w:val="18"/>
      <w:szCs w:val="18"/>
    </w:rPr>
  </w:style>
  <w:style w:type="character" w:customStyle="1" w:styleId="16">
    <w:name w:val="标题 1 字符"/>
    <w:basedOn w:val="12"/>
    <w:link w:val="2"/>
    <w:autoRedefine/>
    <w:qFormat/>
    <w:uiPriority w:val="9"/>
    <w:rPr>
      <w:b/>
      <w:bCs/>
      <w:kern w:val="44"/>
      <w:sz w:val="44"/>
      <w:szCs w:val="44"/>
    </w:rPr>
  </w:style>
  <w:style w:type="character" w:customStyle="1" w:styleId="17">
    <w:name w:val="标题 2 字符"/>
    <w:basedOn w:val="12"/>
    <w:link w:val="3"/>
    <w:autoRedefine/>
    <w:qFormat/>
    <w:uiPriority w:val="9"/>
    <w:rPr>
      <w:rFonts w:asciiTheme="majorHAnsi" w:hAnsiTheme="majorHAnsi" w:eastAsiaTheme="majorEastAsia" w:cstheme="majorBidi"/>
      <w:b/>
      <w:bCs/>
      <w:sz w:val="32"/>
      <w:szCs w:val="32"/>
    </w:rPr>
  </w:style>
  <w:style w:type="character" w:customStyle="1" w:styleId="18">
    <w:name w:val="标题 3 字符"/>
    <w:basedOn w:val="12"/>
    <w:link w:val="4"/>
    <w:autoRedefine/>
    <w:qFormat/>
    <w:uiPriority w:val="9"/>
    <w:rPr>
      <w:b/>
      <w:bCs/>
      <w:sz w:val="32"/>
      <w:szCs w:val="32"/>
    </w:rPr>
  </w:style>
  <w:style w:type="paragraph" w:customStyle="1" w:styleId="19">
    <w:name w:val="TOC 标题1"/>
    <w:basedOn w:val="2"/>
    <w:next w:val="1"/>
    <w:autoRedefine/>
    <w:unhideWhenUsed/>
    <w:qFormat/>
    <w:uiPriority w:val="39"/>
    <w:pPr>
      <w:widowControl/>
      <w:spacing w:before="240" w:after="0" w:line="259" w:lineRule="auto"/>
      <w:jc w:val="left"/>
      <w:outlineLvl w:val="9"/>
    </w:pPr>
    <w:rPr>
      <w:rFonts w:asciiTheme="majorHAnsi" w:hAnsiTheme="majorHAnsi" w:eastAsiaTheme="majorEastAsia" w:cstheme="majorBidi"/>
      <w:b w:val="0"/>
      <w:bCs w:val="0"/>
      <w:color w:val="2E75B6" w:themeColor="accent1" w:themeShade="BF"/>
      <w:kern w:val="0"/>
      <w:sz w:val="32"/>
      <w:szCs w:val="32"/>
    </w:rPr>
  </w:style>
  <w:style w:type="character" w:customStyle="1" w:styleId="20">
    <w:name w:val="标题 4 字符"/>
    <w:basedOn w:val="12"/>
    <w:link w:val="5"/>
    <w:autoRedefine/>
    <w:semiHidden/>
    <w:qFormat/>
    <w:uiPriority w:val="9"/>
    <w:rPr>
      <w:rFonts w:asciiTheme="majorHAnsi" w:hAnsiTheme="majorHAnsi" w:eastAsiaTheme="majorEastAsia" w:cstheme="majorBidi"/>
      <w:b/>
      <w:bCs/>
      <w:kern w:val="2"/>
      <w:sz w:val="28"/>
      <w:szCs w:val="28"/>
    </w:rPr>
  </w:style>
  <w:style w:type="paragraph" w:styleId="21">
    <w:name w:val="List Paragraph"/>
    <w:basedOn w:val="1"/>
    <w:autoRedefine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96.png"/><Relationship Id="rId98" Type="http://schemas.openxmlformats.org/officeDocument/2006/relationships/image" Target="media/image95.png"/><Relationship Id="rId97" Type="http://schemas.openxmlformats.org/officeDocument/2006/relationships/image" Target="media/image94.png"/><Relationship Id="rId96" Type="http://schemas.openxmlformats.org/officeDocument/2006/relationships/image" Target="media/image93.png"/><Relationship Id="rId95" Type="http://schemas.openxmlformats.org/officeDocument/2006/relationships/image" Target="media/image92.png"/><Relationship Id="rId94" Type="http://schemas.openxmlformats.org/officeDocument/2006/relationships/image" Target="media/image91.png"/><Relationship Id="rId93" Type="http://schemas.openxmlformats.org/officeDocument/2006/relationships/image" Target="media/image90.png"/><Relationship Id="rId92" Type="http://schemas.openxmlformats.org/officeDocument/2006/relationships/image" Target="media/image89.png"/><Relationship Id="rId91" Type="http://schemas.openxmlformats.org/officeDocument/2006/relationships/image" Target="media/image88.png"/><Relationship Id="rId90" Type="http://schemas.openxmlformats.org/officeDocument/2006/relationships/image" Target="media/image87.png"/><Relationship Id="rId9" Type="http://schemas.openxmlformats.org/officeDocument/2006/relationships/image" Target="media/image6.png"/><Relationship Id="rId89" Type="http://schemas.openxmlformats.org/officeDocument/2006/relationships/image" Target="media/image86.png"/><Relationship Id="rId88" Type="http://schemas.openxmlformats.org/officeDocument/2006/relationships/image" Target="media/image85.png"/><Relationship Id="rId87" Type="http://schemas.openxmlformats.org/officeDocument/2006/relationships/image" Target="media/image84.png"/><Relationship Id="rId86" Type="http://schemas.openxmlformats.org/officeDocument/2006/relationships/image" Target="media/image83.png"/><Relationship Id="rId85" Type="http://schemas.openxmlformats.org/officeDocument/2006/relationships/image" Target="media/image82.png"/><Relationship Id="rId84" Type="http://schemas.openxmlformats.org/officeDocument/2006/relationships/image" Target="media/image81.png"/><Relationship Id="rId83" Type="http://schemas.openxmlformats.org/officeDocument/2006/relationships/image" Target="media/image80.png"/><Relationship Id="rId82" Type="http://schemas.openxmlformats.org/officeDocument/2006/relationships/image" Target="media/image79.png"/><Relationship Id="rId81" Type="http://schemas.openxmlformats.org/officeDocument/2006/relationships/image" Target="media/image78.png"/><Relationship Id="rId80" Type="http://schemas.openxmlformats.org/officeDocument/2006/relationships/image" Target="media/image77.png"/><Relationship Id="rId8" Type="http://schemas.openxmlformats.org/officeDocument/2006/relationships/image" Target="media/image5.png"/><Relationship Id="rId79" Type="http://schemas.openxmlformats.org/officeDocument/2006/relationships/image" Target="media/image76.png"/><Relationship Id="rId78" Type="http://schemas.openxmlformats.org/officeDocument/2006/relationships/image" Target="media/image75.png"/><Relationship Id="rId77" Type="http://schemas.openxmlformats.org/officeDocument/2006/relationships/image" Target="media/image74.png"/><Relationship Id="rId76" Type="http://schemas.openxmlformats.org/officeDocument/2006/relationships/image" Target="media/image73.png"/><Relationship Id="rId75" Type="http://schemas.openxmlformats.org/officeDocument/2006/relationships/image" Target="media/image72.png"/><Relationship Id="rId74" Type="http://schemas.openxmlformats.org/officeDocument/2006/relationships/image" Target="media/image71.png"/><Relationship Id="rId73" Type="http://schemas.openxmlformats.org/officeDocument/2006/relationships/image" Target="media/image70.png"/><Relationship Id="rId72" Type="http://schemas.openxmlformats.org/officeDocument/2006/relationships/image" Target="media/image69.png"/><Relationship Id="rId71" Type="http://schemas.openxmlformats.org/officeDocument/2006/relationships/image" Target="media/image68.png"/><Relationship Id="rId70" Type="http://schemas.openxmlformats.org/officeDocument/2006/relationships/image" Target="media/image67.png"/><Relationship Id="rId7" Type="http://schemas.openxmlformats.org/officeDocument/2006/relationships/image" Target="media/image4.png"/><Relationship Id="rId69" Type="http://schemas.openxmlformats.org/officeDocument/2006/relationships/image" Target="media/image66.png"/><Relationship Id="rId68" Type="http://schemas.openxmlformats.org/officeDocument/2006/relationships/image" Target="media/image65.png"/><Relationship Id="rId67" Type="http://schemas.openxmlformats.org/officeDocument/2006/relationships/image" Target="media/image64.png"/><Relationship Id="rId66" Type="http://schemas.openxmlformats.org/officeDocument/2006/relationships/image" Target="media/image63.png"/><Relationship Id="rId65" Type="http://schemas.openxmlformats.org/officeDocument/2006/relationships/image" Target="media/image62.png"/><Relationship Id="rId64" Type="http://schemas.openxmlformats.org/officeDocument/2006/relationships/image" Target="media/image61.png"/><Relationship Id="rId63" Type="http://schemas.openxmlformats.org/officeDocument/2006/relationships/image" Target="media/image60.png"/><Relationship Id="rId62" Type="http://schemas.openxmlformats.org/officeDocument/2006/relationships/image" Target="media/image59.png"/><Relationship Id="rId61" Type="http://schemas.openxmlformats.org/officeDocument/2006/relationships/image" Target="media/image58.png"/><Relationship Id="rId60" Type="http://schemas.openxmlformats.org/officeDocument/2006/relationships/image" Target="media/image57.png"/><Relationship Id="rId6" Type="http://schemas.openxmlformats.org/officeDocument/2006/relationships/image" Target="media/image3.png"/><Relationship Id="rId59" Type="http://schemas.openxmlformats.org/officeDocument/2006/relationships/image" Target="media/image56.png"/><Relationship Id="rId58" Type="http://schemas.openxmlformats.org/officeDocument/2006/relationships/image" Target="media/image55.png"/><Relationship Id="rId57" Type="http://schemas.openxmlformats.org/officeDocument/2006/relationships/image" Target="media/image54.png"/><Relationship Id="rId56" Type="http://schemas.openxmlformats.org/officeDocument/2006/relationships/image" Target="media/image53.png"/><Relationship Id="rId55" Type="http://schemas.openxmlformats.org/officeDocument/2006/relationships/image" Target="media/image52.png"/><Relationship Id="rId54" Type="http://schemas.openxmlformats.org/officeDocument/2006/relationships/image" Target="media/image51.png"/><Relationship Id="rId53" Type="http://schemas.openxmlformats.org/officeDocument/2006/relationships/image" Target="media/image50.png"/><Relationship Id="rId52" Type="http://schemas.openxmlformats.org/officeDocument/2006/relationships/image" Target="media/image49.png"/><Relationship Id="rId51" Type="http://schemas.openxmlformats.org/officeDocument/2006/relationships/image" Target="media/image48.png"/><Relationship Id="rId50" Type="http://schemas.openxmlformats.org/officeDocument/2006/relationships/image" Target="media/image47.png"/><Relationship Id="rId5" Type="http://schemas.openxmlformats.org/officeDocument/2006/relationships/image" Target="media/image2.png"/><Relationship Id="rId49" Type="http://schemas.openxmlformats.org/officeDocument/2006/relationships/image" Target="media/image46.png"/><Relationship Id="rId48" Type="http://schemas.openxmlformats.org/officeDocument/2006/relationships/image" Target="media/image45.png"/><Relationship Id="rId47" Type="http://schemas.openxmlformats.org/officeDocument/2006/relationships/image" Target="media/image44.png"/><Relationship Id="rId46" Type="http://schemas.openxmlformats.org/officeDocument/2006/relationships/image" Target="media/image43.png"/><Relationship Id="rId45" Type="http://schemas.openxmlformats.org/officeDocument/2006/relationships/image" Target="media/image42.png"/><Relationship Id="rId44" Type="http://schemas.openxmlformats.org/officeDocument/2006/relationships/image" Target="media/image41.png"/><Relationship Id="rId43" Type="http://schemas.openxmlformats.org/officeDocument/2006/relationships/image" Target="media/image40.png"/><Relationship Id="rId42" Type="http://schemas.openxmlformats.org/officeDocument/2006/relationships/image" Target="media/image39.png"/><Relationship Id="rId41" Type="http://schemas.openxmlformats.org/officeDocument/2006/relationships/image" Target="media/image38.png"/><Relationship Id="rId40" Type="http://schemas.openxmlformats.org/officeDocument/2006/relationships/image" Target="media/image37.png"/><Relationship Id="rId4" Type="http://schemas.openxmlformats.org/officeDocument/2006/relationships/image" Target="media/image1.pn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6" Type="http://schemas.openxmlformats.org/officeDocument/2006/relationships/fontTable" Target="fontTable.xml"/><Relationship Id="rId115" Type="http://schemas.openxmlformats.org/officeDocument/2006/relationships/numbering" Target="numbering.xml"/><Relationship Id="rId114" Type="http://schemas.openxmlformats.org/officeDocument/2006/relationships/image" Target="media/image111.png"/><Relationship Id="rId113" Type="http://schemas.openxmlformats.org/officeDocument/2006/relationships/image" Target="media/image110.png"/><Relationship Id="rId112" Type="http://schemas.openxmlformats.org/officeDocument/2006/relationships/image" Target="media/image109.png"/><Relationship Id="rId111" Type="http://schemas.openxmlformats.org/officeDocument/2006/relationships/image" Target="media/image108.png"/><Relationship Id="rId110" Type="http://schemas.openxmlformats.org/officeDocument/2006/relationships/image" Target="media/image107.png"/><Relationship Id="rId11" Type="http://schemas.openxmlformats.org/officeDocument/2006/relationships/image" Target="media/image8.png"/><Relationship Id="rId109" Type="http://schemas.openxmlformats.org/officeDocument/2006/relationships/image" Target="media/image106.png"/><Relationship Id="rId108" Type="http://schemas.openxmlformats.org/officeDocument/2006/relationships/image" Target="media/image105.png"/><Relationship Id="rId107" Type="http://schemas.openxmlformats.org/officeDocument/2006/relationships/image" Target="media/image104.png"/><Relationship Id="rId106" Type="http://schemas.openxmlformats.org/officeDocument/2006/relationships/image" Target="media/image103.png"/><Relationship Id="rId105" Type="http://schemas.openxmlformats.org/officeDocument/2006/relationships/image" Target="media/image102.png"/><Relationship Id="rId104" Type="http://schemas.openxmlformats.org/officeDocument/2006/relationships/image" Target="media/image101.png"/><Relationship Id="rId103" Type="http://schemas.openxmlformats.org/officeDocument/2006/relationships/image" Target="media/image100.png"/><Relationship Id="rId102" Type="http://schemas.openxmlformats.org/officeDocument/2006/relationships/image" Target="media/image99.png"/><Relationship Id="rId101" Type="http://schemas.openxmlformats.org/officeDocument/2006/relationships/image" Target="media/image98.png"/><Relationship Id="rId100" Type="http://schemas.openxmlformats.org/officeDocument/2006/relationships/image" Target="media/image97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43</Pages>
  <Words>4981</Words>
  <Characters>5202</Characters>
  <Lines>60</Lines>
  <Paragraphs>17</Paragraphs>
  <TotalTime>0</TotalTime>
  <ScaleCrop>false</ScaleCrop>
  <LinksUpToDate>false</LinksUpToDate>
  <CharactersWithSpaces>5345</CharactersWithSpaces>
  <Application>WPS Office_12.1.0.20784_F1E327BC-269C-435d-A152-05C5408002CA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2020-07-14T02:37:00Z</dcterms:created>
  <dc:creator>admin</dc:creator>
  <cp:lastModifiedBy>小丑</cp:lastModifiedBy>
  <dcterms:modified xsi:type="dcterms:W3CDTF">2025-06-13T01:46:06Z</dcterms:modified>
  <cp:revision>599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2052-12.1.0.20784</vt:lpwstr>
  </property>
  <property fmtid="{D5CDD505-2E9C-101B-9397-08002B2CF9AE}" pid="3" name="ICV">
    <vt:lpwstr>F8EC23F006CC4C93A5D50E328B3580AC_12</vt:lpwstr>
  </property>
  <property fmtid="{D5CDD505-2E9C-101B-9397-08002B2CF9AE}" pid="4" name="KSOTemplateDocerSaveRecord">
    <vt:lpwstr>eyJoZGlkIjoiNmMyNjk1ZDYxZTM4YmZhM2FkMDNkMzY3ZGU0NzA5Y2EiLCJ1c2VySWQiOiI0MzExNDM5OTkifQ==</vt:lpwstr>
  </property>
</Properties>
</file>