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1EDDCCC">
      <w:pPr>
        <w:rPr>
          <w:rFonts w:ascii="黑体" w:eastAsia="黑体"/>
          <w:b/>
          <w:sz w:val="48"/>
          <w:szCs w:val="48"/>
        </w:rPr>
      </w:pPr>
    </w:p>
    <w:p w14:paraId="229C4CC6">
      <w:pPr>
        <w:jc w:val="center"/>
        <w:rPr>
          <w:rFonts w:hint="default" w:ascii="黑体" w:eastAsia="黑体"/>
          <w:b/>
          <w:sz w:val="48"/>
          <w:szCs w:val="48"/>
          <w:lang w:val="en-US" w:eastAsia="zh-CN"/>
        </w:rPr>
      </w:pPr>
      <w:r>
        <w:rPr>
          <w:rFonts w:hint="eastAsia" w:ascii="黑体" w:eastAsia="黑体" w:cs="黑体"/>
          <w:b/>
          <w:sz w:val="48"/>
          <w:szCs w:val="48"/>
          <w:lang w:val="en-US" w:eastAsia="zh-CN" w:bidi="ar"/>
        </w:rPr>
        <w:t>汕尾市公共资源交易平台</w:t>
      </w:r>
    </w:p>
    <w:p w14:paraId="480AFDC0">
      <w:pPr>
        <w:widowControl/>
        <w:adjustRightInd w:val="0"/>
        <w:snapToGrid w:val="0"/>
        <w:spacing w:after="200"/>
        <w:jc w:val="center"/>
        <w:rPr>
          <w:rFonts w:hint="default" w:ascii="黑体" w:eastAsia="黑体"/>
          <w:b/>
          <w:sz w:val="48"/>
          <w:szCs w:val="48"/>
          <w:lang w:val="en-US" w:eastAsia="zh-CN"/>
        </w:rPr>
      </w:pPr>
      <w:r>
        <w:rPr>
          <w:rFonts w:hint="eastAsia" w:ascii="黑体" w:eastAsia="黑体"/>
          <w:b/>
          <w:sz w:val="48"/>
          <w:szCs w:val="48"/>
          <w:lang w:val="en-US" w:eastAsia="zh-CN"/>
        </w:rPr>
        <w:t>土地与矿业权交易</w:t>
      </w:r>
    </w:p>
    <w:p w14:paraId="5F0BD20A">
      <w:pPr>
        <w:widowControl/>
        <w:adjustRightInd w:val="0"/>
        <w:snapToGrid w:val="0"/>
        <w:spacing w:after="200"/>
        <w:jc w:val="center"/>
        <w:rPr>
          <w:rFonts w:ascii="黑体" w:hAnsi="Tahoma" w:eastAsia="黑体" w:cs="Times New Roman"/>
          <w:b/>
          <w:kern w:val="0"/>
          <w:sz w:val="48"/>
          <w:szCs w:val="48"/>
        </w:rPr>
      </w:pPr>
      <w:r>
        <w:rPr>
          <w:rFonts w:hint="eastAsia" w:ascii="黑体" w:hAnsi="Tahoma" w:eastAsia="黑体" w:cs="Times New Roman"/>
          <w:b/>
          <w:kern w:val="0"/>
          <w:sz w:val="48"/>
          <w:szCs w:val="48"/>
        </w:rPr>
        <w:t>（</w:t>
      </w:r>
      <w:r>
        <w:rPr>
          <w:rFonts w:hint="eastAsia" w:ascii="黑体" w:eastAsia="黑体" w:cs="Times New Roman"/>
          <w:b/>
          <w:kern w:val="0"/>
          <w:sz w:val="48"/>
          <w:szCs w:val="48"/>
          <w:lang w:val="en-US" w:eastAsia="zh-CN"/>
        </w:rPr>
        <w:t>出让人</w:t>
      </w:r>
      <w:r>
        <w:rPr>
          <w:rFonts w:hint="eastAsia" w:ascii="黑体" w:hAnsi="Tahoma" w:eastAsia="黑体" w:cs="Times New Roman"/>
          <w:b/>
          <w:kern w:val="0"/>
          <w:sz w:val="48"/>
          <w:szCs w:val="48"/>
        </w:rPr>
        <w:t>）</w:t>
      </w:r>
    </w:p>
    <w:p w14:paraId="3E8EEE4E">
      <w:pPr>
        <w:widowControl/>
        <w:adjustRightInd w:val="0"/>
        <w:snapToGrid w:val="0"/>
        <w:spacing w:before="1440" w:after="200"/>
        <w:jc w:val="center"/>
        <w:rPr>
          <w:rFonts w:ascii="黑体" w:hAnsi="宋体" w:eastAsia="黑体" w:cs="Times New Roman"/>
          <w:b/>
          <w:kern w:val="0"/>
          <w:sz w:val="52"/>
          <w:szCs w:val="52"/>
        </w:rPr>
      </w:pPr>
      <w:r>
        <w:rPr>
          <w:rFonts w:hint="eastAsia" w:ascii="黑体" w:hAnsi="宋体" w:eastAsia="黑体" w:cs="Times New Roman"/>
          <w:b/>
          <w:kern w:val="0"/>
          <w:sz w:val="52"/>
          <w:szCs w:val="52"/>
        </w:rPr>
        <w:t>用</w:t>
      </w:r>
    </w:p>
    <w:p w14:paraId="3DBDA5CF">
      <w:pPr>
        <w:widowControl/>
        <w:adjustRightInd w:val="0"/>
        <w:snapToGrid w:val="0"/>
        <w:spacing w:before="360" w:after="312" w:afterLines="100"/>
        <w:jc w:val="center"/>
        <w:rPr>
          <w:rFonts w:ascii="黑体" w:hAnsi="宋体" w:eastAsia="黑体" w:cs="Times New Roman"/>
          <w:b/>
          <w:kern w:val="0"/>
          <w:sz w:val="52"/>
          <w:szCs w:val="52"/>
        </w:rPr>
      </w:pPr>
      <w:r>
        <w:rPr>
          <w:rFonts w:hint="eastAsia" w:ascii="黑体" w:hAnsi="宋体" w:eastAsia="黑体" w:cs="Times New Roman"/>
          <w:b/>
          <w:kern w:val="0"/>
          <w:sz w:val="52"/>
          <w:szCs w:val="52"/>
        </w:rPr>
        <w:t>户</w:t>
      </w:r>
    </w:p>
    <w:p w14:paraId="3E5771B7">
      <w:pPr>
        <w:widowControl/>
        <w:adjustRightInd w:val="0"/>
        <w:snapToGrid w:val="0"/>
        <w:spacing w:before="360" w:after="312" w:afterLines="100"/>
        <w:jc w:val="center"/>
        <w:rPr>
          <w:rFonts w:ascii="黑体" w:hAnsi="宋体" w:eastAsia="黑体" w:cs="Times New Roman"/>
          <w:b/>
          <w:kern w:val="0"/>
          <w:sz w:val="52"/>
          <w:szCs w:val="52"/>
        </w:rPr>
      </w:pPr>
      <w:r>
        <w:rPr>
          <w:rFonts w:hint="eastAsia" w:ascii="黑体" w:hAnsi="宋体" w:eastAsia="黑体" w:cs="Times New Roman"/>
          <w:b/>
          <w:kern w:val="0"/>
          <w:sz w:val="52"/>
          <w:szCs w:val="52"/>
        </w:rPr>
        <w:t>手</w:t>
      </w:r>
    </w:p>
    <w:p w14:paraId="3043DAEA">
      <w:pPr>
        <w:widowControl/>
        <w:adjustRightInd w:val="0"/>
        <w:snapToGrid w:val="0"/>
        <w:spacing w:before="360" w:after="312" w:afterLines="100"/>
        <w:jc w:val="center"/>
        <w:rPr>
          <w:rFonts w:ascii="黑体" w:hAnsi="宋体" w:eastAsia="黑体" w:cs="Times New Roman"/>
          <w:b/>
          <w:kern w:val="0"/>
          <w:sz w:val="52"/>
          <w:szCs w:val="52"/>
        </w:rPr>
      </w:pPr>
      <w:r>
        <w:rPr>
          <w:rFonts w:hint="eastAsia" w:ascii="黑体" w:hAnsi="宋体" w:eastAsia="黑体" w:cs="Times New Roman"/>
          <w:b/>
          <w:kern w:val="0"/>
          <w:sz w:val="52"/>
          <w:szCs w:val="52"/>
        </w:rPr>
        <w:t>册</w:t>
      </w:r>
    </w:p>
    <w:p w14:paraId="0F6046E7">
      <w:pPr>
        <w:widowControl/>
        <w:adjustRightInd w:val="0"/>
        <w:snapToGrid w:val="0"/>
        <w:spacing w:after="200"/>
        <w:jc w:val="left"/>
        <w:rPr>
          <w:rFonts w:ascii="黑体" w:hAnsi="宋体" w:eastAsia="黑体" w:cs="Times New Roman"/>
          <w:b/>
          <w:kern w:val="0"/>
          <w:sz w:val="24"/>
        </w:rPr>
      </w:pPr>
    </w:p>
    <w:p w14:paraId="6B5A7E5B">
      <w:pPr>
        <w:widowControl/>
        <w:adjustRightInd w:val="0"/>
        <w:snapToGrid w:val="0"/>
        <w:spacing w:after="200"/>
        <w:jc w:val="left"/>
        <w:rPr>
          <w:rFonts w:ascii="黑体" w:hAnsi="宋体" w:eastAsia="黑体" w:cs="Times New Roman"/>
          <w:b/>
          <w:kern w:val="0"/>
          <w:sz w:val="24"/>
        </w:rPr>
      </w:pPr>
    </w:p>
    <w:p w14:paraId="33D788C9">
      <w:pPr>
        <w:widowControl/>
        <w:adjustRightInd w:val="0"/>
        <w:snapToGrid w:val="0"/>
        <w:spacing w:after="200"/>
        <w:jc w:val="left"/>
        <w:rPr>
          <w:rFonts w:ascii="黑体" w:hAnsi="宋体" w:eastAsia="黑体" w:cs="Times New Roman"/>
          <w:b/>
          <w:kern w:val="0"/>
          <w:sz w:val="24"/>
        </w:rPr>
      </w:pPr>
    </w:p>
    <w:p w14:paraId="53704B09">
      <w:pPr>
        <w:widowControl/>
        <w:adjustRightInd w:val="0"/>
        <w:snapToGrid w:val="0"/>
        <w:spacing w:after="200"/>
        <w:jc w:val="left"/>
        <w:rPr>
          <w:rFonts w:ascii="黑体" w:hAnsi="宋体" w:eastAsia="黑体" w:cs="Times New Roman"/>
          <w:b/>
          <w:kern w:val="0"/>
          <w:sz w:val="24"/>
        </w:rPr>
      </w:pPr>
    </w:p>
    <w:p w14:paraId="63BDE30E">
      <w:pPr>
        <w:widowControl/>
        <w:adjustRightInd w:val="0"/>
        <w:snapToGrid w:val="0"/>
        <w:spacing w:after="200"/>
        <w:jc w:val="left"/>
        <w:rPr>
          <w:rFonts w:ascii="黑体" w:hAnsi="宋体" w:eastAsia="黑体" w:cs="Times New Roman"/>
          <w:b/>
          <w:kern w:val="0"/>
          <w:sz w:val="24"/>
        </w:rPr>
      </w:pPr>
    </w:p>
    <w:p w14:paraId="2F564194">
      <w:pPr>
        <w:widowControl/>
        <w:adjustRightInd w:val="0"/>
        <w:snapToGrid w:val="0"/>
        <w:spacing w:after="200"/>
        <w:jc w:val="left"/>
        <w:rPr>
          <w:rFonts w:ascii="黑体" w:hAnsi="宋体" w:eastAsia="黑体" w:cs="Times New Roman"/>
          <w:b/>
          <w:kern w:val="0"/>
          <w:sz w:val="24"/>
        </w:rPr>
      </w:pPr>
    </w:p>
    <w:p w14:paraId="41AE2967">
      <w:pPr>
        <w:widowControl/>
        <w:adjustRightInd w:val="0"/>
        <w:snapToGrid w:val="0"/>
        <w:spacing w:after="200"/>
        <w:jc w:val="left"/>
        <w:rPr>
          <w:rFonts w:ascii="黑体" w:hAnsi="宋体" w:eastAsia="黑体" w:cs="Times New Roman"/>
          <w:b/>
          <w:kern w:val="0"/>
          <w:sz w:val="24"/>
        </w:rPr>
      </w:pPr>
    </w:p>
    <w:p w14:paraId="3D69F90E">
      <w:pPr>
        <w:widowControl/>
        <w:adjustRightInd w:val="0"/>
        <w:snapToGrid w:val="0"/>
        <w:spacing w:after="200"/>
        <w:jc w:val="center"/>
        <w:rPr>
          <w:rFonts w:ascii="Tahoma" w:hAnsi="Tahoma" w:eastAsia="黑体" w:cs="Times New Roman"/>
          <w:b/>
          <w:bCs/>
          <w:kern w:val="0"/>
          <w:sz w:val="28"/>
        </w:rPr>
      </w:pPr>
    </w:p>
    <w:p w14:paraId="7D1B3999">
      <w:pPr>
        <w:widowControl/>
        <w:adjustRightInd w:val="0"/>
        <w:snapToGrid w:val="0"/>
        <w:spacing w:after="200"/>
        <w:jc w:val="center"/>
        <w:rPr>
          <w:rFonts w:hint="default" w:ascii="Tahoma" w:hAnsi="Tahoma" w:eastAsia="黑体" w:cs="Times New Roman"/>
          <w:b/>
          <w:bCs/>
          <w:kern w:val="0"/>
          <w:sz w:val="28"/>
          <w:lang w:val="en-US" w:eastAsia="zh-CN"/>
        </w:rPr>
      </w:pPr>
      <w:r>
        <w:rPr>
          <w:rFonts w:hint="eastAsia" w:ascii="Tahoma" w:hAnsi="Tahoma" w:eastAsia="黑体" w:cs="Times New Roman"/>
          <w:b/>
          <w:bCs/>
          <w:kern w:val="0"/>
          <w:sz w:val="28"/>
          <w:lang w:val="en-US" w:eastAsia="zh-CN"/>
        </w:rPr>
        <w:t>汕尾市公共资源交易中心</w:t>
      </w:r>
    </w:p>
    <w:p w14:paraId="25E3D3E2">
      <w:pPr>
        <w:widowControl/>
        <w:adjustRightInd w:val="0"/>
        <w:snapToGrid w:val="0"/>
        <w:spacing w:after="200"/>
        <w:jc w:val="center"/>
        <w:rPr>
          <w:rFonts w:ascii="Tahoma" w:hAnsi="Tahoma" w:eastAsia="黑体" w:cs="Times New Roman"/>
          <w:b/>
          <w:bCs/>
          <w:kern w:val="0"/>
          <w:sz w:val="28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Tahoma" w:hAnsi="Tahoma" w:eastAsia="黑体" w:cs="Times New Roman"/>
          <w:b/>
          <w:bCs/>
          <w:kern w:val="0"/>
          <w:sz w:val="28"/>
        </w:rPr>
        <w:t>202</w:t>
      </w:r>
      <w:r>
        <w:rPr>
          <w:rFonts w:hint="eastAsia" w:ascii="Tahoma" w:hAnsi="Tahoma" w:eastAsia="黑体" w:cs="Times New Roman"/>
          <w:b/>
          <w:bCs/>
          <w:kern w:val="0"/>
          <w:sz w:val="28"/>
          <w:lang w:val="en-US" w:eastAsia="zh-CN"/>
        </w:rPr>
        <w:t>4</w:t>
      </w:r>
      <w:r>
        <w:rPr>
          <w:rFonts w:hint="eastAsia" w:ascii="Tahoma" w:hAnsi="Tahoma" w:eastAsia="黑体" w:cs="Times New Roman"/>
          <w:b/>
          <w:bCs/>
          <w:kern w:val="0"/>
          <w:sz w:val="28"/>
        </w:rPr>
        <w:t>年</w:t>
      </w:r>
      <w:r>
        <w:rPr>
          <w:rFonts w:hint="eastAsia" w:eastAsia="黑体" w:cs="Times New Roman"/>
          <w:b/>
          <w:bCs/>
          <w:kern w:val="0"/>
          <w:sz w:val="28"/>
          <w:lang w:val="en-US" w:eastAsia="zh-CN"/>
        </w:rPr>
        <w:t>6</w:t>
      </w:r>
      <w:r>
        <w:rPr>
          <w:rFonts w:hint="eastAsia" w:ascii="Tahoma" w:hAnsi="Tahoma" w:eastAsia="黑体" w:cs="Times New Roman"/>
          <w:b/>
          <w:bCs/>
          <w:kern w:val="0"/>
          <w:sz w:val="28"/>
        </w:rPr>
        <w:t>月</w:t>
      </w:r>
    </w:p>
    <w:sdt>
      <w:sdtPr>
        <w:rPr>
          <w:rFonts w:ascii="宋体" w:hAnsi="宋体" w:eastAsia="宋体"/>
          <w:sz w:val="21"/>
        </w:rPr>
        <w:id w:val="147482565"/>
        <w15:color w:val="DBDBDB"/>
        <w:docPartObj>
          <w:docPartGallery w:val="Table of Contents"/>
          <w:docPartUnique/>
        </w:docPartObj>
      </w:sdtPr>
      <w:sdtEndPr>
        <w:rPr>
          <w:rFonts w:hint="eastAsia" w:ascii="Tahoma" w:hAnsi="Tahoma" w:eastAsia="黑体"/>
          <w:bCs/>
          <w:sz w:val="22"/>
        </w:rPr>
      </w:sdtEndPr>
      <w:sdtContent>
        <w:p w14:paraId="32E3A26F">
          <w:pPr>
            <w:spacing w:after="0"/>
            <w:jc w:val="center"/>
          </w:pPr>
          <w:r>
            <w:rPr>
              <w:rFonts w:ascii="宋体" w:hAnsi="宋体" w:eastAsia="宋体"/>
              <w:sz w:val="21"/>
            </w:rPr>
            <w:t>目录</w:t>
          </w:r>
        </w:p>
        <w:p w14:paraId="110519AF">
          <w:pPr>
            <w:pStyle w:val="18"/>
            <w:tabs>
              <w:tab w:val="right" w:leader="dot" w:pos="8306"/>
            </w:tabs>
          </w:pPr>
          <w:r>
            <w:rPr>
              <w:rFonts w:hint="eastAsia" w:eastAsia="黑体"/>
              <w:b/>
              <w:bCs/>
              <w:sz w:val="28"/>
            </w:rPr>
            <w:fldChar w:fldCharType="begin"/>
          </w:r>
          <w:r>
            <w:rPr>
              <w:rFonts w:hint="eastAsia" w:eastAsia="黑体"/>
              <w:b/>
              <w:bCs/>
              <w:sz w:val="28"/>
            </w:rPr>
            <w:instrText xml:space="preserve">TOC \o "1-3" \h \u </w:instrText>
          </w:r>
          <w:r>
            <w:rPr>
              <w:rFonts w:hint="eastAsia" w:eastAsia="黑体"/>
              <w:b/>
              <w:bCs/>
              <w:sz w:val="28"/>
            </w:rPr>
            <w:fldChar w:fldCharType="separate"/>
          </w: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_Toc8312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ascii="黑体" w:hAnsi="Calibri" w:eastAsia="黑体" w:cs="Times New Roman"/>
            </w:rPr>
            <w:t xml:space="preserve">1. </w:t>
          </w:r>
          <w:r>
            <w:rPr>
              <w:rFonts w:hint="eastAsia" w:ascii="黑体" w:hAnsi="Calibri" w:eastAsia="黑体" w:cs="Times New Roman"/>
            </w:rPr>
            <w:t>登录</w:t>
          </w:r>
          <w:r>
            <w:tab/>
          </w:r>
          <w:r>
            <w:fldChar w:fldCharType="begin"/>
          </w:r>
          <w:r>
            <w:instrText xml:space="preserve"> PAGEREF _Toc8312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36D2F141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_Toc1860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eastAsia"/>
            </w:rPr>
            <w:t>1.</w:t>
          </w:r>
          <w:r>
            <w:t>1</w:t>
          </w:r>
          <w:r>
            <w:rPr>
              <w:rFonts w:hint="eastAsia"/>
            </w:rPr>
            <w:t>业务流程</w:t>
          </w:r>
          <w:r>
            <w:tab/>
          </w:r>
          <w:r>
            <w:fldChar w:fldCharType="begin"/>
          </w:r>
          <w:r>
            <w:instrText xml:space="preserve"> PAGEREF _Toc1860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0493E59A">
          <w:pPr>
            <w:pStyle w:val="18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_Toc10420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ascii="黑体" w:hAnsi="Calibri" w:eastAsia="黑体" w:cs="Times New Roman"/>
            </w:rPr>
            <w:t xml:space="preserve">2. </w:t>
          </w:r>
          <w:r>
            <w:rPr>
              <w:rFonts w:hint="eastAsia" w:ascii="黑体" w:hAnsi="Calibri" w:eastAsia="黑体" w:cs="Times New Roman"/>
            </w:rPr>
            <w:t>业务操作说明</w:t>
          </w:r>
          <w:r>
            <w:tab/>
          </w:r>
          <w:r>
            <w:fldChar w:fldCharType="begin"/>
          </w:r>
          <w:r>
            <w:instrText xml:space="preserve"> PAGEREF _Toc10420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6024A4DD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_Toc18203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2.1. </w:t>
          </w:r>
          <w:r>
            <w:rPr>
              <w:rFonts w:hint="eastAsia"/>
            </w:rPr>
            <w:t>交易进场申请</w:t>
          </w:r>
          <w:r>
            <w:tab/>
          </w:r>
          <w:r>
            <w:fldChar w:fldCharType="begin"/>
          </w:r>
          <w:r>
            <w:instrText xml:space="preserve"> PAGEREF _Toc18203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5E1338D2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_Toc5939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2.2. </w:t>
          </w:r>
          <w:r>
            <w:rPr>
              <w:rFonts w:hint="eastAsia"/>
              <w:lang w:val="en-US" w:eastAsia="zh-CN"/>
            </w:rPr>
            <w:t>交易发布确认</w:t>
          </w:r>
          <w:r>
            <w:tab/>
          </w:r>
          <w:r>
            <w:fldChar w:fldCharType="begin"/>
          </w:r>
          <w:r>
            <w:instrText xml:space="preserve"> PAGEREF _Toc5939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11873156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_Toc19122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2.3. </w:t>
          </w:r>
          <w:r>
            <w:rPr>
              <w:rFonts w:hint="eastAsia"/>
              <w:lang w:val="en-US" w:eastAsia="zh-CN"/>
            </w:rPr>
            <w:t>正在挂牌资源</w:t>
          </w:r>
          <w:r>
            <w:tab/>
          </w:r>
          <w:r>
            <w:fldChar w:fldCharType="begin"/>
          </w:r>
          <w:r>
            <w:instrText xml:space="preserve"> PAGEREF _Toc19122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7566AEB9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_Toc5072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2.4. </w:t>
          </w:r>
          <w:r>
            <w:rPr>
              <w:rFonts w:hint="eastAsia"/>
              <w:lang w:val="en-US" w:eastAsia="zh-CN"/>
            </w:rPr>
            <w:t>项目公告查询</w:t>
          </w:r>
          <w:r>
            <w:tab/>
          </w:r>
          <w:r>
            <w:fldChar w:fldCharType="begin"/>
          </w:r>
          <w:r>
            <w:instrText xml:space="preserve"> PAGEREF _Toc5072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253558AE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_Toc24790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2.5. </w:t>
          </w:r>
          <w:r>
            <w:rPr>
              <w:rFonts w:hint="eastAsia"/>
              <w:lang w:val="en-US" w:eastAsia="zh-CN"/>
            </w:rPr>
            <w:t>交易查询</w:t>
          </w:r>
          <w:r>
            <w:tab/>
          </w:r>
          <w:r>
            <w:fldChar w:fldCharType="begin"/>
          </w:r>
          <w:r>
            <w:instrText xml:space="preserve"> PAGEREF _Toc24790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46F5997D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_Toc18198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2.6. </w:t>
          </w:r>
          <w:r>
            <w:rPr>
              <w:rFonts w:hint="eastAsia"/>
            </w:rPr>
            <w:t>资格</w:t>
          </w:r>
          <w:r>
            <w:rPr>
              <w:rFonts w:hint="eastAsia"/>
              <w:lang w:val="en-US" w:eastAsia="zh-CN"/>
            </w:rPr>
            <w:t>审查（矿业权出让）</w:t>
          </w:r>
          <w:r>
            <w:tab/>
          </w:r>
          <w:r>
            <w:fldChar w:fldCharType="begin"/>
          </w:r>
          <w:r>
            <w:instrText xml:space="preserve"> PAGEREF _Toc18198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65C0D2AC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_Toc6412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2.7. </w:t>
          </w:r>
          <w:r>
            <w:rPr>
              <w:rFonts w:hint="eastAsia"/>
            </w:rPr>
            <w:t>成交确认书</w:t>
          </w:r>
          <w:r>
            <w:rPr>
              <w:rFonts w:hint="eastAsia"/>
              <w:lang w:val="en-US" w:eastAsia="zh-CN"/>
            </w:rPr>
            <w:t>查询</w:t>
          </w:r>
          <w:r>
            <w:tab/>
          </w:r>
          <w:r>
            <w:fldChar w:fldCharType="begin"/>
          </w:r>
          <w:r>
            <w:instrText xml:space="preserve"> PAGEREF _Toc6412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171E19D1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_Toc3832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  <w:lang w:val="en-US" w:eastAsia="zh-CN"/>
            </w:rPr>
            <w:t xml:space="preserve">2.8. </w:t>
          </w:r>
          <w:r>
            <w:rPr>
              <w:rFonts w:hint="eastAsia"/>
              <w:lang w:val="en-US" w:eastAsia="zh-CN"/>
            </w:rPr>
            <w:t>合同签订</w:t>
          </w:r>
          <w:r>
            <w:tab/>
          </w:r>
          <w:r>
            <w:fldChar w:fldCharType="begin"/>
          </w:r>
          <w:r>
            <w:instrText xml:space="preserve"> PAGEREF _Toc3832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709A6149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_Toc15351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  <w:lang w:val="en-US" w:eastAsia="zh-CN"/>
            </w:rPr>
            <w:t xml:space="preserve">2.9. </w:t>
          </w:r>
          <w:r>
            <w:rPr>
              <w:rFonts w:hint="eastAsia"/>
              <w:lang w:val="en-US" w:eastAsia="zh-CN"/>
            </w:rPr>
            <w:t>保证金退回</w:t>
          </w:r>
          <w:r>
            <w:tab/>
          </w:r>
          <w:r>
            <w:fldChar w:fldCharType="begin"/>
          </w:r>
          <w:r>
            <w:instrText xml:space="preserve"> PAGEREF _Toc15351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5A495879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_Toc21024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  <w:lang w:val="en-US" w:eastAsia="zh-CN"/>
            </w:rPr>
            <w:t xml:space="preserve">2.10. </w:t>
          </w:r>
          <w:r>
            <w:rPr>
              <w:rFonts w:hint="eastAsia"/>
              <w:lang w:val="en-US" w:eastAsia="zh-CN"/>
            </w:rPr>
            <w:t>中止交易</w:t>
          </w:r>
          <w:r>
            <w:tab/>
          </w:r>
          <w:r>
            <w:fldChar w:fldCharType="begin"/>
          </w:r>
          <w:r>
            <w:instrText xml:space="preserve"> PAGEREF _Toc21024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2D703746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_Toc7142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  <w:lang w:val="en-US" w:eastAsia="zh-CN"/>
            </w:rPr>
            <w:t xml:space="preserve">2.11. </w:t>
          </w:r>
          <w:r>
            <w:rPr>
              <w:rFonts w:hint="eastAsia"/>
              <w:lang w:val="en-US" w:eastAsia="zh-CN"/>
            </w:rPr>
            <w:t>恢复交易</w:t>
          </w:r>
          <w:r>
            <w:tab/>
          </w:r>
          <w:r>
            <w:fldChar w:fldCharType="begin"/>
          </w:r>
          <w:r>
            <w:instrText xml:space="preserve"> PAGEREF _Toc7142 \h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13DE9F2F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_Toc11970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  <w:lang w:val="en-US" w:eastAsia="zh-CN"/>
            </w:rPr>
            <w:t xml:space="preserve">2.12. </w:t>
          </w:r>
          <w:r>
            <w:rPr>
              <w:rFonts w:hint="eastAsia"/>
              <w:lang w:val="en-US" w:eastAsia="zh-CN"/>
            </w:rPr>
            <w:t>更正交易</w:t>
          </w:r>
          <w:r>
            <w:tab/>
          </w:r>
          <w:r>
            <w:fldChar w:fldCharType="begin"/>
          </w:r>
          <w:r>
            <w:instrText xml:space="preserve"> PAGEREF _Toc11970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06F8529A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_Toc9939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  <w:lang w:val="en-US" w:eastAsia="zh-CN"/>
            </w:rPr>
            <w:t xml:space="preserve">2.13. </w:t>
          </w:r>
          <w:r>
            <w:rPr>
              <w:rFonts w:hint="eastAsia"/>
              <w:lang w:val="en-US" w:eastAsia="zh-CN"/>
            </w:rPr>
            <w:t>终止交易</w:t>
          </w:r>
          <w:r>
            <w:tab/>
          </w:r>
          <w:r>
            <w:fldChar w:fldCharType="begin"/>
          </w:r>
          <w:r>
            <w:instrText xml:space="preserve"> PAGEREF _Toc9939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3EF0E8C8">
          <w:pPr>
            <w:pStyle w:val="18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_Toc26915 </w:instrText>
          </w:r>
          <w:r>
            <w:rPr>
              <w:rFonts w:hint="eastAsia" w:eastAsia="黑体"/>
              <w:bCs/>
            </w:rPr>
            <w:fldChar w:fldCharType="separate"/>
          </w:r>
          <w:r>
            <w:t xml:space="preserve">3. </w:t>
          </w:r>
          <w:r>
            <w:rPr>
              <w:rFonts w:hint="eastAsia" w:ascii="黑体" w:hAnsi="Calibri" w:eastAsia="黑体" w:cs="Times New Roman"/>
            </w:rPr>
            <w:t>技术支持</w:t>
          </w:r>
          <w:r>
            <w:tab/>
          </w:r>
          <w:r>
            <w:fldChar w:fldCharType="begin"/>
          </w:r>
          <w:r>
            <w:instrText xml:space="preserve"> PAGEREF _Toc26915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16193E7A">
          <w:pPr>
            <w:spacing w:after="0"/>
            <w:jc w:val="both"/>
            <w:rPr>
              <w:rFonts w:eastAsia="黑体"/>
              <w:b/>
              <w:bCs/>
              <w:sz w:val="28"/>
            </w:rPr>
            <w:sectPr>
              <w:footerReference r:id="rId4" w:type="default"/>
              <w:pgSz w:w="11906" w:h="16838"/>
              <w:pgMar w:top="1440" w:right="1800" w:bottom="1440" w:left="1800" w:header="851" w:footer="992" w:gutter="0"/>
              <w:pgNumType w:start="1"/>
              <w:cols w:space="425" w:num="1"/>
              <w:docGrid w:type="lines" w:linePitch="312" w:charSpace="0"/>
            </w:sectPr>
          </w:pPr>
          <w:r>
            <w:rPr>
              <w:rFonts w:hint="eastAsia" w:eastAsia="黑体"/>
              <w:bCs/>
            </w:rPr>
            <w:fldChar w:fldCharType="end"/>
          </w:r>
        </w:p>
      </w:sdtContent>
    </w:sdt>
    <w:p w14:paraId="7F50BDC3">
      <w:pPr>
        <w:pStyle w:val="3"/>
        <w:widowControl w:val="0"/>
        <w:numPr>
          <w:ilvl w:val="0"/>
          <w:numId w:val="2"/>
        </w:numPr>
        <w:adjustRightInd/>
        <w:snapToGrid/>
        <w:jc w:val="both"/>
        <w:rPr>
          <w:rFonts w:ascii="黑体" w:hAnsi="Calibri" w:eastAsia="黑体" w:cs="Times New Roman"/>
        </w:rPr>
      </w:pPr>
      <w:bookmarkStart w:id="0" w:name="_Toc407200889"/>
      <w:bookmarkStart w:id="1" w:name="_Toc3165"/>
      <w:bookmarkStart w:id="2" w:name="_Toc8312"/>
      <w:bookmarkStart w:id="3" w:name="_Toc11344"/>
      <w:bookmarkStart w:id="4" w:name="_Toc290881815"/>
      <w:r>
        <w:rPr>
          <w:rFonts w:hint="eastAsia" w:ascii="黑体" w:hAnsi="Calibri" w:eastAsia="黑体" w:cs="Times New Roman"/>
        </w:rPr>
        <w:t>登录</w:t>
      </w:r>
      <w:bookmarkEnd w:id="0"/>
      <w:bookmarkEnd w:id="1"/>
      <w:bookmarkEnd w:id="2"/>
      <w:bookmarkEnd w:id="3"/>
      <w:bookmarkEnd w:id="4"/>
    </w:p>
    <w:p w14:paraId="04E9BB8C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ascii="宋体" w:hAnsi="宋体" w:eastAsia="宋体" w:cs="Times New Roman"/>
          <w:kern w:val="2"/>
          <w:sz w:val="24"/>
          <w:szCs w:val="24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登录地址：</w:t>
      </w:r>
      <w:r>
        <w:rPr>
          <w:rFonts w:hint="eastAsia"/>
        </w:rPr>
        <w:t>https://jy.swggzy.cn/login</w:t>
      </w:r>
    </w:p>
    <w:p w14:paraId="0AE419E2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门户地址：</w:t>
      </w:r>
      <w:r>
        <w:rPr>
          <w:rFonts w:hint="eastAsia"/>
        </w:rPr>
        <w:t>http://www.shanwei.gov.cn/swggzy/</w:t>
      </w:r>
    </w:p>
    <w:p w14:paraId="67A88F9B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建议使用360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极速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浏览器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版本12.0或以上，极速模式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</w:t>
      </w:r>
    </w:p>
    <w:p w14:paraId="63FD1A78">
      <w:pPr>
        <w:widowControl w:val="0"/>
        <w:adjustRightInd/>
        <w:snapToGrid/>
        <w:spacing w:before="62" w:beforeLines="20" w:after="62" w:afterLines="20" w:line="360" w:lineRule="auto"/>
        <w:jc w:val="both"/>
        <w:rPr>
          <w:rFonts w:ascii="宋体" w:hAnsi="宋体" w:eastAsia="宋体" w:cs="Times New Roman"/>
          <w:color w:val="0000FF"/>
          <w:kern w:val="2"/>
          <w:sz w:val="24"/>
          <w:szCs w:val="24"/>
        </w:rPr>
      </w:pPr>
      <w:r>
        <w:drawing>
          <wp:inline distT="0" distB="0" distL="114300" distR="114300">
            <wp:extent cx="5266690" cy="2362200"/>
            <wp:effectExtent l="0" t="0" r="3810" b="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19982F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ascii="宋体" w:hAnsi="宋体" w:eastAsia="宋体" w:cs="Times New Roman"/>
          <w:color w:val="0000FF"/>
          <w:kern w:val="2"/>
          <w:sz w:val="24"/>
          <w:szCs w:val="24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进入登录界面，输入正确的用户名和密码，然后点击【登录】，即可进入系统。登录系统后，在首页面板可以看到待处理的待办事项。点击其中一个待办事项可以快速进行业务办理。</w:t>
      </w:r>
    </w:p>
    <w:p w14:paraId="5D0F0D24">
      <w:pPr>
        <w:widowControl w:val="0"/>
        <w:adjustRightInd/>
        <w:snapToGrid/>
        <w:spacing w:before="62" w:beforeLines="20" w:after="62" w:afterLines="20" w:line="360" w:lineRule="auto"/>
        <w:jc w:val="both"/>
        <w:rPr>
          <w:rFonts w:ascii="宋体" w:hAnsi="宋体" w:eastAsia="宋体" w:cs="Times New Roman"/>
          <w:color w:val="0000FF"/>
          <w:kern w:val="2"/>
          <w:sz w:val="24"/>
          <w:szCs w:val="24"/>
        </w:rPr>
      </w:pPr>
      <w:r>
        <w:drawing>
          <wp:inline distT="0" distB="0" distL="114300" distR="114300">
            <wp:extent cx="5266690" cy="1986280"/>
            <wp:effectExtent l="0" t="0" r="3810" b="762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8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34C670">
      <w:pPr>
        <w:pStyle w:val="4"/>
        <w:numPr>
          <w:ilvl w:val="0"/>
          <w:numId w:val="0"/>
        </w:numPr>
        <w:spacing w:line="240" w:lineRule="auto"/>
      </w:pPr>
      <w:bookmarkStart w:id="5" w:name="_Toc4181"/>
      <w:bookmarkStart w:id="6" w:name="_Toc1860"/>
      <w:bookmarkStart w:id="7" w:name="_Toc14441"/>
      <w:r>
        <w:rPr>
          <w:rFonts w:hint="eastAsia"/>
        </w:rPr>
        <w:t>1.</w:t>
      </w:r>
      <w:r>
        <w:t>1</w:t>
      </w:r>
      <w:r>
        <w:rPr>
          <w:rFonts w:hint="eastAsia"/>
        </w:rPr>
        <w:t>业务流程</w:t>
      </w:r>
      <w:bookmarkEnd w:id="5"/>
      <w:bookmarkEnd w:id="6"/>
    </w:p>
    <w:p w14:paraId="0D607F58">
      <w:pPr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67325" cy="7365365"/>
            <wp:effectExtent l="0" t="0" r="3175" b="635"/>
            <wp:docPr id="6" name="图片 6" descr="1090cca692f166ef9616556feab3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090cca692f166ef9616556feab364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365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19C025"/>
    <w:p w14:paraId="120BDCEB">
      <w:pPr>
        <w:jc w:val="center"/>
      </w:pPr>
    </w:p>
    <w:p w14:paraId="3572082D">
      <w:pPr>
        <w:pStyle w:val="3"/>
        <w:widowControl w:val="0"/>
        <w:numPr>
          <w:ilvl w:val="0"/>
          <w:numId w:val="2"/>
        </w:numPr>
        <w:adjustRightInd/>
        <w:snapToGrid/>
        <w:jc w:val="both"/>
        <w:rPr>
          <w:rFonts w:ascii="黑体" w:hAnsi="Calibri" w:eastAsia="黑体" w:cs="Times New Roman"/>
        </w:rPr>
      </w:pPr>
      <w:bookmarkStart w:id="8" w:name="_Toc10420"/>
      <w:r>
        <w:rPr>
          <w:rFonts w:hint="eastAsia" w:ascii="黑体" w:hAnsi="Calibri" w:eastAsia="黑体" w:cs="Times New Roman"/>
        </w:rPr>
        <w:t>业务操作说明</w:t>
      </w:r>
      <w:bookmarkEnd w:id="7"/>
      <w:bookmarkEnd w:id="8"/>
    </w:p>
    <w:p w14:paraId="1FEE0BE3">
      <w:pPr>
        <w:pStyle w:val="4"/>
        <w:spacing w:line="240" w:lineRule="auto"/>
      </w:pPr>
      <w:bookmarkStart w:id="9" w:name="_Toc18203"/>
      <w:bookmarkStart w:id="10" w:name="_Toc57152576"/>
      <w:r>
        <w:rPr>
          <w:rFonts w:hint="eastAsia"/>
        </w:rPr>
        <w:t>交易进场申请</w:t>
      </w:r>
      <w:bookmarkEnd w:id="9"/>
    </w:p>
    <w:p w14:paraId="5FE42085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黑体" w:hAnsi="Calibri" w:eastAsia="宋体" w:cs="Times New Roman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出让人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登录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系统后，鼠标放在自然资源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交易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字样上，然后出现系统模块后，选中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对应的模块。</w:t>
      </w:r>
    </w:p>
    <w:p w14:paraId="2634FFAC">
      <w:r>
        <w:drawing>
          <wp:inline distT="0" distB="0" distL="114300" distR="114300">
            <wp:extent cx="5266690" cy="2362200"/>
            <wp:effectExtent l="0" t="0" r="3810" b="0"/>
            <wp:docPr id="3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4D1DD9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ascii="宋体" w:hAnsi="宋体" w:eastAsia="宋体" w:cs="Times New Roman"/>
          <w:kern w:val="2"/>
          <w:sz w:val="24"/>
          <w:szCs w:val="24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进入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土地使用权交易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页面之后，点击菜单“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项目申请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&gt; 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进场委托人申请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”，进入列表页面，点击“申请进场”按钮。</w:t>
      </w:r>
    </w:p>
    <w:p w14:paraId="10347B48"/>
    <w:p w14:paraId="47ED5AA9">
      <w:r>
        <w:drawing>
          <wp:inline distT="0" distB="0" distL="114300" distR="114300">
            <wp:extent cx="5266690" cy="2337435"/>
            <wp:effectExtent l="0" t="0" r="3810" b="12065"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F9D594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微软雅黑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进入委托人交易进场申请处理页，填写好基本申请信息，注：项目名称按提示填写。</w:t>
      </w:r>
    </w:p>
    <w:bookmarkEnd w:id="10"/>
    <w:p w14:paraId="0E361E9D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7960" cy="3171190"/>
            <wp:effectExtent l="0" t="0" r="2540" b="3810"/>
            <wp:docPr id="4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171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314CD8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在宗地录入处，点击“新增宗地”，进入编辑宗地信息界面；</w:t>
      </w:r>
    </w:p>
    <w:p w14:paraId="0621D5AE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1475740"/>
            <wp:effectExtent l="0" t="0" r="3810" b="10160"/>
            <wp:docPr id="3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47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5338A6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需要按要求填写好基本信息及竞买信息，注：（1）宗地名称按照提示编辑（2）挂牌竞价截止时间由经办项目委托时设置；</w:t>
      </w:r>
    </w:p>
    <w:p w14:paraId="2FDF127C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7325" cy="3254375"/>
            <wp:effectExtent l="0" t="0" r="3175" b="9525"/>
            <wp:docPr id="3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25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D3B3C4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资格审查所需资料已经自动生成固定的审查资料，如需增加其他资料，点击“新建”，并录入审查资料名称；还需要将项目附件（出让方案、用地红线图、其他附件等等）、</w:t>
      </w:r>
      <w:r>
        <w:rPr>
          <w:rFonts w:hint="eastAsia" w:ascii="宋体" w:hAnsi="宋体" w:eastAsia="宋体" w:cs="Times New Roman"/>
          <w:color w:val="FF0000"/>
          <w:kern w:val="2"/>
          <w:sz w:val="24"/>
          <w:szCs w:val="24"/>
          <w:lang w:val="en-US" w:eastAsia="zh-CN"/>
        </w:rPr>
        <w:t>（必填项）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项目附件（规划设计条件）、宗地图片/现场图片（对外）的资料上传至系统，填写完成后，点击“保存”按钮。</w:t>
      </w:r>
    </w:p>
    <w:p w14:paraId="137CF63A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1555115"/>
            <wp:effectExtent l="0" t="0" r="3810" b="6985"/>
            <wp:docPr id="3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55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EB14AE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在进场交易申请表处，点击“生成交易申请表”，并且对该表进行电子签章。插入CA证书后，点击“电子签章”，跳出签章界面，点击“普通签章”，输入CA密码，即可在相应位置上盖章，盖章完成后，点击“提交”按钮。</w:t>
      </w:r>
    </w:p>
    <w:p w14:paraId="714A3181">
      <w:r>
        <w:drawing>
          <wp:inline distT="0" distB="0" distL="114300" distR="114300">
            <wp:extent cx="5269865" cy="2122805"/>
            <wp:effectExtent l="0" t="0" r="635" b="10795"/>
            <wp:docPr id="4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122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73572C">
      <w:r>
        <w:drawing>
          <wp:inline distT="0" distB="0" distL="114300" distR="114300">
            <wp:extent cx="5268595" cy="3357880"/>
            <wp:effectExtent l="0" t="0" r="1905" b="7620"/>
            <wp:docPr id="4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35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6A4CAC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在委托函处，点击“上传附件”按钮，上传该项目的委托函。所有资料录入完成后，即可点击“提交进场申请”按钮，流程流转到中心。</w:t>
      </w:r>
    </w:p>
    <w:p w14:paraId="66B6D0AF">
      <w:r>
        <w:drawing>
          <wp:inline distT="0" distB="0" distL="114300" distR="114300">
            <wp:extent cx="5270500" cy="1193165"/>
            <wp:effectExtent l="0" t="0" r="0" b="635"/>
            <wp:docPr id="4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193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CF297F"/>
    <w:p w14:paraId="044BFC4C"/>
    <w:p w14:paraId="48EF3F4C">
      <w:pPr>
        <w:pStyle w:val="4"/>
        <w:spacing w:line="240" w:lineRule="auto"/>
      </w:pPr>
      <w:bookmarkStart w:id="11" w:name="_Toc5939"/>
      <w:r>
        <w:rPr>
          <w:rFonts w:hint="eastAsia"/>
          <w:lang w:val="en-US" w:eastAsia="zh-CN"/>
        </w:rPr>
        <w:t>交易发布确认</w:t>
      </w:r>
      <w:bookmarkEnd w:id="11"/>
    </w:p>
    <w:p w14:paraId="11D76541">
      <w:pPr>
        <w:widowControl w:val="0"/>
        <w:adjustRightInd/>
        <w:snapToGrid/>
        <w:spacing w:before="62" w:beforeLines="20" w:after="62" w:afterLines="20" w:line="360" w:lineRule="auto"/>
        <w:ind w:firstLine="420" w:firstLineChars="200"/>
        <w:jc w:val="both"/>
        <w:rPr>
          <w:rFonts w:hint="eastAsia" w:asciiTheme="minorHAnsi" w:hAnsiTheme="minorHAnsi" w:eastAsiaTheme="minorEastAsia"/>
          <w:kern w:val="2"/>
          <w:sz w:val="21"/>
          <w:lang w:val="en-US" w:eastAsia="zh-CN"/>
        </w:rPr>
      </w:pPr>
      <w:r>
        <w:rPr>
          <w:rFonts w:hint="eastAsia" w:asciiTheme="minorHAnsi" w:hAnsiTheme="minorHAnsi" w:eastAsiaTheme="minorEastAsia"/>
          <w:kern w:val="2"/>
          <w:sz w:val="21"/>
          <w:lang w:val="en-US" w:eastAsia="zh-CN"/>
        </w:rPr>
        <w:t>项目委托环节由中心经办人录入，中心部长，分管领导（如有），中心主任审阅后，流程流转至委托人确认环节。</w:t>
      </w:r>
    </w:p>
    <w:p w14:paraId="270017C6">
      <w:pPr>
        <w:widowControl w:val="0"/>
        <w:adjustRightInd/>
        <w:snapToGrid/>
        <w:spacing w:before="62" w:beforeLines="20" w:after="62" w:afterLines="20" w:line="360" w:lineRule="auto"/>
        <w:ind w:firstLine="420" w:firstLineChars="200"/>
        <w:jc w:val="both"/>
        <w:rPr>
          <w:rFonts w:hint="default"/>
          <w:lang w:val="en-US" w:eastAsia="zh-CN"/>
        </w:rPr>
      </w:pPr>
      <w:r>
        <w:rPr>
          <w:rFonts w:hint="eastAsia" w:asciiTheme="minorHAnsi" w:hAnsiTheme="minorHAnsi" w:eastAsiaTheme="minorEastAsia"/>
          <w:kern w:val="2"/>
          <w:sz w:val="21"/>
          <w:lang w:val="en-US" w:eastAsia="zh-CN"/>
        </w:rPr>
        <w:t>委托人点击菜单“交易发布 &gt;项目委托人确认”，找到对应项目，点击“确认”按钮，进入委托人确认处理页。</w:t>
      </w:r>
    </w:p>
    <w:p w14:paraId="639B843A">
      <w:r>
        <w:drawing>
          <wp:inline distT="0" distB="0" distL="114300" distR="114300">
            <wp:extent cx="5266690" cy="2337435"/>
            <wp:effectExtent l="0" t="0" r="3810" b="12065"/>
            <wp:docPr id="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CD657C">
      <w:pPr>
        <w:widowControl w:val="0"/>
        <w:adjustRightInd/>
        <w:snapToGrid/>
        <w:spacing w:before="62" w:beforeLines="20" w:after="62" w:afterLines="20" w:line="360" w:lineRule="auto"/>
        <w:ind w:firstLine="420" w:firstLineChars="200"/>
        <w:jc w:val="both"/>
        <w:rPr>
          <w:rFonts w:hint="default" w:asciiTheme="minorHAnsi" w:hAnsiTheme="minorHAnsi" w:eastAsiaTheme="minorEastAsia"/>
          <w:kern w:val="2"/>
          <w:sz w:val="21"/>
          <w:lang w:val="en-US" w:eastAsia="zh-CN"/>
        </w:rPr>
      </w:pPr>
      <w:r>
        <w:rPr>
          <w:rFonts w:hint="eastAsia" w:asciiTheme="minorHAnsi" w:hAnsiTheme="minorHAnsi" w:eastAsiaTheme="minorEastAsia"/>
          <w:kern w:val="2"/>
          <w:sz w:val="21"/>
          <w:lang w:val="en-US" w:eastAsia="zh-CN"/>
        </w:rPr>
        <w:t>委托人确认委托信息无误后，需要在挂牌文件附件处，对挂牌文件进行电子签章。</w:t>
      </w:r>
    </w:p>
    <w:p w14:paraId="1A1D7B87">
      <w:r>
        <w:drawing>
          <wp:inline distT="0" distB="0" distL="114300" distR="114300">
            <wp:extent cx="5266690" cy="2337435"/>
            <wp:effectExtent l="0" t="0" r="3810" b="12065"/>
            <wp:docPr id="2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765254">
      <w:pPr>
        <w:widowControl w:val="0"/>
        <w:adjustRightInd/>
        <w:snapToGrid/>
        <w:spacing w:before="62" w:beforeLines="20" w:after="62" w:afterLines="20" w:line="360" w:lineRule="auto"/>
        <w:ind w:firstLine="420" w:firstLineChars="200"/>
        <w:jc w:val="both"/>
        <w:rPr>
          <w:rFonts w:hint="default" w:asciiTheme="minorHAnsi" w:hAnsiTheme="minorHAnsi" w:eastAsiaTheme="minorEastAsia"/>
          <w:kern w:val="2"/>
          <w:sz w:val="21"/>
          <w:lang w:val="en-US" w:eastAsia="zh-CN"/>
        </w:rPr>
      </w:pPr>
      <w:r>
        <w:rPr>
          <w:rFonts w:hint="eastAsia" w:asciiTheme="minorHAnsi" w:hAnsiTheme="minorHAnsi" w:eastAsiaTheme="minorEastAsia"/>
          <w:kern w:val="2"/>
          <w:sz w:val="21"/>
          <w:lang w:val="en-US" w:eastAsia="zh-CN"/>
        </w:rPr>
        <w:t>核对完信息，并对挂牌文件签章后，即可点击“提交”按钮，流程流转至中心发布，如发现内容需要修改，则可以点击“退回”按钮，流程退回至中心经办项目委托环节。</w:t>
      </w:r>
    </w:p>
    <w:p w14:paraId="2FC029FD">
      <w:r>
        <w:drawing>
          <wp:inline distT="0" distB="0" distL="114300" distR="114300">
            <wp:extent cx="5266690" cy="2337435"/>
            <wp:effectExtent l="0" t="0" r="3810" b="12065"/>
            <wp:docPr id="2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FB7D0E">
      <w:r>
        <w:drawing>
          <wp:inline distT="0" distB="0" distL="114300" distR="114300">
            <wp:extent cx="5266690" cy="2337435"/>
            <wp:effectExtent l="0" t="0" r="3810" b="12065"/>
            <wp:docPr id="3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946D98">
      <w:pPr>
        <w:pStyle w:val="4"/>
        <w:spacing w:line="240" w:lineRule="auto"/>
      </w:pPr>
      <w:bookmarkStart w:id="12" w:name="_Toc19122"/>
      <w:r>
        <w:rPr>
          <w:rFonts w:hint="eastAsia"/>
          <w:lang w:val="en-US" w:eastAsia="zh-CN"/>
        </w:rPr>
        <w:t>正在挂牌资源</w:t>
      </w:r>
      <w:bookmarkEnd w:id="12"/>
    </w:p>
    <w:p w14:paraId="60AA3E74">
      <w:pPr>
        <w:spacing w:before="62" w:beforeLines="20" w:after="62" w:afterLines="20" w:line="360" w:lineRule="auto"/>
        <w:ind w:firstLine="562" w:firstLineChars="200"/>
        <w:rPr>
          <w:rFonts w:hint="eastAsia" w:ascii="宋体" w:hAnsi="宋体" w:eastAsia="宋体" w:cs="Times New Roman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b/>
          <w:bCs/>
          <w:sz w:val="28"/>
          <w:szCs w:val="28"/>
          <w:lang w:val="en-US" w:eastAsia="zh-CN"/>
        </w:rPr>
        <w:t xml:space="preserve">2.3.1 </w:t>
      </w:r>
      <w:r>
        <w:rPr>
          <w:rFonts w:hint="eastAsia" w:ascii="宋体" w:hAnsi="宋体" w:eastAsia="宋体" w:cs="Times New Roman"/>
          <w:b w:val="0"/>
          <w:bCs w:val="0"/>
          <w:sz w:val="24"/>
          <w:szCs w:val="24"/>
          <w:lang w:val="en-US" w:eastAsia="zh-CN"/>
        </w:rPr>
        <w:t>该项目进场选择了设置竞拍底价，出让人在发了公告至竞价结束时间前半小时可以设置底价；选择了设置竞拍底价，而最终没有去设置则视为无设置底价。</w:t>
      </w:r>
    </w:p>
    <w:p w14:paraId="1CF6A6D1">
      <w:pPr>
        <w:spacing w:before="62" w:beforeLines="20" w:after="62" w:afterLines="20" w:line="360" w:lineRule="auto"/>
        <w:ind w:firstLine="480" w:firstLineChars="200"/>
        <w:rPr>
          <w:rFonts w:hint="default" w:ascii="宋体" w:hAnsi="宋体" w:eastAsia="宋体" w:cs="Times New Roman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b w:val="0"/>
          <w:bCs w:val="0"/>
          <w:sz w:val="24"/>
          <w:szCs w:val="24"/>
          <w:lang w:val="en-US" w:eastAsia="zh-CN"/>
        </w:rPr>
        <w:t>点击菜单</w:t>
      </w:r>
      <w:r>
        <w:rPr>
          <w:rFonts w:hint="eastAsia" w:ascii="宋体" w:hAnsi="宋体" w:eastAsia="宋体" w:cs="Times New Roman"/>
          <w:sz w:val="24"/>
          <w:szCs w:val="24"/>
        </w:rPr>
        <w:t>“交易发布 &gt;</w:t>
      </w: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正在挂牌资源</w:t>
      </w:r>
      <w:r>
        <w:rPr>
          <w:rFonts w:hint="eastAsia" w:ascii="宋体" w:hAnsi="宋体" w:eastAsia="宋体" w:cs="Times New Roman"/>
          <w:sz w:val="24"/>
          <w:szCs w:val="24"/>
        </w:rPr>
        <w:t>”</w:t>
      </w:r>
      <w:r>
        <w:rPr>
          <w:rFonts w:hint="eastAsia" w:ascii="宋体" w:hAnsi="宋体" w:eastAsia="宋体" w:cs="Times New Roman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点击“设置底价”按钮，进入设置底价页面，设置完成后，点击“保存”按钮即可。</w:t>
      </w:r>
    </w:p>
    <w:p w14:paraId="598AEBFD">
      <w:pPr>
        <w:spacing w:before="62" w:beforeLines="20" w:after="62" w:afterLines="20" w:line="360" w:lineRule="auto"/>
        <w:ind w:firstLine="440" w:firstLineChars="200"/>
      </w:pPr>
      <w:r>
        <w:drawing>
          <wp:inline distT="0" distB="0" distL="114300" distR="114300">
            <wp:extent cx="5266690" cy="1978025"/>
            <wp:effectExtent l="0" t="0" r="3810" b="3175"/>
            <wp:docPr id="5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7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E0C6AA">
      <w:pPr>
        <w:spacing w:before="62" w:beforeLines="20" w:after="62" w:afterLines="20" w:line="360" w:lineRule="auto"/>
        <w:ind w:firstLine="440" w:firstLineChars="200"/>
        <w:rPr>
          <w:rFonts w:hint="default"/>
          <w:lang w:val="en-US" w:eastAsia="zh-CN"/>
        </w:rPr>
      </w:pPr>
      <w:r>
        <w:drawing>
          <wp:inline distT="0" distB="0" distL="114300" distR="114300">
            <wp:extent cx="5273675" cy="1438275"/>
            <wp:effectExtent l="0" t="0" r="9525" b="9525"/>
            <wp:docPr id="5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030985">
      <w:pPr>
        <w:spacing w:before="62" w:beforeLines="20" w:after="62" w:afterLines="20" w:line="360" w:lineRule="auto"/>
        <w:ind w:firstLine="562" w:firstLineChars="200"/>
      </w:pPr>
      <w:r>
        <w:rPr>
          <w:rFonts w:hint="eastAsia" w:ascii="宋体" w:hAnsi="宋体" w:eastAsia="宋体" w:cs="Times New Roman"/>
          <w:b/>
          <w:bCs/>
          <w:sz w:val="28"/>
          <w:szCs w:val="28"/>
          <w:lang w:val="en-US" w:eastAsia="zh-CN"/>
        </w:rPr>
        <w:t>2.3.2</w:t>
      </w: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Times New Roman"/>
          <w:sz w:val="24"/>
          <w:szCs w:val="24"/>
        </w:rPr>
        <w:t>发布公告后，</w:t>
      </w: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委托人</w:t>
      </w:r>
      <w:r>
        <w:rPr>
          <w:rFonts w:hint="eastAsia" w:ascii="宋体" w:hAnsi="宋体" w:eastAsia="宋体" w:cs="Times New Roman"/>
          <w:sz w:val="24"/>
          <w:szCs w:val="24"/>
        </w:rPr>
        <w:t>点击菜单“交易发布 &gt;</w:t>
      </w: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正在挂牌资源</w:t>
      </w:r>
      <w:r>
        <w:rPr>
          <w:rFonts w:hint="eastAsia" w:ascii="宋体" w:hAnsi="宋体" w:eastAsia="宋体" w:cs="Times New Roman"/>
          <w:sz w:val="24"/>
          <w:szCs w:val="24"/>
        </w:rPr>
        <w:t>”，</w:t>
      </w: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选择对应项目，点击“查看”按钮，查看该项目的基本信息、交易时间、竞买信息等</w:t>
      </w:r>
      <w:r>
        <w:rPr>
          <w:rFonts w:hint="eastAsia" w:ascii="宋体" w:hAnsi="宋体" w:eastAsia="宋体" w:cs="Times New Roman"/>
          <w:sz w:val="24"/>
          <w:szCs w:val="24"/>
        </w:rPr>
        <w:t>。</w:t>
      </w:r>
    </w:p>
    <w:p w14:paraId="265291E9">
      <w:r>
        <w:drawing>
          <wp:inline distT="0" distB="0" distL="114300" distR="114300">
            <wp:extent cx="5266690" cy="2337435"/>
            <wp:effectExtent l="0" t="0" r="3810" b="12065"/>
            <wp:docPr id="3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D9A98D">
      <w:r>
        <w:drawing>
          <wp:inline distT="0" distB="0" distL="114300" distR="114300">
            <wp:extent cx="5271135" cy="3443605"/>
            <wp:effectExtent l="0" t="0" r="12065" b="10795"/>
            <wp:docPr id="3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443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D0FB85">
      <w:pPr>
        <w:pStyle w:val="4"/>
        <w:spacing w:line="240" w:lineRule="auto"/>
      </w:pPr>
      <w:bookmarkStart w:id="13" w:name="_Toc5072"/>
      <w:r>
        <w:rPr>
          <w:rFonts w:hint="eastAsia"/>
          <w:lang w:val="en-US" w:eastAsia="zh-CN"/>
        </w:rPr>
        <w:t>项目公告查询</w:t>
      </w:r>
      <w:bookmarkEnd w:id="13"/>
    </w:p>
    <w:p w14:paraId="25F44659">
      <w:pPr>
        <w:spacing w:before="62" w:beforeLines="20" w:after="62" w:afterLines="20" w:line="360" w:lineRule="auto"/>
        <w:ind w:firstLine="480" w:firstLineChars="200"/>
        <w:rPr>
          <w:rFonts w:hint="default" w:ascii="宋体" w:hAnsi="宋体" w:eastAsia="宋体" w:cs="Times New Roman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委托人</w:t>
      </w:r>
      <w:r>
        <w:rPr>
          <w:rFonts w:hint="eastAsia" w:ascii="宋体" w:hAnsi="宋体" w:eastAsia="宋体" w:cs="Times New Roman"/>
          <w:sz w:val="24"/>
          <w:szCs w:val="24"/>
        </w:rPr>
        <w:t xml:space="preserve">点击菜单“交易发布 &gt; </w:t>
      </w: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项目公告查询</w:t>
      </w:r>
      <w:r>
        <w:rPr>
          <w:rFonts w:hint="eastAsia" w:ascii="宋体" w:hAnsi="宋体" w:eastAsia="宋体" w:cs="Times New Roman"/>
          <w:sz w:val="24"/>
          <w:szCs w:val="24"/>
        </w:rPr>
        <w:t>”，</w:t>
      </w: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选择对应项目，点击“查看”按钮，可以查看交易基本信息及项目公告内容。</w:t>
      </w:r>
    </w:p>
    <w:p w14:paraId="38906548">
      <w:r>
        <w:drawing>
          <wp:inline distT="0" distB="0" distL="114300" distR="114300">
            <wp:extent cx="5266690" cy="2337435"/>
            <wp:effectExtent l="0" t="0" r="3810" b="12065"/>
            <wp:docPr id="4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4F8182">
      <w:r>
        <w:drawing>
          <wp:inline distT="0" distB="0" distL="114300" distR="114300">
            <wp:extent cx="5272405" cy="3104515"/>
            <wp:effectExtent l="0" t="0" r="10795" b="6985"/>
            <wp:docPr id="4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10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5F85BB"/>
    <w:p w14:paraId="4D72F9F8">
      <w:pPr>
        <w:pStyle w:val="4"/>
        <w:spacing w:line="240" w:lineRule="auto"/>
      </w:pPr>
      <w:bookmarkStart w:id="14" w:name="_Toc24790"/>
      <w:r>
        <w:rPr>
          <w:rFonts w:hint="eastAsia"/>
          <w:lang w:val="en-US" w:eastAsia="zh-CN"/>
        </w:rPr>
        <w:t>交易查询</w:t>
      </w:r>
      <w:bookmarkEnd w:id="14"/>
    </w:p>
    <w:p w14:paraId="437655EC">
      <w:pPr>
        <w:spacing w:before="62" w:beforeLines="20" w:after="62" w:afterLines="20" w:line="360" w:lineRule="auto"/>
        <w:ind w:firstLine="480" w:firstLineChars="200"/>
        <w:rPr>
          <w:rFonts w:hint="eastAsia" w:ascii="宋体" w:hAnsi="宋体" w:eastAsia="宋体" w:cs="Times New Roman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委托人点击菜单“交易发布 &gt; 交易查询”，列表显示所有的交易项目，选择对应项目，点击“查看”按钮，进入交易查询处理页。</w:t>
      </w:r>
    </w:p>
    <w:p w14:paraId="4CC90B1B">
      <w:r>
        <w:drawing>
          <wp:inline distT="0" distB="0" distL="114300" distR="114300">
            <wp:extent cx="5266690" cy="2337435"/>
            <wp:effectExtent l="0" t="0" r="3810" b="12065"/>
            <wp:docPr id="4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81E4ED"/>
    <w:p w14:paraId="483FF89A">
      <w:pPr>
        <w:pStyle w:val="4"/>
        <w:spacing w:line="240" w:lineRule="auto"/>
      </w:pPr>
      <w:bookmarkStart w:id="15" w:name="_Toc18198"/>
      <w:r>
        <w:rPr>
          <w:rFonts w:hint="eastAsia"/>
        </w:rPr>
        <w:t>资格</w:t>
      </w:r>
      <w:r>
        <w:rPr>
          <w:rFonts w:hint="eastAsia"/>
          <w:lang w:val="en-US" w:eastAsia="zh-CN"/>
        </w:rPr>
        <w:t>审查（矿业权出让）</w:t>
      </w:r>
      <w:bookmarkEnd w:id="15"/>
    </w:p>
    <w:p w14:paraId="24CC845C">
      <w:pPr>
        <w:spacing w:before="62" w:beforeLines="20" w:after="62" w:afterLines="20" w:line="360" w:lineRule="auto"/>
        <w:ind w:firstLine="482" w:firstLineChars="200"/>
        <w:rPr>
          <w:rFonts w:hint="eastAsia" w:ascii="宋体" w:hAnsi="宋体" w:eastAsia="宋体" w:cs="Times New Roman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b/>
          <w:bCs/>
          <w:sz w:val="24"/>
          <w:szCs w:val="24"/>
          <w:lang w:val="en-US" w:eastAsia="zh-CN"/>
        </w:rPr>
        <w:t>土地使用权资格审查流程为：</w:t>
      </w: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竞得人上传审核材料-中心经办审核-中心部长审核；</w:t>
      </w:r>
    </w:p>
    <w:p w14:paraId="27EC0FC5">
      <w:pPr>
        <w:spacing w:before="62" w:beforeLines="20" w:after="62" w:afterLines="20" w:line="360" w:lineRule="auto"/>
        <w:ind w:firstLine="482" w:firstLineChars="200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b/>
          <w:bCs/>
          <w:sz w:val="24"/>
          <w:szCs w:val="24"/>
          <w:lang w:val="en-US" w:eastAsia="zh-CN"/>
        </w:rPr>
        <w:t>矿业权出让资格审查流程为：</w:t>
      </w:r>
      <w:r>
        <w:rPr>
          <w:rFonts w:hint="eastAsia" w:ascii="宋体" w:hAnsi="宋体" w:eastAsia="宋体" w:cs="Times New Roman"/>
          <w:sz w:val="24"/>
          <w:szCs w:val="24"/>
          <w:lang w:val="en-US" w:eastAsia="zh-CN"/>
        </w:rPr>
        <w:t>竞得人上传审核材料-中心经办审核-中心部长审核-</w:t>
      </w:r>
      <w:r>
        <w:rPr>
          <w:rFonts w:hint="eastAsia" w:ascii="宋体" w:hAnsi="宋体" w:eastAsia="宋体" w:cs="Times New Roman"/>
          <w:color w:val="auto"/>
          <w:sz w:val="24"/>
          <w:szCs w:val="24"/>
          <w:lang w:val="en-US" w:eastAsia="zh-CN"/>
        </w:rPr>
        <w:t>委托人确认；</w:t>
      </w:r>
    </w:p>
    <w:p w14:paraId="2D5F4196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eastAsia="宋体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委托人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资格审查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资格后审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委托人确认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”，进入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资格审查确认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页面；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点击“通过”按钮，资格审查通过，点击“退回”按钮，流程退回至竞得人上传资格审查材料环节。</w:t>
      </w:r>
    </w:p>
    <w:p w14:paraId="356597F7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2362200"/>
            <wp:effectExtent l="0" t="0" r="381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9101C8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2362200"/>
            <wp:effectExtent l="0" t="0" r="3810" b="0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38D9E1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2362200"/>
            <wp:effectExtent l="0" t="0" r="3810" b="0"/>
            <wp:docPr id="4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E708A8">
      <w:pPr>
        <w:widowControl w:val="0"/>
        <w:adjustRightInd/>
        <w:snapToGrid/>
        <w:spacing w:before="62" w:beforeLines="20" w:after="62" w:afterLines="20" w:line="360" w:lineRule="auto"/>
        <w:jc w:val="both"/>
      </w:pPr>
    </w:p>
    <w:p w14:paraId="5B902D08">
      <w:pPr>
        <w:widowControl w:val="0"/>
        <w:adjustRightInd/>
        <w:snapToGrid/>
        <w:spacing w:before="62" w:beforeLines="20" w:after="62" w:afterLines="20" w:line="360" w:lineRule="auto"/>
        <w:jc w:val="both"/>
      </w:pPr>
    </w:p>
    <w:p w14:paraId="72F32059">
      <w:pPr>
        <w:pStyle w:val="4"/>
        <w:spacing w:line="240" w:lineRule="auto"/>
      </w:pPr>
      <w:bookmarkStart w:id="16" w:name="_Toc6412"/>
      <w:r>
        <w:rPr>
          <w:rFonts w:hint="eastAsia"/>
        </w:rPr>
        <w:t>成交确认书</w:t>
      </w:r>
      <w:r>
        <w:rPr>
          <w:rFonts w:hint="eastAsia"/>
          <w:lang w:val="en-US" w:eastAsia="zh-CN"/>
        </w:rPr>
        <w:t>查询</w:t>
      </w:r>
      <w:bookmarkEnd w:id="16"/>
    </w:p>
    <w:p w14:paraId="5CF9AAF9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成交确认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成交确认书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查询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”，进入列表页面，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点击“查看”按钮，进入成交确认书查看页面。</w:t>
      </w:r>
    </w:p>
    <w:p w14:paraId="4DD6A03A">
      <w:pPr>
        <w:widowControl w:val="0"/>
        <w:adjustRightInd/>
        <w:snapToGrid/>
        <w:spacing w:before="62" w:beforeLines="20" w:after="62" w:afterLines="20" w:line="360" w:lineRule="auto"/>
        <w:jc w:val="center"/>
      </w:pPr>
      <w:r>
        <w:drawing>
          <wp:inline distT="0" distB="0" distL="114300" distR="114300">
            <wp:extent cx="5266690" cy="2337435"/>
            <wp:effectExtent l="0" t="0" r="3810" b="12065"/>
            <wp:docPr id="5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3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77343A">
      <w:pPr>
        <w:widowControl w:val="0"/>
        <w:adjustRightInd/>
        <w:snapToGrid/>
        <w:spacing w:before="62" w:beforeLines="20" w:after="62" w:afterLines="20" w:line="360" w:lineRule="auto"/>
        <w:jc w:val="center"/>
      </w:pPr>
      <w:r>
        <w:drawing>
          <wp:inline distT="0" distB="0" distL="114300" distR="114300">
            <wp:extent cx="5266690" cy="1703705"/>
            <wp:effectExtent l="0" t="0" r="3810" b="10795"/>
            <wp:docPr id="5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03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E4A5F9">
      <w:pPr>
        <w:pStyle w:val="4"/>
        <w:spacing w:line="240" w:lineRule="auto"/>
        <w:rPr>
          <w:rFonts w:hint="eastAsia"/>
          <w:lang w:val="en-US" w:eastAsia="zh-CN"/>
        </w:rPr>
      </w:pPr>
      <w:bookmarkStart w:id="17" w:name="_Toc3832"/>
      <w:r>
        <w:rPr>
          <w:rFonts w:hint="eastAsia"/>
          <w:lang w:val="en-US" w:eastAsia="zh-CN"/>
        </w:rPr>
        <w:t>合同签订</w:t>
      </w:r>
      <w:bookmarkEnd w:id="17"/>
    </w:p>
    <w:p w14:paraId="32584EAF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合同签订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合同上传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”，进入列表页面，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点击“上传”按钮，进入上传合同处理页。填写完合同信息后，点击“上传附件”按钮，将合同上传至系统；点击“业主签章”按钮，对上传的合同进行电子签章，签章完成后，提交至竞得人签章。</w:t>
      </w:r>
    </w:p>
    <w:p w14:paraId="6132B77E">
      <w:r>
        <w:drawing>
          <wp:inline distT="0" distB="0" distL="114300" distR="114300">
            <wp:extent cx="5266690" cy="1862455"/>
            <wp:effectExtent l="0" t="0" r="3810" b="4445"/>
            <wp:docPr id="5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862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6CFD7F">
      <w:r>
        <w:drawing>
          <wp:inline distT="0" distB="0" distL="114300" distR="114300">
            <wp:extent cx="5266690" cy="2076450"/>
            <wp:effectExtent l="0" t="0" r="3810" b="6350"/>
            <wp:docPr id="5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6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1478EF">
      <w:r>
        <w:drawing>
          <wp:inline distT="0" distB="0" distL="114300" distR="114300">
            <wp:extent cx="5271135" cy="1627505"/>
            <wp:effectExtent l="0" t="0" r="12065" b="10795"/>
            <wp:docPr id="5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7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62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3DA3B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合同签订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合同确认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”，进入列表页面，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“确认”按钮，进入合同确认处理页，复核无误后，点击“复核通过合同归档”按钮，提交至交易中心进行合同归档，如发现竞得人签章有误，点击“退回竞得人重新签署”按钮，流程回退至竞得人签署环节。</w:t>
      </w:r>
    </w:p>
    <w:p w14:paraId="20731697">
      <w:r>
        <w:drawing>
          <wp:inline distT="0" distB="0" distL="114300" distR="114300">
            <wp:extent cx="5266690" cy="2337435"/>
            <wp:effectExtent l="0" t="0" r="3810" b="12065"/>
            <wp:docPr id="5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8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A51490">
      <w:r>
        <w:drawing>
          <wp:inline distT="0" distB="0" distL="114300" distR="114300">
            <wp:extent cx="5266690" cy="2082165"/>
            <wp:effectExtent l="0" t="0" r="3810" b="635"/>
            <wp:docPr id="6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10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82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D81E9D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1936750"/>
            <wp:effectExtent l="0" t="0" r="3810" b="6350"/>
            <wp:docPr id="6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1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3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209840">
      <w:pPr>
        <w:pStyle w:val="4"/>
        <w:spacing w:line="240" w:lineRule="auto"/>
        <w:rPr>
          <w:rFonts w:hint="eastAsia"/>
          <w:lang w:val="en-US" w:eastAsia="zh-CN"/>
        </w:rPr>
      </w:pPr>
      <w:bookmarkStart w:id="18" w:name="_Toc15351"/>
      <w:bookmarkStart w:id="19" w:name="_Toc54259340"/>
      <w:bookmarkStart w:id="20" w:name="_Hlk102163903"/>
      <w:r>
        <w:rPr>
          <w:rFonts w:hint="eastAsia"/>
          <w:lang w:val="en-US" w:eastAsia="zh-CN"/>
        </w:rPr>
        <w:t>保证金退回</w:t>
      </w:r>
      <w:bookmarkEnd w:id="18"/>
      <w:bookmarkEnd w:id="19"/>
    </w:p>
    <w:p w14:paraId="1A3D3217">
      <w:pPr>
        <w:widowControl w:val="0"/>
        <w:adjustRightInd/>
        <w:snapToGrid/>
        <w:spacing w:before="62" w:beforeLines="20" w:after="62" w:afterLines="20" w:line="360" w:lineRule="auto"/>
        <w:ind w:firstLine="482" w:firstLineChars="200"/>
        <w:jc w:val="both"/>
        <w:rPr>
          <w:rFonts w:hint="eastAsia" w:ascii="宋体" w:hAnsi="宋体" w:eastAsia="宋体" w:cs="Times New Roman"/>
          <w:kern w:val="2"/>
          <w:sz w:val="24"/>
          <w:szCs w:val="24"/>
        </w:rPr>
      </w:pPr>
      <w:r>
        <w:rPr>
          <w:rFonts w:hint="eastAsia" w:ascii="宋体" w:hAnsi="宋体" w:eastAsia="宋体" w:cs="Times New Roman"/>
          <w:b/>
          <w:bCs/>
          <w:kern w:val="2"/>
          <w:sz w:val="24"/>
          <w:szCs w:val="24"/>
        </w:rPr>
        <w:t>竞得人退保方式：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出让人发起》经办受理 》部长审核 》 分管领导审核 》主任审核 》财务经办，财务经办接收信息后，在银行系统端发起竞得人保证金的转账处理。</w:t>
      </w:r>
    </w:p>
    <w:p w14:paraId="6E547A0E">
      <w:pPr>
        <w:widowControl w:val="0"/>
        <w:adjustRightInd/>
        <w:snapToGrid/>
        <w:spacing w:before="62" w:beforeLines="20" w:after="62" w:afterLines="20" w:line="360" w:lineRule="auto"/>
        <w:ind w:firstLine="482" w:firstLineChars="200"/>
        <w:jc w:val="both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b/>
          <w:bCs/>
          <w:kern w:val="2"/>
          <w:sz w:val="24"/>
          <w:szCs w:val="24"/>
          <w:lang w:val="en-US" w:eastAsia="zh-CN"/>
        </w:rPr>
        <w:t>非</w:t>
      </w:r>
      <w:r>
        <w:rPr>
          <w:rFonts w:hint="eastAsia" w:ascii="宋体" w:hAnsi="宋体" w:eastAsia="宋体" w:cs="Times New Roman"/>
          <w:b/>
          <w:bCs/>
          <w:kern w:val="2"/>
          <w:sz w:val="24"/>
          <w:szCs w:val="24"/>
        </w:rPr>
        <w:t>竞得人退保方式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：竞价结束后系统自动退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回。</w:t>
      </w:r>
    </w:p>
    <w:p w14:paraId="1FF54C6E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保证金退回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划款申请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进入列表页面，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“申请划款”进入划款申请处理页，填写划款申请信息，上传划款申请附件，如：非税收入缴款通知书及银行端查询缴税凭证（必填项），如有其它附件上传在其他附件处。资料填写无误后，点击“提交”按钮，流程到中心审核。</w:t>
      </w:r>
    </w:p>
    <w:p w14:paraId="52A0D9DE">
      <w:pPr>
        <w:widowControl w:val="0"/>
        <w:adjustRightInd/>
        <w:snapToGrid/>
        <w:spacing w:before="62" w:beforeLines="20" w:after="62" w:afterLines="20" w:line="360" w:lineRule="auto"/>
        <w:ind w:firstLine="440" w:firstLineChars="200"/>
        <w:jc w:val="both"/>
      </w:pPr>
      <w:r>
        <w:drawing>
          <wp:inline distT="0" distB="0" distL="114300" distR="114300">
            <wp:extent cx="5266690" cy="2123440"/>
            <wp:effectExtent l="0" t="0" r="3810" b="1016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2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B54404">
      <w:pPr>
        <w:widowControl w:val="0"/>
        <w:adjustRightInd/>
        <w:snapToGrid/>
        <w:spacing w:before="62" w:beforeLines="20" w:after="62" w:afterLines="20" w:line="360" w:lineRule="auto"/>
        <w:ind w:firstLine="440" w:firstLineChars="200"/>
        <w:jc w:val="both"/>
      </w:pPr>
      <w:r>
        <w:drawing>
          <wp:inline distT="0" distB="0" distL="114300" distR="114300">
            <wp:extent cx="5266690" cy="2320925"/>
            <wp:effectExtent l="0" t="0" r="3810" b="317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2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9FDFD">
      <w:pPr>
        <w:pStyle w:val="4"/>
        <w:spacing w:line="240" w:lineRule="auto"/>
        <w:rPr>
          <w:rFonts w:hint="eastAsia"/>
          <w:lang w:val="en-US" w:eastAsia="zh-CN"/>
        </w:rPr>
      </w:pPr>
      <w:bookmarkStart w:id="21" w:name="_Toc21024"/>
      <w:r>
        <w:rPr>
          <w:rFonts w:hint="eastAsia"/>
          <w:lang w:val="en-US" w:eastAsia="zh-CN"/>
        </w:rPr>
        <w:t>中止交易</w:t>
      </w:r>
      <w:bookmarkEnd w:id="21"/>
    </w:p>
    <w:p w14:paraId="4C498FBC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点击菜单“中止交易&gt; 发起项目中止”，点击“新增交易中止”按钮，选择号项目，点击“编辑”按钮，编辑好中止原因及公告；如有附件，在中止公告附件处点击“上传附件”。填写完成后，点击“提交申请”按钮，流程流转到中心经办处理。</w:t>
      </w:r>
    </w:p>
    <w:p w14:paraId="240BE047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</w:p>
    <w:p w14:paraId="06A15DFD">
      <w:pPr>
        <w:rPr>
          <w:rFonts w:hint="eastAsia"/>
          <w:lang w:val="en-US" w:eastAsia="zh-CN"/>
        </w:rPr>
      </w:pPr>
    </w:p>
    <w:p w14:paraId="79B28D15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1629410"/>
            <wp:effectExtent l="0" t="0" r="3810" b="889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2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6BC61D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1481455"/>
            <wp:effectExtent l="0" t="0" r="3810" b="4445"/>
            <wp:docPr id="3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48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337435"/>
            <wp:effectExtent l="0" t="0" r="3810" b="1206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934805">
      <w:pPr>
        <w:pStyle w:val="4"/>
        <w:spacing w:line="240" w:lineRule="auto"/>
        <w:rPr>
          <w:rFonts w:hint="eastAsia"/>
          <w:lang w:val="en-US" w:eastAsia="zh-CN"/>
        </w:rPr>
      </w:pPr>
      <w:bookmarkStart w:id="22" w:name="_Toc7142"/>
      <w:r>
        <w:rPr>
          <w:rFonts w:hint="eastAsia"/>
          <w:lang w:val="en-US" w:eastAsia="zh-CN"/>
        </w:rPr>
        <w:t>恢复交易</w:t>
      </w:r>
      <w:bookmarkEnd w:id="22"/>
    </w:p>
    <w:p w14:paraId="5C31B21F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eastAsia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点击菜单“恢复交易&gt; 发起项目恢复”，点击“新增交易恢复”按钮，选择好项目，点击“编辑”按钮，填写好恢复原因及公告；如有附件，在恢复公告附件处点击“上传附件”。填写完成后，点击“提交申请”按钮，流程流转到中心经办处理。</w:t>
      </w:r>
    </w:p>
    <w:p w14:paraId="68A32927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1681480"/>
            <wp:effectExtent l="0" t="0" r="3810" b="762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81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CA5941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1440180"/>
            <wp:effectExtent l="0" t="0" r="3810" b="7620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542D0F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2337435"/>
            <wp:effectExtent l="0" t="0" r="3810" b="12065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8363B2">
      <w:pPr>
        <w:pStyle w:val="4"/>
        <w:spacing w:line="240" w:lineRule="auto"/>
        <w:rPr>
          <w:rFonts w:hint="eastAsia"/>
          <w:lang w:val="en-US" w:eastAsia="zh-CN"/>
        </w:rPr>
      </w:pPr>
      <w:bookmarkStart w:id="23" w:name="_Toc11970"/>
      <w:r>
        <w:rPr>
          <w:rFonts w:hint="eastAsia"/>
          <w:lang w:val="en-US" w:eastAsia="zh-CN"/>
        </w:rPr>
        <w:t>更正交易</w:t>
      </w:r>
      <w:bookmarkEnd w:id="23"/>
    </w:p>
    <w:p w14:paraId="76A2BB99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eastAsia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点击菜单“更正交易&gt; 发起项目更正”，点击“新增交易更正”按钮，选择好项目，点击“更正”按钮，进入更正处理页，将需要更正的信息（如基本信息、交易时间、资格审核材料等）更正完毕后，点击“发布更正公告”按钮，进入更正公告拟稿页，编辑好更正原因及公告；在更正公告附件处点击“上传附件”，将更正公告附件上传，并对附件进行电子签章。编辑完成后，点击“提交申请”按钮，流程流转到中心经办处理。</w:t>
      </w:r>
    </w:p>
    <w:p w14:paraId="1CAE5CB5">
      <w:pPr>
        <w:rPr>
          <w:rFonts w:hint="eastAsia"/>
          <w:lang w:val="en-US" w:eastAsia="zh-CN"/>
        </w:rPr>
      </w:pPr>
    </w:p>
    <w:p w14:paraId="7516174A">
      <w:r>
        <w:drawing>
          <wp:inline distT="0" distB="0" distL="114300" distR="114300">
            <wp:extent cx="5266690" cy="1637665"/>
            <wp:effectExtent l="0" t="0" r="3810" b="635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37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809896">
      <w:r>
        <w:drawing>
          <wp:inline distT="0" distB="0" distL="114300" distR="114300">
            <wp:extent cx="5266690" cy="1176655"/>
            <wp:effectExtent l="0" t="0" r="3810" b="4445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17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2894EB">
      <w:r>
        <w:drawing>
          <wp:inline distT="0" distB="0" distL="114300" distR="114300">
            <wp:extent cx="5269865" cy="2984500"/>
            <wp:effectExtent l="0" t="0" r="635" b="0"/>
            <wp:docPr id="1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98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6F8C03">
      <w:r>
        <w:drawing>
          <wp:inline distT="0" distB="0" distL="114300" distR="114300">
            <wp:extent cx="5268595" cy="2394585"/>
            <wp:effectExtent l="0" t="0" r="1905" b="5715"/>
            <wp:docPr id="1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7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94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88F5AF">
      <w:r>
        <w:drawing>
          <wp:inline distT="0" distB="0" distL="114300" distR="114300">
            <wp:extent cx="5266690" cy="2159000"/>
            <wp:effectExtent l="0" t="0" r="3810" b="0"/>
            <wp:docPr id="2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5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76E65C">
      <w:r>
        <w:drawing>
          <wp:inline distT="0" distB="0" distL="114300" distR="114300">
            <wp:extent cx="5266690" cy="2337435"/>
            <wp:effectExtent l="0" t="0" r="3810" b="12065"/>
            <wp:docPr id="2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9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0AFBFF">
      <w:pPr>
        <w:pStyle w:val="4"/>
        <w:spacing w:line="240" w:lineRule="auto"/>
        <w:rPr>
          <w:rFonts w:hint="eastAsia"/>
          <w:lang w:val="en-US" w:eastAsia="zh-CN"/>
        </w:rPr>
      </w:pPr>
      <w:bookmarkStart w:id="24" w:name="_Toc9939"/>
      <w:r>
        <w:rPr>
          <w:rFonts w:hint="eastAsia"/>
          <w:lang w:val="en-US" w:eastAsia="zh-CN"/>
        </w:rPr>
        <w:t>终止交易</w:t>
      </w:r>
      <w:bookmarkEnd w:id="24"/>
    </w:p>
    <w:p w14:paraId="389F4987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eastAsia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点击菜单“终止交易&gt; 发起项目终止”，点击“新增交易终止”按钮，选择好项目，点击“编辑”按钮，进入终止处理页，编辑终止公告标题及公告；如有附件，在终止公告附件处点击“上传附件”。填写完成后，点击“提交申请”按钮，流程流转到中心经办处理。</w:t>
      </w:r>
    </w:p>
    <w:p w14:paraId="30EF5EE3">
      <w:r>
        <w:drawing>
          <wp:inline distT="0" distB="0" distL="114300" distR="114300">
            <wp:extent cx="5266690" cy="1612900"/>
            <wp:effectExtent l="0" t="0" r="3810" b="0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1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38AB4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1000125"/>
            <wp:effectExtent l="0" t="0" r="3810" b="3175"/>
            <wp:docPr id="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5FE9C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337435"/>
            <wp:effectExtent l="0" t="0" r="3810" b="12065"/>
            <wp:docPr id="2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3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0"/>
    <w:p w14:paraId="24464809">
      <w:pPr>
        <w:pStyle w:val="3"/>
        <w:widowControl w:val="0"/>
        <w:numPr>
          <w:ilvl w:val="0"/>
          <w:numId w:val="2"/>
        </w:numPr>
        <w:adjustRightInd/>
        <w:snapToGrid/>
        <w:jc w:val="both"/>
      </w:pPr>
      <w:bookmarkStart w:id="25" w:name="_Toc26915"/>
      <w:r>
        <w:rPr>
          <w:rFonts w:hint="eastAsia" w:ascii="黑体" w:hAnsi="Calibri" w:eastAsia="黑体" w:cs="Times New Roman"/>
        </w:rPr>
        <w:t>技术支持</w:t>
      </w:r>
      <w:bookmarkEnd w:id="25"/>
    </w:p>
    <w:p w14:paraId="60E07FB5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技术支持联系人：</w:t>
      </w:r>
    </w:p>
    <w:p w14:paraId="686870D3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>苏工：13536498728</w:t>
      </w:r>
    </w:p>
    <w:p w14:paraId="69038F1E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时间（周一至周五）：8：30-12：00   14：30-18：00</w:t>
      </w:r>
    </w:p>
    <w:p w14:paraId="14A71961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ascii="宋体" w:hAnsi="宋体" w:eastAsia="宋体" w:cs="Times New Roman"/>
          <w:kern w:val="2"/>
          <w:sz w:val="24"/>
          <w:szCs w:val="24"/>
        </w:rPr>
      </w:pPr>
      <w:bookmarkStart w:id="26" w:name="_GoBack"/>
      <w:bookmarkEnd w:id="26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199A4AA">
    <w:pPr>
      <w:pStyle w:val="16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294B986">
                          <w:pPr>
                            <w:pStyle w:val="16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3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vQ7dty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2294B986">
                    <w:pPr>
                      <w:pStyle w:val="16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3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F5F568C"/>
    <w:multiLevelType w:val="multilevel"/>
    <w:tmpl w:val="3F5F568C"/>
    <w:lvl w:ilvl="0" w:tentative="0">
      <w:start w:val="1"/>
      <w:numFmt w:val="decimal"/>
      <w:lvlText w:val="%1."/>
      <w:lvlJc w:val="left"/>
      <w:pPr>
        <w:tabs>
          <w:tab w:val="left" w:pos="420"/>
        </w:tabs>
        <w:ind w:left="420" w:hanging="420"/>
      </w:p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1">
    <w:nsid w:val="56EBB02D"/>
    <w:multiLevelType w:val="multilevel"/>
    <w:tmpl w:val="56EBB02D"/>
    <w:lvl w:ilvl="0" w:tentative="0">
      <w:start w:val="2"/>
      <w:numFmt w:val="decimal"/>
      <w:pStyle w:val="3"/>
      <w:lvlText w:val="%1."/>
      <w:lvlJc w:val="left"/>
      <w:pPr>
        <w:ind w:left="432" w:hanging="432"/>
      </w:pPr>
      <w:rPr>
        <w:rFonts w:hint="default"/>
      </w:rPr>
    </w:lvl>
    <w:lvl w:ilvl="1" w:tentative="0">
      <w:start w:val="1"/>
      <w:numFmt w:val="decimal"/>
      <w:pStyle w:val="4"/>
      <w:lvlText w:val="%1.%2."/>
      <w:lvlJc w:val="left"/>
      <w:pPr>
        <w:ind w:left="575" w:hanging="575"/>
      </w:pPr>
      <w:rPr>
        <w:rFonts w:hint="default" w:ascii="宋体" w:hAnsi="宋体" w:eastAsia="宋体" w:cs="宋体"/>
      </w:rPr>
    </w:lvl>
    <w:lvl w:ilvl="2" w:tentative="0">
      <w:start w:val="1"/>
      <w:numFmt w:val="decimal"/>
      <w:pStyle w:val="5"/>
      <w:lvlText w:val="%1.%2.%3."/>
      <w:lvlJc w:val="left"/>
      <w:pPr>
        <w:ind w:left="720" w:hanging="720"/>
      </w:pPr>
      <w:rPr>
        <w:rFonts w:hint="default"/>
      </w:rPr>
    </w:lvl>
    <w:lvl w:ilvl="3" w:tentative="0">
      <w:start w:val="1"/>
      <w:numFmt w:val="decimal"/>
      <w:pStyle w:val="6"/>
      <w:lvlText w:val="%1.%2.%3.%4."/>
      <w:lvlJc w:val="left"/>
      <w:pPr>
        <w:ind w:left="864" w:hanging="864"/>
      </w:pPr>
      <w:rPr>
        <w:rFonts w:hint="default"/>
      </w:rPr>
    </w:lvl>
    <w:lvl w:ilvl="4" w:tentative="0">
      <w:start w:val="1"/>
      <w:numFmt w:val="decimal"/>
      <w:pStyle w:val="7"/>
      <w:lvlText w:val="%1.%2.%3.%4.%5."/>
      <w:lvlJc w:val="left"/>
      <w:pPr>
        <w:ind w:left="1008" w:hanging="1008"/>
      </w:pPr>
      <w:rPr>
        <w:rFonts w:hint="default"/>
      </w:rPr>
    </w:lvl>
    <w:lvl w:ilvl="5" w:tentative="0">
      <w:start w:val="1"/>
      <w:numFmt w:val="decimal"/>
      <w:pStyle w:val="8"/>
      <w:lvlText w:val="%1.%2.%3.%4.%5.%6."/>
      <w:lvlJc w:val="left"/>
      <w:pPr>
        <w:ind w:left="1151" w:hanging="1151"/>
      </w:pPr>
      <w:rPr>
        <w:rFonts w:hint="default"/>
      </w:rPr>
    </w:lvl>
    <w:lvl w:ilvl="6" w:tentative="0">
      <w:start w:val="1"/>
      <w:numFmt w:val="decimal"/>
      <w:pStyle w:val="9"/>
      <w:lvlText w:val="%1.%2.%3.%4.%5.%6.%7."/>
      <w:lvlJc w:val="left"/>
      <w:pPr>
        <w:ind w:left="1296" w:hanging="1296"/>
      </w:pPr>
      <w:rPr>
        <w:rFonts w:hint="default"/>
      </w:rPr>
    </w:lvl>
    <w:lvl w:ilvl="7" w:tentative="0">
      <w:start w:val="1"/>
      <w:numFmt w:val="decimal"/>
      <w:pStyle w:val="10"/>
      <w:lvlText w:val="%1.%2.%3.%4.%5.%6.%7.%8.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pStyle w:val="11"/>
      <w:lvlText w:val="%1.%2.%3.%4.%5.%6.%7.%8.%9."/>
      <w:lvlJc w:val="left"/>
      <w:pPr>
        <w:ind w:left="1583" w:hanging="1583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WEyMzFjZDBhOTg4NDk5MDQyZDhlM2NhNDUwNzk0ZDUifQ=="/>
  </w:docVars>
  <w:rsids>
    <w:rsidRoot w:val="00BD4446"/>
    <w:rsid w:val="000048E5"/>
    <w:rsid w:val="000116E1"/>
    <w:rsid w:val="00015A09"/>
    <w:rsid w:val="00016D7C"/>
    <w:rsid w:val="00036E15"/>
    <w:rsid w:val="00056FB3"/>
    <w:rsid w:val="00070925"/>
    <w:rsid w:val="00075D68"/>
    <w:rsid w:val="0008114D"/>
    <w:rsid w:val="00085330"/>
    <w:rsid w:val="000924D6"/>
    <w:rsid w:val="000932AE"/>
    <w:rsid w:val="000A333E"/>
    <w:rsid w:val="000D1A5F"/>
    <w:rsid w:val="000D7CD9"/>
    <w:rsid w:val="000F7D49"/>
    <w:rsid w:val="000F7F4D"/>
    <w:rsid w:val="0010396A"/>
    <w:rsid w:val="00113BBB"/>
    <w:rsid w:val="00126E22"/>
    <w:rsid w:val="00127180"/>
    <w:rsid w:val="001674A9"/>
    <w:rsid w:val="00191BAB"/>
    <w:rsid w:val="0019213D"/>
    <w:rsid w:val="001A0D3B"/>
    <w:rsid w:val="001A7900"/>
    <w:rsid w:val="001B086B"/>
    <w:rsid w:val="001B5143"/>
    <w:rsid w:val="001C2594"/>
    <w:rsid w:val="001C7974"/>
    <w:rsid w:val="001D37BC"/>
    <w:rsid w:val="001E0DE5"/>
    <w:rsid w:val="00200BA0"/>
    <w:rsid w:val="0020248C"/>
    <w:rsid w:val="00204938"/>
    <w:rsid w:val="00213720"/>
    <w:rsid w:val="00224E56"/>
    <w:rsid w:val="00225D43"/>
    <w:rsid w:val="00255D91"/>
    <w:rsid w:val="00257B29"/>
    <w:rsid w:val="00261103"/>
    <w:rsid w:val="00277D43"/>
    <w:rsid w:val="00286E09"/>
    <w:rsid w:val="00293371"/>
    <w:rsid w:val="0029623D"/>
    <w:rsid w:val="002B0238"/>
    <w:rsid w:val="002D208D"/>
    <w:rsid w:val="002E019E"/>
    <w:rsid w:val="002E0A7A"/>
    <w:rsid w:val="002E5C37"/>
    <w:rsid w:val="00300177"/>
    <w:rsid w:val="003274B9"/>
    <w:rsid w:val="00331DAB"/>
    <w:rsid w:val="00344FE4"/>
    <w:rsid w:val="00345FE8"/>
    <w:rsid w:val="00353081"/>
    <w:rsid w:val="00361A9A"/>
    <w:rsid w:val="00362EB3"/>
    <w:rsid w:val="003639BF"/>
    <w:rsid w:val="00372410"/>
    <w:rsid w:val="00382DC5"/>
    <w:rsid w:val="00385110"/>
    <w:rsid w:val="00392F2E"/>
    <w:rsid w:val="00394DB0"/>
    <w:rsid w:val="003955EE"/>
    <w:rsid w:val="003965A5"/>
    <w:rsid w:val="003A3674"/>
    <w:rsid w:val="003B2303"/>
    <w:rsid w:val="003C11FC"/>
    <w:rsid w:val="003D3261"/>
    <w:rsid w:val="003D7A0E"/>
    <w:rsid w:val="003E4D9A"/>
    <w:rsid w:val="003E6523"/>
    <w:rsid w:val="00405261"/>
    <w:rsid w:val="00407FD1"/>
    <w:rsid w:val="00440197"/>
    <w:rsid w:val="00476025"/>
    <w:rsid w:val="00484552"/>
    <w:rsid w:val="004964F4"/>
    <w:rsid w:val="00496E3C"/>
    <w:rsid w:val="00497ACA"/>
    <w:rsid w:val="004B0040"/>
    <w:rsid w:val="004C5854"/>
    <w:rsid w:val="004D46FD"/>
    <w:rsid w:val="004E411B"/>
    <w:rsid w:val="00517EA1"/>
    <w:rsid w:val="0053599B"/>
    <w:rsid w:val="00540E05"/>
    <w:rsid w:val="00553A06"/>
    <w:rsid w:val="00570387"/>
    <w:rsid w:val="00577E01"/>
    <w:rsid w:val="00585C63"/>
    <w:rsid w:val="00587402"/>
    <w:rsid w:val="00590E8F"/>
    <w:rsid w:val="005952EA"/>
    <w:rsid w:val="005A510B"/>
    <w:rsid w:val="005B3EC7"/>
    <w:rsid w:val="005C02F8"/>
    <w:rsid w:val="005D27F1"/>
    <w:rsid w:val="005D2A9A"/>
    <w:rsid w:val="005D7C41"/>
    <w:rsid w:val="005E3C7E"/>
    <w:rsid w:val="005E3D86"/>
    <w:rsid w:val="00603126"/>
    <w:rsid w:val="00623224"/>
    <w:rsid w:val="006322EB"/>
    <w:rsid w:val="00660F2E"/>
    <w:rsid w:val="006673DD"/>
    <w:rsid w:val="006750DD"/>
    <w:rsid w:val="00675E65"/>
    <w:rsid w:val="00690EA0"/>
    <w:rsid w:val="0069379A"/>
    <w:rsid w:val="00696828"/>
    <w:rsid w:val="006B13D7"/>
    <w:rsid w:val="006B4F71"/>
    <w:rsid w:val="006C14C8"/>
    <w:rsid w:val="006D3A05"/>
    <w:rsid w:val="006E220F"/>
    <w:rsid w:val="007068E9"/>
    <w:rsid w:val="0072118A"/>
    <w:rsid w:val="007313D9"/>
    <w:rsid w:val="007903F9"/>
    <w:rsid w:val="007A0240"/>
    <w:rsid w:val="007A4CCF"/>
    <w:rsid w:val="007A6A7F"/>
    <w:rsid w:val="007B61A0"/>
    <w:rsid w:val="007C6CE9"/>
    <w:rsid w:val="007D482A"/>
    <w:rsid w:val="007E153E"/>
    <w:rsid w:val="00841040"/>
    <w:rsid w:val="00845ABC"/>
    <w:rsid w:val="00854C68"/>
    <w:rsid w:val="008661D7"/>
    <w:rsid w:val="00866FCC"/>
    <w:rsid w:val="00872525"/>
    <w:rsid w:val="008729F6"/>
    <w:rsid w:val="00885C3D"/>
    <w:rsid w:val="008A0560"/>
    <w:rsid w:val="008A395C"/>
    <w:rsid w:val="008D67F6"/>
    <w:rsid w:val="00902FC3"/>
    <w:rsid w:val="009148A8"/>
    <w:rsid w:val="009252D0"/>
    <w:rsid w:val="009308DA"/>
    <w:rsid w:val="00935202"/>
    <w:rsid w:val="009409A1"/>
    <w:rsid w:val="009634D2"/>
    <w:rsid w:val="00976140"/>
    <w:rsid w:val="00983EA0"/>
    <w:rsid w:val="009A47B4"/>
    <w:rsid w:val="009A75E4"/>
    <w:rsid w:val="009B0381"/>
    <w:rsid w:val="009B6426"/>
    <w:rsid w:val="009E2CFA"/>
    <w:rsid w:val="009E3E87"/>
    <w:rsid w:val="009E57F2"/>
    <w:rsid w:val="00A02689"/>
    <w:rsid w:val="00A15001"/>
    <w:rsid w:val="00A2278D"/>
    <w:rsid w:val="00A24B21"/>
    <w:rsid w:val="00A26B9B"/>
    <w:rsid w:val="00A2706F"/>
    <w:rsid w:val="00A43B30"/>
    <w:rsid w:val="00A4569E"/>
    <w:rsid w:val="00A46A2C"/>
    <w:rsid w:val="00A5273B"/>
    <w:rsid w:val="00A67DF0"/>
    <w:rsid w:val="00A776DF"/>
    <w:rsid w:val="00A8047F"/>
    <w:rsid w:val="00A92ED2"/>
    <w:rsid w:val="00AA1BA0"/>
    <w:rsid w:val="00AA24B2"/>
    <w:rsid w:val="00AB4DC8"/>
    <w:rsid w:val="00AC648A"/>
    <w:rsid w:val="00AD44FA"/>
    <w:rsid w:val="00AD6AE0"/>
    <w:rsid w:val="00AE01D7"/>
    <w:rsid w:val="00AE4251"/>
    <w:rsid w:val="00AF1734"/>
    <w:rsid w:val="00AF69D2"/>
    <w:rsid w:val="00AF77C6"/>
    <w:rsid w:val="00B01DAA"/>
    <w:rsid w:val="00B16873"/>
    <w:rsid w:val="00B218D1"/>
    <w:rsid w:val="00B46B3B"/>
    <w:rsid w:val="00B62D15"/>
    <w:rsid w:val="00B70C64"/>
    <w:rsid w:val="00B71363"/>
    <w:rsid w:val="00B76E2E"/>
    <w:rsid w:val="00B8004B"/>
    <w:rsid w:val="00B90F17"/>
    <w:rsid w:val="00BA4806"/>
    <w:rsid w:val="00BA6F42"/>
    <w:rsid w:val="00BA7326"/>
    <w:rsid w:val="00BB0E21"/>
    <w:rsid w:val="00BD01BA"/>
    <w:rsid w:val="00BD4446"/>
    <w:rsid w:val="00BE09AC"/>
    <w:rsid w:val="00BE4F08"/>
    <w:rsid w:val="00BF21EA"/>
    <w:rsid w:val="00C1182A"/>
    <w:rsid w:val="00C21F38"/>
    <w:rsid w:val="00C30B7B"/>
    <w:rsid w:val="00C36C83"/>
    <w:rsid w:val="00C467AE"/>
    <w:rsid w:val="00C50EEA"/>
    <w:rsid w:val="00C600F3"/>
    <w:rsid w:val="00C707F0"/>
    <w:rsid w:val="00C86D13"/>
    <w:rsid w:val="00CB5BD9"/>
    <w:rsid w:val="00CB76F5"/>
    <w:rsid w:val="00CD359B"/>
    <w:rsid w:val="00CE536F"/>
    <w:rsid w:val="00D02056"/>
    <w:rsid w:val="00D03586"/>
    <w:rsid w:val="00D12F51"/>
    <w:rsid w:val="00D23F03"/>
    <w:rsid w:val="00D2410F"/>
    <w:rsid w:val="00D41377"/>
    <w:rsid w:val="00D4795E"/>
    <w:rsid w:val="00D50CCE"/>
    <w:rsid w:val="00D6112A"/>
    <w:rsid w:val="00D761DD"/>
    <w:rsid w:val="00D86304"/>
    <w:rsid w:val="00D9280F"/>
    <w:rsid w:val="00DA7934"/>
    <w:rsid w:val="00DB3D83"/>
    <w:rsid w:val="00DC1088"/>
    <w:rsid w:val="00DD6CBC"/>
    <w:rsid w:val="00DF2C8A"/>
    <w:rsid w:val="00E04062"/>
    <w:rsid w:val="00E05FD5"/>
    <w:rsid w:val="00E147A8"/>
    <w:rsid w:val="00E17728"/>
    <w:rsid w:val="00E2735C"/>
    <w:rsid w:val="00E31411"/>
    <w:rsid w:val="00E406C1"/>
    <w:rsid w:val="00E440BA"/>
    <w:rsid w:val="00E53882"/>
    <w:rsid w:val="00E645AC"/>
    <w:rsid w:val="00E93DB6"/>
    <w:rsid w:val="00EA0888"/>
    <w:rsid w:val="00EC74E3"/>
    <w:rsid w:val="00ED521C"/>
    <w:rsid w:val="00EF3F63"/>
    <w:rsid w:val="00F04035"/>
    <w:rsid w:val="00F049AC"/>
    <w:rsid w:val="00F22AED"/>
    <w:rsid w:val="00F2394D"/>
    <w:rsid w:val="00F570A5"/>
    <w:rsid w:val="00F6448D"/>
    <w:rsid w:val="00F65B8B"/>
    <w:rsid w:val="00F71C44"/>
    <w:rsid w:val="00F87BB5"/>
    <w:rsid w:val="00F94561"/>
    <w:rsid w:val="00FA6B7D"/>
    <w:rsid w:val="00FC12A8"/>
    <w:rsid w:val="00FD2F48"/>
    <w:rsid w:val="00FD54A4"/>
    <w:rsid w:val="00FF516F"/>
    <w:rsid w:val="01093842"/>
    <w:rsid w:val="01283D91"/>
    <w:rsid w:val="01AC5842"/>
    <w:rsid w:val="01F472A9"/>
    <w:rsid w:val="020515AD"/>
    <w:rsid w:val="02A613FB"/>
    <w:rsid w:val="02F344FA"/>
    <w:rsid w:val="03EB3121"/>
    <w:rsid w:val="03ED5B28"/>
    <w:rsid w:val="04235BBB"/>
    <w:rsid w:val="04F35535"/>
    <w:rsid w:val="05541611"/>
    <w:rsid w:val="0594729B"/>
    <w:rsid w:val="05E232D5"/>
    <w:rsid w:val="060511EF"/>
    <w:rsid w:val="0617041D"/>
    <w:rsid w:val="0652102D"/>
    <w:rsid w:val="06FB6940"/>
    <w:rsid w:val="07867CCC"/>
    <w:rsid w:val="082958B4"/>
    <w:rsid w:val="082B0EAC"/>
    <w:rsid w:val="083E4BF0"/>
    <w:rsid w:val="09052CF6"/>
    <w:rsid w:val="093A1657"/>
    <w:rsid w:val="09421EC5"/>
    <w:rsid w:val="099119B2"/>
    <w:rsid w:val="09B039F5"/>
    <w:rsid w:val="09BA3DC6"/>
    <w:rsid w:val="09D775EC"/>
    <w:rsid w:val="09DA1233"/>
    <w:rsid w:val="09EB4DD4"/>
    <w:rsid w:val="0A82254C"/>
    <w:rsid w:val="0BAD7697"/>
    <w:rsid w:val="0BCE455A"/>
    <w:rsid w:val="0BFF7D9C"/>
    <w:rsid w:val="0C2247B9"/>
    <w:rsid w:val="0C486C3D"/>
    <w:rsid w:val="0C842E80"/>
    <w:rsid w:val="0C8F447A"/>
    <w:rsid w:val="0D066A0A"/>
    <w:rsid w:val="0D0C314A"/>
    <w:rsid w:val="0D56434B"/>
    <w:rsid w:val="0D5E3204"/>
    <w:rsid w:val="0D870660"/>
    <w:rsid w:val="0E2456FB"/>
    <w:rsid w:val="0E46076F"/>
    <w:rsid w:val="0E4C255B"/>
    <w:rsid w:val="0E927B6D"/>
    <w:rsid w:val="0E935DFC"/>
    <w:rsid w:val="0ED532FB"/>
    <w:rsid w:val="0F2B26AF"/>
    <w:rsid w:val="0F931DEF"/>
    <w:rsid w:val="0FE8213B"/>
    <w:rsid w:val="100C0D4C"/>
    <w:rsid w:val="106E64E3"/>
    <w:rsid w:val="10A21647"/>
    <w:rsid w:val="10DA201B"/>
    <w:rsid w:val="10DF6FDE"/>
    <w:rsid w:val="12A714C0"/>
    <w:rsid w:val="12B46C9D"/>
    <w:rsid w:val="12ED61BD"/>
    <w:rsid w:val="12F9465F"/>
    <w:rsid w:val="130945BE"/>
    <w:rsid w:val="130D2369"/>
    <w:rsid w:val="13207E3D"/>
    <w:rsid w:val="13465AC5"/>
    <w:rsid w:val="136C6BDF"/>
    <w:rsid w:val="138F4439"/>
    <w:rsid w:val="13DF3855"/>
    <w:rsid w:val="13E64BA0"/>
    <w:rsid w:val="13FD21E7"/>
    <w:rsid w:val="140161EE"/>
    <w:rsid w:val="14120F9F"/>
    <w:rsid w:val="14710401"/>
    <w:rsid w:val="14C22DAB"/>
    <w:rsid w:val="14D27A43"/>
    <w:rsid w:val="151C3441"/>
    <w:rsid w:val="152A750C"/>
    <w:rsid w:val="15314E2E"/>
    <w:rsid w:val="156E0F20"/>
    <w:rsid w:val="15B324F5"/>
    <w:rsid w:val="15DC0E6E"/>
    <w:rsid w:val="15EA017D"/>
    <w:rsid w:val="15FA4976"/>
    <w:rsid w:val="16135A37"/>
    <w:rsid w:val="162A022D"/>
    <w:rsid w:val="163E1B6A"/>
    <w:rsid w:val="165F6063"/>
    <w:rsid w:val="1674261F"/>
    <w:rsid w:val="173A3314"/>
    <w:rsid w:val="175B522E"/>
    <w:rsid w:val="17694042"/>
    <w:rsid w:val="17AB054A"/>
    <w:rsid w:val="17FE7199"/>
    <w:rsid w:val="180C4610"/>
    <w:rsid w:val="181541A7"/>
    <w:rsid w:val="18160E3D"/>
    <w:rsid w:val="18300BF7"/>
    <w:rsid w:val="18470C21"/>
    <w:rsid w:val="18883EBE"/>
    <w:rsid w:val="18E4307E"/>
    <w:rsid w:val="18ED2FBF"/>
    <w:rsid w:val="194523AC"/>
    <w:rsid w:val="195A5E0E"/>
    <w:rsid w:val="197D20D1"/>
    <w:rsid w:val="1A155913"/>
    <w:rsid w:val="1A203864"/>
    <w:rsid w:val="1A745923"/>
    <w:rsid w:val="1BB9587D"/>
    <w:rsid w:val="1BFF71F2"/>
    <w:rsid w:val="1C523CA3"/>
    <w:rsid w:val="1C70295B"/>
    <w:rsid w:val="1D2D6657"/>
    <w:rsid w:val="1D385D84"/>
    <w:rsid w:val="1D630360"/>
    <w:rsid w:val="1DD7559C"/>
    <w:rsid w:val="1DFB128B"/>
    <w:rsid w:val="1E7B7349"/>
    <w:rsid w:val="1F10332B"/>
    <w:rsid w:val="1F374545"/>
    <w:rsid w:val="1F6732E1"/>
    <w:rsid w:val="1FE15D48"/>
    <w:rsid w:val="1FE95324"/>
    <w:rsid w:val="1FEE74DC"/>
    <w:rsid w:val="201F0A47"/>
    <w:rsid w:val="20A0536E"/>
    <w:rsid w:val="218F029B"/>
    <w:rsid w:val="222E33B9"/>
    <w:rsid w:val="2272671C"/>
    <w:rsid w:val="22752D03"/>
    <w:rsid w:val="22E703C3"/>
    <w:rsid w:val="230462B1"/>
    <w:rsid w:val="23172F69"/>
    <w:rsid w:val="23732D70"/>
    <w:rsid w:val="24001416"/>
    <w:rsid w:val="245F009A"/>
    <w:rsid w:val="24692985"/>
    <w:rsid w:val="247B3D2D"/>
    <w:rsid w:val="24906580"/>
    <w:rsid w:val="24AF2344"/>
    <w:rsid w:val="24E567F1"/>
    <w:rsid w:val="250D1426"/>
    <w:rsid w:val="253D03DB"/>
    <w:rsid w:val="2558191F"/>
    <w:rsid w:val="261849A4"/>
    <w:rsid w:val="270F30C5"/>
    <w:rsid w:val="27A41DC1"/>
    <w:rsid w:val="27CD3E06"/>
    <w:rsid w:val="284101E2"/>
    <w:rsid w:val="28786ADC"/>
    <w:rsid w:val="289851DC"/>
    <w:rsid w:val="29020848"/>
    <w:rsid w:val="291137F5"/>
    <w:rsid w:val="2917518B"/>
    <w:rsid w:val="29363ABF"/>
    <w:rsid w:val="2939710B"/>
    <w:rsid w:val="29507463"/>
    <w:rsid w:val="2964062C"/>
    <w:rsid w:val="29BE40DE"/>
    <w:rsid w:val="2A0A2F11"/>
    <w:rsid w:val="2A1D193D"/>
    <w:rsid w:val="2A6A147C"/>
    <w:rsid w:val="2A6E4446"/>
    <w:rsid w:val="2A726F88"/>
    <w:rsid w:val="2ABF0A0D"/>
    <w:rsid w:val="2B3E7185"/>
    <w:rsid w:val="2B882DDB"/>
    <w:rsid w:val="2B964ABA"/>
    <w:rsid w:val="2BA03472"/>
    <w:rsid w:val="2BC07D77"/>
    <w:rsid w:val="2C044E25"/>
    <w:rsid w:val="2CCE5529"/>
    <w:rsid w:val="2CDE06F5"/>
    <w:rsid w:val="2D0143E4"/>
    <w:rsid w:val="2D101302"/>
    <w:rsid w:val="2D2A00B1"/>
    <w:rsid w:val="2E00644A"/>
    <w:rsid w:val="2E0119E3"/>
    <w:rsid w:val="2F407445"/>
    <w:rsid w:val="2FAF6379"/>
    <w:rsid w:val="2FB65E9C"/>
    <w:rsid w:val="305B2034"/>
    <w:rsid w:val="307076E4"/>
    <w:rsid w:val="30966870"/>
    <w:rsid w:val="31722A0B"/>
    <w:rsid w:val="31965ABD"/>
    <w:rsid w:val="31C61227"/>
    <w:rsid w:val="31E71CE4"/>
    <w:rsid w:val="31F41229"/>
    <w:rsid w:val="32B54909"/>
    <w:rsid w:val="32F83EEF"/>
    <w:rsid w:val="334718AA"/>
    <w:rsid w:val="337C63E2"/>
    <w:rsid w:val="339B7340"/>
    <w:rsid w:val="33A53D1B"/>
    <w:rsid w:val="341037F9"/>
    <w:rsid w:val="3480562F"/>
    <w:rsid w:val="348A6927"/>
    <w:rsid w:val="34C91C8B"/>
    <w:rsid w:val="35B244CD"/>
    <w:rsid w:val="35D60414"/>
    <w:rsid w:val="35E90A70"/>
    <w:rsid w:val="370F0246"/>
    <w:rsid w:val="3745169B"/>
    <w:rsid w:val="380F6CE0"/>
    <w:rsid w:val="381B4AF5"/>
    <w:rsid w:val="386F1E14"/>
    <w:rsid w:val="38C62BDC"/>
    <w:rsid w:val="38D64977"/>
    <w:rsid w:val="391334D5"/>
    <w:rsid w:val="395568D4"/>
    <w:rsid w:val="39591D22"/>
    <w:rsid w:val="3968630F"/>
    <w:rsid w:val="39E30ACA"/>
    <w:rsid w:val="39E339F7"/>
    <w:rsid w:val="39E62898"/>
    <w:rsid w:val="3AAC7F55"/>
    <w:rsid w:val="3ACC7ED7"/>
    <w:rsid w:val="3BB86550"/>
    <w:rsid w:val="3C002D2C"/>
    <w:rsid w:val="3C3A346E"/>
    <w:rsid w:val="3C7A07E1"/>
    <w:rsid w:val="3C8F6671"/>
    <w:rsid w:val="3CC40E25"/>
    <w:rsid w:val="3D036170"/>
    <w:rsid w:val="3D174A6B"/>
    <w:rsid w:val="3D4B0F3E"/>
    <w:rsid w:val="3D7C03C1"/>
    <w:rsid w:val="3DB15D74"/>
    <w:rsid w:val="3E6261AB"/>
    <w:rsid w:val="3EB06B77"/>
    <w:rsid w:val="3EBE3EE3"/>
    <w:rsid w:val="3ED74FA5"/>
    <w:rsid w:val="40154EB9"/>
    <w:rsid w:val="40A9648B"/>
    <w:rsid w:val="40B02598"/>
    <w:rsid w:val="40CF7A04"/>
    <w:rsid w:val="40F97454"/>
    <w:rsid w:val="412444F5"/>
    <w:rsid w:val="41E03E9D"/>
    <w:rsid w:val="42993D61"/>
    <w:rsid w:val="42C419E1"/>
    <w:rsid w:val="42CD2946"/>
    <w:rsid w:val="433B23BF"/>
    <w:rsid w:val="437F30E1"/>
    <w:rsid w:val="43B14016"/>
    <w:rsid w:val="43C46996"/>
    <w:rsid w:val="441C2606"/>
    <w:rsid w:val="44476729"/>
    <w:rsid w:val="45071FDE"/>
    <w:rsid w:val="451B6685"/>
    <w:rsid w:val="452B3703"/>
    <w:rsid w:val="45746864"/>
    <w:rsid w:val="45A06674"/>
    <w:rsid w:val="45F44496"/>
    <w:rsid w:val="45FA731C"/>
    <w:rsid w:val="46180E07"/>
    <w:rsid w:val="46A0341E"/>
    <w:rsid w:val="47454352"/>
    <w:rsid w:val="47B739CD"/>
    <w:rsid w:val="47CA66EC"/>
    <w:rsid w:val="47FD3E69"/>
    <w:rsid w:val="48615425"/>
    <w:rsid w:val="48B564FA"/>
    <w:rsid w:val="49202E3E"/>
    <w:rsid w:val="4A77763C"/>
    <w:rsid w:val="4AA20B5D"/>
    <w:rsid w:val="4AD01703"/>
    <w:rsid w:val="4AFA2F6F"/>
    <w:rsid w:val="4B326047"/>
    <w:rsid w:val="4B396357"/>
    <w:rsid w:val="4B8E50C5"/>
    <w:rsid w:val="4BB94F3A"/>
    <w:rsid w:val="4CC0624F"/>
    <w:rsid w:val="4CF34D93"/>
    <w:rsid w:val="4D6420F9"/>
    <w:rsid w:val="4DCC4CD5"/>
    <w:rsid w:val="4E254C41"/>
    <w:rsid w:val="4E432F4E"/>
    <w:rsid w:val="4EE17BB1"/>
    <w:rsid w:val="4EE322D7"/>
    <w:rsid w:val="4F005E52"/>
    <w:rsid w:val="4F161963"/>
    <w:rsid w:val="4F2A5DC6"/>
    <w:rsid w:val="4F556F37"/>
    <w:rsid w:val="4F8B3950"/>
    <w:rsid w:val="503414DD"/>
    <w:rsid w:val="50826F95"/>
    <w:rsid w:val="508A315E"/>
    <w:rsid w:val="51951BF2"/>
    <w:rsid w:val="51963027"/>
    <w:rsid w:val="51BC648A"/>
    <w:rsid w:val="529C12ED"/>
    <w:rsid w:val="52B3281F"/>
    <w:rsid w:val="52B769EC"/>
    <w:rsid w:val="52CC6868"/>
    <w:rsid w:val="52F35042"/>
    <w:rsid w:val="52FE5588"/>
    <w:rsid w:val="53454559"/>
    <w:rsid w:val="53940E44"/>
    <w:rsid w:val="54232701"/>
    <w:rsid w:val="543A6931"/>
    <w:rsid w:val="54F962F3"/>
    <w:rsid w:val="551F1586"/>
    <w:rsid w:val="55654C60"/>
    <w:rsid w:val="557D2B68"/>
    <w:rsid w:val="55B7012A"/>
    <w:rsid w:val="55E24503"/>
    <w:rsid w:val="56C55F31"/>
    <w:rsid w:val="572242BD"/>
    <w:rsid w:val="57A65BB5"/>
    <w:rsid w:val="57A83B5A"/>
    <w:rsid w:val="57BB74D2"/>
    <w:rsid w:val="57C77B93"/>
    <w:rsid w:val="57E37D64"/>
    <w:rsid w:val="57E64A3A"/>
    <w:rsid w:val="58520F6A"/>
    <w:rsid w:val="58975736"/>
    <w:rsid w:val="58FA78C7"/>
    <w:rsid w:val="58FD5BE8"/>
    <w:rsid w:val="58FF02AC"/>
    <w:rsid w:val="59524405"/>
    <w:rsid w:val="595F1F0F"/>
    <w:rsid w:val="5977053B"/>
    <w:rsid w:val="59967482"/>
    <w:rsid w:val="59DF1B61"/>
    <w:rsid w:val="5A8E4C59"/>
    <w:rsid w:val="5AA20705"/>
    <w:rsid w:val="5AD66521"/>
    <w:rsid w:val="5B081F68"/>
    <w:rsid w:val="5BDC37A3"/>
    <w:rsid w:val="5BEE6D28"/>
    <w:rsid w:val="5CF02465"/>
    <w:rsid w:val="5DB25F7C"/>
    <w:rsid w:val="5DFA4F8A"/>
    <w:rsid w:val="5E8425FB"/>
    <w:rsid w:val="5E9D36BD"/>
    <w:rsid w:val="5EEC1F4F"/>
    <w:rsid w:val="5EFF4AB0"/>
    <w:rsid w:val="5F765910"/>
    <w:rsid w:val="602546DE"/>
    <w:rsid w:val="602D6443"/>
    <w:rsid w:val="603409D4"/>
    <w:rsid w:val="60CA63AB"/>
    <w:rsid w:val="611B0F24"/>
    <w:rsid w:val="61CE2F72"/>
    <w:rsid w:val="62537588"/>
    <w:rsid w:val="625825CC"/>
    <w:rsid w:val="62CB1B8C"/>
    <w:rsid w:val="630000FC"/>
    <w:rsid w:val="6398664E"/>
    <w:rsid w:val="63C766E9"/>
    <w:rsid w:val="63CD6BC0"/>
    <w:rsid w:val="642D505E"/>
    <w:rsid w:val="646F72A3"/>
    <w:rsid w:val="6497022B"/>
    <w:rsid w:val="64C22AF0"/>
    <w:rsid w:val="65083CAD"/>
    <w:rsid w:val="6564693C"/>
    <w:rsid w:val="65AB66C0"/>
    <w:rsid w:val="65C4585B"/>
    <w:rsid w:val="65CC7931"/>
    <w:rsid w:val="663A7A43"/>
    <w:rsid w:val="66664C8F"/>
    <w:rsid w:val="67852F40"/>
    <w:rsid w:val="67AF7989"/>
    <w:rsid w:val="67B76610"/>
    <w:rsid w:val="67FC7C8C"/>
    <w:rsid w:val="680B74C6"/>
    <w:rsid w:val="68760031"/>
    <w:rsid w:val="68A22680"/>
    <w:rsid w:val="697F6DFD"/>
    <w:rsid w:val="69902B6B"/>
    <w:rsid w:val="69A21600"/>
    <w:rsid w:val="69D16911"/>
    <w:rsid w:val="69E70C2B"/>
    <w:rsid w:val="6A6E56A3"/>
    <w:rsid w:val="6AC53BFC"/>
    <w:rsid w:val="6ACA583A"/>
    <w:rsid w:val="6ADC4E36"/>
    <w:rsid w:val="6ADE7DB6"/>
    <w:rsid w:val="6AFF61FD"/>
    <w:rsid w:val="6B8F3B28"/>
    <w:rsid w:val="6B9D6AAA"/>
    <w:rsid w:val="6BE77122"/>
    <w:rsid w:val="6C4F062A"/>
    <w:rsid w:val="6C5F4EBE"/>
    <w:rsid w:val="6CDD1B53"/>
    <w:rsid w:val="6CF90CF0"/>
    <w:rsid w:val="6D136D3C"/>
    <w:rsid w:val="6D3D5F36"/>
    <w:rsid w:val="6D80459B"/>
    <w:rsid w:val="6D894588"/>
    <w:rsid w:val="6E0D68B0"/>
    <w:rsid w:val="6E7558EB"/>
    <w:rsid w:val="6ED768FC"/>
    <w:rsid w:val="6F46511F"/>
    <w:rsid w:val="6F957A8D"/>
    <w:rsid w:val="6FC24F69"/>
    <w:rsid w:val="6FEA70C7"/>
    <w:rsid w:val="6FEB7D36"/>
    <w:rsid w:val="701D465E"/>
    <w:rsid w:val="70350A84"/>
    <w:rsid w:val="70547A9B"/>
    <w:rsid w:val="70B57AA1"/>
    <w:rsid w:val="71EA060B"/>
    <w:rsid w:val="724C17E3"/>
    <w:rsid w:val="726E6F4A"/>
    <w:rsid w:val="72894813"/>
    <w:rsid w:val="72E61EEA"/>
    <w:rsid w:val="737A1D15"/>
    <w:rsid w:val="73A84956"/>
    <w:rsid w:val="73BD5AAB"/>
    <w:rsid w:val="73FD1259"/>
    <w:rsid w:val="74206256"/>
    <w:rsid w:val="74880F24"/>
    <w:rsid w:val="74A164A0"/>
    <w:rsid w:val="74A32ABF"/>
    <w:rsid w:val="75171FE5"/>
    <w:rsid w:val="7519643E"/>
    <w:rsid w:val="752C70F1"/>
    <w:rsid w:val="75C66263"/>
    <w:rsid w:val="76222E38"/>
    <w:rsid w:val="76593502"/>
    <w:rsid w:val="76637894"/>
    <w:rsid w:val="76726D86"/>
    <w:rsid w:val="768C7E47"/>
    <w:rsid w:val="76A855A8"/>
    <w:rsid w:val="76E05490"/>
    <w:rsid w:val="779B449A"/>
    <w:rsid w:val="780517B1"/>
    <w:rsid w:val="785F0292"/>
    <w:rsid w:val="78633B3E"/>
    <w:rsid w:val="786C17C6"/>
    <w:rsid w:val="78A551F0"/>
    <w:rsid w:val="792A21D6"/>
    <w:rsid w:val="7930205C"/>
    <w:rsid w:val="79E011D5"/>
    <w:rsid w:val="79E46B46"/>
    <w:rsid w:val="7A164223"/>
    <w:rsid w:val="7B657DEF"/>
    <w:rsid w:val="7B6B7C58"/>
    <w:rsid w:val="7B6E7B48"/>
    <w:rsid w:val="7B747935"/>
    <w:rsid w:val="7B8A5924"/>
    <w:rsid w:val="7BD434E7"/>
    <w:rsid w:val="7BF4741E"/>
    <w:rsid w:val="7C423754"/>
    <w:rsid w:val="7C6545D6"/>
    <w:rsid w:val="7C8C31E0"/>
    <w:rsid w:val="7CBE0147"/>
    <w:rsid w:val="7CFD1736"/>
    <w:rsid w:val="7D006E99"/>
    <w:rsid w:val="7D747887"/>
    <w:rsid w:val="7D935F6D"/>
    <w:rsid w:val="7E485651"/>
    <w:rsid w:val="7E503E50"/>
    <w:rsid w:val="7EA51438"/>
    <w:rsid w:val="7EF14B2A"/>
    <w:rsid w:val="7F342968"/>
    <w:rsid w:val="7F4E2095"/>
    <w:rsid w:val="7F8F09A8"/>
    <w:rsid w:val="7FC23B9E"/>
    <w:rsid w:val="7FEE5C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adjustRightInd w:val="0"/>
      <w:snapToGrid w:val="0"/>
      <w:spacing w:after="200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paragraph" w:styleId="3">
    <w:name w:val="heading 1"/>
    <w:basedOn w:val="1"/>
    <w:next w:val="1"/>
    <w:link w:val="25"/>
    <w:autoRedefine/>
    <w:qFormat/>
    <w:uiPriority w:val="9"/>
    <w:pPr>
      <w:keepNext/>
      <w:keepLines/>
      <w:numPr>
        <w:ilvl w:val="0"/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4">
    <w:name w:val="heading 2"/>
    <w:basedOn w:val="1"/>
    <w:next w:val="1"/>
    <w:link w:val="26"/>
    <w:autoRedefine/>
    <w:unhideWhenUsed/>
    <w:qFormat/>
    <w:uiPriority w:val="9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eastAsia="黑体" w:asciiTheme="majorHAnsi" w:hAnsiTheme="majorHAnsi" w:cstheme="majorBidi"/>
      <w:b/>
      <w:bCs/>
      <w:sz w:val="32"/>
      <w:szCs w:val="32"/>
    </w:rPr>
  </w:style>
  <w:style w:type="paragraph" w:styleId="5">
    <w:name w:val="heading 3"/>
    <w:basedOn w:val="1"/>
    <w:next w:val="1"/>
    <w:link w:val="35"/>
    <w:autoRedefine/>
    <w:unhideWhenUsed/>
    <w:qFormat/>
    <w:uiPriority w:val="9"/>
    <w:pPr>
      <w:keepNext/>
      <w:keepLines/>
      <w:numPr>
        <w:ilvl w:val="2"/>
        <w:numId w:val="1"/>
      </w:numPr>
      <w:spacing w:before="260" w:after="260" w:line="413" w:lineRule="auto"/>
      <w:outlineLvl w:val="2"/>
    </w:pPr>
    <w:rPr>
      <w:rFonts w:eastAsia="宋体"/>
      <w:sz w:val="32"/>
    </w:rPr>
  </w:style>
  <w:style w:type="paragraph" w:styleId="6">
    <w:name w:val="heading 4"/>
    <w:basedOn w:val="5"/>
    <w:next w:val="1"/>
    <w:autoRedefine/>
    <w:unhideWhenUsed/>
    <w:qFormat/>
    <w:uiPriority w:val="9"/>
    <w:pPr>
      <w:numPr>
        <w:ilvl w:val="3"/>
      </w:numPr>
      <w:tabs>
        <w:tab w:val="left" w:pos="432"/>
        <w:tab w:val="left" w:pos="864"/>
        <w:tab w:val="left" w:pos="1290"/>
      </w:tabs>
      <w:spacing w:before="280" w:after="290" w:line="376" w:lineRule="auto"/>
      <w:outlineLvl w:val="3"/>
    </w:pPr>
    <w:rPr>
      <w:rFonts w:ascii="Arial" w:hAnsi="Arial" w:eastAsia="黑体"/>
      <w:sz w:val="28"/>
      <w:szCs w:val="28"/>
    </w:rPr>
  </w:style>
  <w:style w:type="paragraph" w:styleId="7">
    <w:name w:val="heading 5"/>
    <w:basedOn w:val="1"/>
    <w:next w:val="1"/>
    <w:autoRedefine/>
    <w:semiHidden/>
    <w:unhideWhenUsed/>
    <w:qFormat/>
    <w:uiPriority w:val="9"/>
    <w:pPr>
      <w:keepNext/>
      <w:keepLines/>
      <w:numPr>
        <w:ilvl w:val="4"/>
        <w:numId w:val="1"/>
      </w:numPr>
      <w:tabs>
        <w:tab w:val="left" w:pos="1008"/>
      </w:tabs>
      <w:spacing w:before="280" w:after="290" w:line="372" w:lineRule="auto"/>
      <w:outlineLvl w:val="4"/>
    </w:pPr>
    <w:rPr>
      <w:b/>
      <w:sz w:val="28"/>
    </w:rPr>
  </w:style>
  <w:style w:type="paragraph" w:styleId="8">
    <w:name w:val="heading 6"/>
    <w:basedOn w:val="1"/>
    <w:next w:val="1"/>
    <w:autoRedefine/>
    <w:semiHidden/>
    <w:unhideWhenUsed/>
    <w:qFormat/>
    <w:uiPriority w:val="9"/>
    <w:pPr>
      <w:keepNext/>
      <w:keepLines/>
      <w:numPr>
        <w:ilvl w:val="5"/>
        <w:numId w:val="1"/>
      </w:numPr>
      <w:spacing w:before="240" w:after="64" w:line="317" w:lineRule="auto"/>
      <w:outlineLvl w:val="5"/>
    </w:pPr>
    <w:rPr>
      <w:rFonts w:ascii="Arial" w:hAnsi="Arial" w:eastAsia="黑体"/>
      <w:b/>
      <w:sz w:val="24"/>
    </w:rPr>
  </w:style>
  <w:style w:type="paragraph" w:styleId="9">
    <w:name w:val="heading 7"/>
    <w:basedOn w:val="1"/>
    <w:next w:val="1"/>
    <w:autoRedefine/>
    <w:semiHidden/>
    <w:unhideWhenUsed/>
    <w:qFormat/>
    <w:uiPriority w:val="9"/>
    <w:pPr>
      <w:keepNext/>
      <w:keepLines/>
      <w:numPr>
        <w:ilvl w:val="6"/>
        <w:numId w:val="1"/>
      </w:numPr>
      <w:spacing w:before="240" w:after="64" w:line="317" w:lineRule="auto"/>
      <w:outlineLvl w:val="6"/>
    </w:pPr>
    <w:rPr>
      <w:b/>
      <w:sz w:val="24"/>
    </w:rPr>
  </w:style>
  <w:style w:type="paragraph" w:styleId="10">
    <w:name w:val="heading 8"/>
    <w:basedOn w:val="1"/>
    <w:next w:val="1"/>
    <w:autoRedefine/>
    <w:semiHidden/>
    <w:unhideWhenUsed/>
    <w:qFormat/>
    <w:uiPriority w:val="9"/>
    <w:pPr>
      <w:keepNext/>
      <w:keepLines/>
      <w:numPr>
        <w:ilvl w:val="7"/>
        <w:numId w:val="1"/>
      </w:numPr>
      <w:spacing w:before="240" w:after="64" w:line="317" w:lineRule="auto"/>
      <w:outlineLvl w:val="7"/>
    </w:pPr>
    <w:rPr>
      <w:rFonts w:ascii="Arial" w:hAnsi="Arial" w:eastAsia="黑体"/>
      <w:sz w:val="24"/>
    </w:rPr>
  </w:style>
  <w:style w:type="paragraph" w:styleId="11">
    <w:name w:val="heading 9"/>
    <w:basedOn w:val="1"/>
    <w:next w:val="1"/>
    <w:autoRedefine/>
    <w:semiHidden/>
    <w:unhideWhenUsed/>
    <w:qFormat/>
    <w:uiPriority w:val="9"/>
    <w:pPr>
      <w:keepNext/>
      <w:keepLines/>
      <w:numPr>
        <w:ilvl w:val="8"/>
        <w:numId w:val="1"/>
      </w:numPr>
      <w:spacing w:before="240" w:after="64" w:line="317" w:lineRule="auto"/>
      <w:outlineLvl w:val="8"/>
    </w:pPr>
    <w:rPr>
      <w:rFonts w:ascii="Arial" w:hAnsi="Arial" w:eastAsia="黑体"/>
      <w:sz w:val="21"/>
    </w:rPr>
  </w:style>
  <w:style w:type="character" w:default="1" w:styleId="21">
    <w:name w:val="Default Paragraph Font"/>
    <w:autoRedefine/>
    <w:semiHidden/>
    <w:unhideWhenUsed/>
    <w:qFormat/>
    <w:uiPriority w:val="1"/>
  </w:style>
  <w:style w:type="table" w:default="1" w:styleId="20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toc 2"/>
    <w:basedOn w:val="1"/>
    <w:next w:val="1"/>
    <w:autoRedefine/>
    <w:unhideWhenUsed/>
    <w:qFormat/>
    <w:uiPriority w:val="39"/>
    <w:pPr>
      <w:ind w:left="420" w:leftChars="200"/>
    </w:pPr>
  </w:style>
  <w:style w:type="paragraph" w:styleId="12">
    <w:name w:val="annotation text"/>
    <w:basedOn w:val="1"/>
    <w:link w:val="32"/>
    <w:autoRedefine/>
    <w:semiHidden/>
    <w:unhideWhenUsed/>
    <w:qFormat/>
    <w:uiPriority w:val="99"/>
  </w:style>
  <w:style w:type="paragraph" w:styleId="13">
    <w:name w:val="toc 3"/>
    <w:basedOn w:val="1"/>
    <w:next w:val="1"/>
    <w:autoRedefine/>
    <w:unhideWhenUsed/>
    <w:qFormat/>
    <w:uiPriority w:val="39"/>
    <w:pPr>
      <w:ind w:left="840" w:leftChars="400"/>
    </w:pPr>
  </w:style>
  <w:style w:type="paragraph" w:styleId="14">
    <w:name w:val="Date"/>
    <w:basedOn w:val="1"/>
    <w:next w:val="1"/>
    <w:link w:val="24"/>
    <w:autoRedefine/>
    <w:semiHidden/>
    <w:unhideWhenUsed/>
    <w:qFormat/>
    <w:uiPriority w:val="99"/>
    <w:pPr>
      <w:ind w:left="100" w:leftChars="2500"/>
    </w:pPr>
  </w:style>
  <w:style w:type="paragraph" w:styleId="15">
    <w:name w:val="Balloon Text"/>
    <w:basedOn w:val="1"/>
    <w:link w:val="34"/>
    <w:autoRedefine/>
    <w:semiHidden/>
    <w:unhideWhenUsed/>
    <w:qFormat/>
    <w:uiPriority w:val="99"/>
    <w:pPr>
      <w:spacing w:after="0"/>
    </w:pPr>
    <w:rPr>
      <w:sz w:val="18"/>
      <w:szCs w:val="18"/>
    </w:rPr>
  </w:style>
  <w:style w:type="paragraph" w:styleId="16">
    <w:name w:val="footer"/>
    <w:basedOn w:val="1"/>
    <w:autoRedefine/>
    <w:unhideWhenUsed/>
    <w:qFormat/>
    <w:uiPriority w:val="99"/>
    <w:pPr>
      <w:tabs>
        <w:tab w:val="center" w:pos="4153"/>
        <w:tab w:val="right" w:pos="8306"/>
      </w:tabs>
    </w:pPr>
    <w:rPr>
      <w:sz w:val="18"/>
    </w:rPr>
  </w:style>
  <w:style w:type="paragraph" w:styleId="17">
    <w:name w:val="header"/>
    <w:basedOn w:val="1"/>
    <w:autoRedefine/>
    <w:unhideWhenUsed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jc w:val="both"/>
    </w:pPr>
    <w:rPr>
      <w:sz w:val="18"/>
    </w:rPr>
  </w:style>
  <w:style w:type="paragraph" w:styleId="18">
    <w:name w:val="toc 1"/>
    <w:basedOn w:val="1"/>
    <w:next w:val="1"/>
    <w:autoRedefine/>
    <w:unhideWhenUsed/>
    <w:qFormat/>
    <w:uiPriority w:val="39"/>
  </w:style>
  <w:style w:type="paragraph" w:styleId="19">
    <w:name w:val="annotation subject"/>
    <w:basedOn w:val="12"/>
    <w:next w:val="12"/>
    <w:link w:val="33"/>
    <w:autoRedefine/>
    <w:semiHidden/>
    <w:unhideWhenUsed/>
    <w:qFormat/>
    <w:uiPriority w:val="99"/>
    <w:rPr>
      <w:b/>
      <w:bCs/>
    </w:rPr>
  </w:style>
  <w:style w:type="character" w:styleId="22">
    <w:name w:val="Hyperlink"/>
    <w:basedOn w:val="21"/>
    <w:autoRedefine/>
    <w:unhideWhenUsed/>
    <w:qFormat/>
    <w:uiPriority w:val="99"/>
    <w:rPr>
      <w:color w:val="0000FF"/>
      <w:u w:val="single"/>
    </w:rPr>
  </w:style>
  <w:style w:type="character" w:styleId="23">
    <w:name w:val="annotation reference"/>
    <w:basedOn w:val="21"/>
    <w:autoRedefine/>
    <w:semiHidden/>
    <w:unhideWhenUsed/>
    <w:qFormat/>
    <w:uiPriority w:val="99"/>
    <w:rPr>
      <w:sz w:val="21"/>
      <w:szCs w:val="21"/>
    </w:rPr>
  </w:style>
  <w:style w:type="character" w:customStyle="1" w:styleId="24">
    <w:name w:val="日期 字符"/>
    <w:basedOn w:val="21"/>
    <w:link w:val="14"/>
    <w:autoRedefine/>
    <w:semiHidden/>
    <w:qFormat/>
    <w:uiPriority w:val="99"/>
    <w:rPr>
      <w:rFonts w:ascii="Tahoma" w:hAnsi="Tahoma" w:eastAsia="微软雅黑"/>
      <w:kern w:val="0"/>
      <w:sz w:val="22"/>
    </w:rPr>
  </w:style>
  <w:style w:type="character" w:customStyle="1" w:styleId="25">
    <w:name w:val="标题 1 字符"/>
    <w:basedOn w:val="21"/>
    <w:link w:val="3"/>
    <w:autoRedefine/>
    <w:qFormat/>
    <w:uiPriority w:val="9"/>
    <w:rPr>
      <w:rFonts w:ascii="Tahoma" w:hAnsi="Tahoma" w:eastAsia="微软雅黑"/>
      <w:b/>
      <w:bCs/>
      <w:kern w:val="44"/>
      <w:sz w:val="44"/>
      <w:szCs w:val="44"/>
    </w:rPr>
  </w:style>
  <w:style w:type="character" w:customStyle="1" w:styleId="26">
    <w:name w:val="标题 2 字符"/>
    <w:basedOn w:val="21"/>
    <w:link w:val="4"/>
    <w:autoRedefine/>
    <w:qFormat/>
    <w:uiPriority w:val="9"/>
    <w:rPr>
      <w:rFonts w:eastAsia="黑体" w:asciiTheme="majorHAnsi" w:hAnsiTheme="majorHAnsi" w:cstheme="majorBidi"/>
      <w:b/>
      <w:bCs/>
      <w:kern w:val="0"/>
      <w:sz w:val="32"/>
      <w:szCs w:val="32"/>
    </w:rPr>
  </w:style>
  <w:style w:type="paragraph" w:styleId="27">
    <w:name w:val="List Paragraph"/>
    <w:basedOn w:val="1"/>
    <w:autoRedefine/>
    <w:qFormat/>
    <w:uiPriority w:val="34"/>
    <w:pPr>
      <w:ind w:firstLine="420" w:firstLineChars="200"/>
    </w:pPr>
  </w:style>
  <w:style w:type="character" w:customStyle="1" w:styleId="28">
    <w:name w:val="apple-converted-space"/>
    <w:basedOn w:val="21"/>
    <w:autoRedefine/>
    <w:qFormat/>
    <w:uiPriority w:val="0"/>
  </w:style>
  <w:style w:type="paragraph" w:customStyle="1" w:styleId="29">
    <w:name w:val="WPSOffice手动目录 1"/>
    <w:autoRedefine/>
    <w:qFormat/>
    <w:uiPriority w:val="0"/>
    <w:rPr>
      <w:rFonts w:ascii="Calibri" w:hAnsi="Calibri" w:eastAsia="宋体" w:cs="Times New Roman"/>
      <w:lang w:val="en-US" w:eastAsia="zh-CN" w:bidi="ar-SA"/>
    </w:rPr>
  </w:style>
  <w:style w:type="paragraph" w:customStyle="1" w:styleId="30">
    <w:name w:val="WPSOffice手动目录 2"/>
    <w:autoRedefine/>
    <w:qFormat/>
    <w:uiPriority w:val="0"/>
    <w:pPr>
      <w:ind w:left="200" w:leftChars="200"/>
    </w:pPr>
    <w:rPr>
      <w:rFonts w:ascii="Calibri" w:hAnsi="Calibri" w:eastAsia="宋体" w:cs="Times New Roman"/>
      <w:lang w:val="en-US" w:eastAsia="zh-CN" w:bidi="ar-SA"/>
    </w:rPr>
  </w:style>
  <w:style w:type="paragraph" w:customStyle="1" w:styleId="31">
    <w:name w:val="WPSOffice手动目录 3"/>
    <w:autoRedefine/>
    <w:qFormat/>
    <w:uiPriority w:val="0"/>
    <w:pPr>
      <w:ind w:left="400" w:leftChars="400"/>
    </w:pPr>
    <w:rPr>
      <w:rFonts w:ascii="Calibri" w:hAnsi="Calibri" w:eastAsia="宋体" w:cs="Times New Roman"/>
      <w:lang w:val="en-US" w:eastAsia="zh-CN" w:bidi="ar-SA"/>
    </w:rPr>
  </w:style>
  <w:style w:type="character" w:customStyle="1" w:styleId="32">
    <w:name w:val="批注文字 字符"/>
    <w:basedOn w:val="21"/>
    <w:link w:val="12"/>
    <w:autoRedefine/>
    <w:semiHidden/>
    <w:qFormat/>
    <w:uiPriority w:val="99"/>
    <w:rPr>
      <w:rFonts w:ascii="Tahoma" w:hAnsi="Tahoma" w:eastAsia="微软雅黑" w:cstheme="minorBidi"/>
      <w:sz w:val="22"/>
      <w:szCs w:val="22"/>
    </w:rPr>
  </w:style>
  <w:style w:type="character" w:customStyle="1" w:styleId="33">
    <w:name w:val="批注主题 字符"/>
    <w:basedOn w:val="32"/>
    <w:link w:val="19"/>
    <w:autoRedefine/>
    <w:semiHidden/>
    <w:qFormat/>
    <w:uiPriority w:val="99"/>
    <w:rPr>
      <w:rFonts w:ascii="Tahoma" w:hAnsi="Tahoma" w:eastAsia="微软雅黑" w:cstheme="minorBidi"/>
      <w:b/>
      <w:bCs/>
      <w:sz w:val="22"/>
      <w:szCs w:val="22"/>
    </w:rPr>
  </w:style>
  <w:style w:type="character" w:customStyle="1" w:styleId="34">
    <w:name w:val="批注框文本 字符"/>
    <w:basedOn w:val="21"/>
    <w:link w:val="15"/>
    <w:autoRedefine/>
    <w:semiHidden/>
    <w:qFormat/>
    <w:uiPriority w:val="99"/>
    <w:rPr>
      <w:rFonts w:ascii="Tahoma" w:hAnsi="Tahoma" w:eastAsia="微软雅黑" w:cstheme="minorBidi"/>
      <w:sz w:val="18"/>
      <w:szCs w:val="18"/>
    </w:rPr>
  </w:style>
  <w:style w:type="character" w:customStyle="1" w:styleId="35">
    <w:name w:val="标题 3 字符"/>
    <w:basedOn w:val="21"/>
    <w:link w:val="5"/>
    <w:autoRedefine/>
    <w:qFormat/>
    <w:uiPriority w:val="9"/>
    <w:rPr>
      <w:rFonts w:ascii="Tahoma" w:hAnsi="Tahoma" w:cstheme="minorBidi"/>
      <w:sz w:val="32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0" Type="http://schemas.openxmlformats.org/officeDocument/2006/relationships/fontTable" Target="fontTable.xml"/><Relationship Id="rId6" Type="http://schemas.openxmlformats.org/officeDocument/2006/relationships/image" Target="media/image1.png"/><Relationship Id="rId59" Type="http://schemas.openxmlformats.org/officeDocument/2006/relationships/customXml" Target="../customXml/item2.xml"/><Relationship Id="rId58" Type="http://schemas.openxmlformats.org/officeDocument/2006/relationships/numbering" Target="numbering.xml"/><Relationship Id="rId57" Type="http://schemas.openxmlformats.org/officeDocument/2006/relationships/customXml" Target="../customXml/item1.xml"/><Relationship Id="rId56" Type="http://schemas.openxmlformats.org/officeDocument/2006/relationships/image" Target="media/image51.png"/><Relationship Id="rId55" Type="http://schemas.openxmlformats.org/officeDocument/2006/relationships/image" Target="media/image50.png"/><Relationship Id="rId54" Type="http://schemas.openxmlformats.org/officeDocument/2006/relationships/image" Target="media/image49.png"/><Relationship Id="rId53" Type="http://schemas.openxmlformats.org/officeDocument/2006/relationships/image" Target="media/image48.png"/><Relationship Id="rId52" Type="http://schemas.openxmlformats.org/officeDocument/2006/relationships/image" Target="media/image47.png"/><Relationship Id="rId51" Type="http://schemas.openxmlformats.org/officeDocument/2006/relationships/image" Target="media/image46.png"/><Relationship Id="rId50" Type="http://schemas.openxmlformats.org/officeDocument/2006/relationships/image" Target="media/image45.png"/><Relationship Id="rId5" Type="http://schemas.openxmlformats.org/officeDocument/2006/relationships/theme" Target="theme/theme1.xml"/><Relationship Id="rId49" Type="http://schemas.openxmlformats.org/officeDocument/2006/relationships/image" Target="media/image44.png"/><Relationship Id="rId48" Type="http://schemas.openxmlformats.org/officeDocument/2006/relationships/image" Target="media/image43.png"/><Relationship Id="rId47" Type="http://schemas.openxmlformats.org/officeDocument/2006/relationships/image" Target="media/image42.png"/><Relationship Id="rId46" Type="http://schemas.openxmlformats.org/officeDocument/2006/relationships/image" Target="media/image41.png"/><Relationship Id="rId45" Type="http://schemas.openxmlformats.org/officeDocument/2006/relationships/image" Target="media/image40.png"/><Relationship Id="rId44" Type="http://schemas.openxmlformats.org/officeDocument/2006/relationships/image" Target="media/image39.png"/><Relationship Id="rId43" Type="http://schemas.openxmlformats.org/officeDocument/2006/relationships/image" Target="media/image38.png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footer" Target="footer1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footnotes" Target="footnotes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77B39240-DBF0-4481-A151-FA8B4047B496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23</Pages>
  <Words>2588</Words>
  <Characters>2745</Characters>
  <Lines>32</Lines>
  <Paragraphs>9</Paragraphs>
  <TotalTime>0</TotalTime>
  <ScaleCrop>false</ScaleCrop>
  <LinksUpToDate>false</LinksUpToDate>
  <CharactersWithSpaces>2845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2022-04-11T10:21:00Z</dcterms:created>
  <dc:creator>User</dc:creator>
  <cp:lastModifiedBy>小丑</cp:lastModifiedBy>
  <cp:lastPrinted>2020-05-28T02:43:00Z</cp:lastPrinted>
  <dcterms:modified xsi:type="dcterms:W3CDTF">2025-06-13T01:44:46Z</dcterms:modified>
  <cp:revision>96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8236B3AFA562486CABC027579FFDAF78_12</vt:lpwstr>
  </property>
  <property fmtid="{D5CDD505-2E9C-101B-9397-08002B2CF9AE}" pid="4" name="KSOTemplateDocerSaveRecord">
    <vt:lpwstr>eyJoZGlkIjoiNmMyNjk1ZDYxZTM4YmZhM2FkMDNkMzY3ZGU0NzA5Y2EiLCJ1c2VySWQiOiI0MzExNDM5OTkifQ==</vt:lpwstr>
  </property>
</Properties>
</file>