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70CBAA8">
      <w:pPr>
        <w:jc w:val="center"/>
        <w:rPr>
          <w:rFonts w:ascii="黑体" w:eastAsia="黑体"/>
          <w:b/>
          <w:color w:val="FF0000"/>
          <w:sz w:val="48"/>
          <w:szCs w:val="48"/>
        </w:rPr>
      </w:pPr>
    </w:p>
    <w:p w14:paraId="54AF7026">
      <w:pPr>
        <w:jc w:val="center"/>
        <w:rPr>
          <w:rFonts w:ascii="黑体" w:eastAsia="黑体"/>
          <w:b/>
          <w:sz w:val="48"/>
          <w:szCs w:val="48"/>
        </w:rPr>
      </w:pPr>
    </w:p>
    <w:p w14:paraId="6DB7B79C">
      <w:pPr>
        <w:jc w:val="center"/>
        <w:rPr>
          <w:rFonts w:ascii="黑体" w:eastAsia="黑体"/>
          <w:b/>
          <w:sz w:val="48"/>
          <w:szCs w:val="48"/>
        </w:rPr>
      </w:pPr>
      <w:r>
        <w:rPr>
          <w:rFonts w:hint="eastAsia" w:ascii="黑体" w:eastAsia="黑体"/>
          <w:b/>
          <w:sz w:val="48"/>
          <w:szCs w:val="48"/>
          <w:lang w:val="en-US" w:eastAsia="zh-CN"/>
        </w:rPr>
        <w:t>汕尾</w:t>
      </w:r>
      <w:r>
        <w:rPr>
          <w:rFonts w:hint="eastAsia" w:ascii="黑体" w:eastAsia="黑体"/>
          <w:b/>
          <w:sz w:val="48"/>
          <w:szCs w:val="48"/>
        </w:rPr>
        <w:t>市公共资源交易</w:t>
      </w:r>
      <w:r>
        <w:rPr>
          <w:rFonts w:hint="eastAsia" w:ascii="黑体" w:eastAsia="黑体"/>
          <w:b/>
          <w:sz w:val="48"/>
          <w:szCs w:val="48"/>
          <w:lang w:val="en-US" w:eastAsia="zh-CN"/>
        </w:rPr>
        <w:t>信息</w:t>
      </w:r>
      <w:r>
        <w:rPr>
          <w:rFonts w:hint="eastAsia" w:ascii="黑体" w:eastAsia="黑体"/>
          <w:b/>
          <w:sz w:val="48"/>
          <w:szCs w:val="48"/>
        </w:rPr>
        <w:t>化平台</w:t>
      </w:r>
    </w:p>
    <w:p w14:paraId="1D5C8A6C">
      <w:pPr>
        <w:jc w:val="center"/>
        <w:rPr>
          <w:rFonts w:ascii="黑体" w:eastAsia="黑体"/>
          <w:b/>
          <w:sz w:val="48"/>
          <w:szCs w:val="48"/>
        </w:rPr>
      </w:pPr>
      <w:r>
        <w:rPr>
          <w:rFonts w:hint="eastAsia" w:ascii="黑体" w:eastAsia="黑体"/>
          <w:b/>
          <w:sz w:val="48"/>
          <w:szCs w:val="48"/>
        </w:rPr>
        <w:t>建设工程交易</w:t>
      </w:r>
    </w:p>
    <w:p w14:paraId="79406738">
      <w:pPr>
        <w:jc w:val="center"/>
        <w:rPr>
          <w:rFonts w:ascii="黑体" w:eastAsia="黑体"/>
          <w:b/>
          <w:sz w:val="48"/>
          <w:szCs w:val="48"/>
        </w:rPr>
      </w:pPr>
      <w:r>
        <w:rPr>
          <w:rFonts w:hint="eastAsia" w:ascii="黑体" w:eastAsia="黑体"/>
          <w:b/>
          <w:sz w:val="48"/>
          <w:szCs w:val="48"/>
        </w:rPr>
        <w:t>（投标人）</w:t>
      </w:r>
    </w:p>
    <w:p w14:paraId="28541A44">
      <w:pPr>
        <w:spacing w:before="1440"/>
        <w:jc w:val="center"/>
        <w:rPr>
          <w:rFonts w:ascii="黑体" w:hAnsi="宋体" w:eastAsia="黑体"/>
          <w:b/>
          <w:sz w:val="52"/>
          <w:szCs w:val="52"/>
        </w:rPr>
      </w:pPr>
      <w:r>
        <w:rPr>
          <w:rFonts w:hint="eastAsia" w:ascii="黑体" w:hAnsi="宋体" w:eastAsia="黑体"/>
          <w:b/>
          <w:sz w:val="52"/>
          <w:szCs w:val="52"/>
        </w:rPr>
        <w:t>用</w:t>
      </w:r>
    </w:p>
    <w:p w14:paraId="7CFC05A0">
      <w:pPr>
        <w:spacing w:before="360" w:after="312" w:afterLines="100"/>
        <w:jc w:val="center"/>
        <w:rPr>
          <w:rFonts w:ascii="黑体" w:hAnsi="宋体" w:eastAsia="黑体"/>
          <w:b/>
          <w:sz w:val="52"/>
          <w:szCs w:val="52"/>
        </w:rPr>
      </w:pPr>
      <w:r>
        <w:rPr>
          <w:rFonts w:hint="eastAsia" w:ascii="黑体" w:hAnsi="宋体" w:eastAsia="黑体"/>
          <w:b/>
          <w:sz w:val="52"/>
          <w:szCs w:val="52"/>
        </w:rPr>
        <w:t>户</w:t>
      </w:r>
    </w:p>
    <w:p w14:paraId="31DC0A86">
      <w:pPr>
        <w:spacing w:before="360" w:after="312" w:afterLines="100"/>
        <w:jc w:val="center"/>
        <w:rPr>
          <w:rFonts w:ascii="黑体" w:hAnsi="宋体" w:eastAsia="黑体"/>
          <w:b/>
          <w:sz w:val="52"/>
          <w:szCs w:val="52"/>
        </w:rPr>
      </w:pPr>
      <w:r>
        <w:rPr>
          <w:rFonts w:hint="eastAsia" w:ascii="黑体" w:hAnsi="宋体" w:eastAsia="黑体"/>
          <w:b/>
          <w:sz w:val="52"/>
          <w:szCs w:val="52"/>
        </w:rPr>
        <w:t>手</w:t>
      </w:r>
    </w:p>
    <w:p w14:paraId="615BEA72">
      <w:pPr>
        <w:spacing w:before="360" w:after="312" w:afterLines="100"/>
        <w:jc w:val="center"/>
        <w:rPr>
          <w:rFonts w:ascii="黑体" w:hAnsi="宋体" w:eastAsia="黑体"/>
          <w:b/>
          <w:sz w:val="52"/>
          <w:szCs w:val="52"/>
        </w:rPr>
      </w:pPr>
      <w:r>
        <w:rPr>
          <w:rFonts w:hint="eastAsia" w:ascii="黑体" w:hAnsi="宋体" w:eastAsia="黑体"/>
          <w:b/>
          <w:sz w:val="52"/>
          <w:szCs w:val="52"/>
        </w:rPr>
        <w:t>册</w:t>
      </w:r>
    </w:p>
    <w:p w14:paraId="15046EFC">
      <w:pPr>
        <w:rPr>
          <w:rFonts w:ascii="黑体" w:hAnsi="宋体" w:eastAsia="黑体"/>
          <w:b/>
          <w:sz w:val="24"/>
        </w:rPr>
      </w:pPr>
    </w:p>
    <w:p w14:paraId="32304AC7">
      <w:pPr>
        <w:rPr>
          <w:rFonts w:ascii="黑体" w:hAnsi="宋体" w:eastAsia="黑体"/>
          <w:b/>
          <w:sz w:val="24"/>
        </w:rPr>
      </w:pPr>
    </w:p>
    <w:p w14:paraId="307013F6">
      <w:pPr>
        <w:rPr>
          <w:rFonts w:ascii="黑体" w:hAnsi="宋体" w:eastAsia="黑体"/>
          <w:b/>
          <w:sz w:val="24"/>
        </w:rPr>
      </w:pPr>
    </w:p>
    <w:p w14:paraId="6098F5F2">
      <w:pPr>
        <w:rPr>
          <w:rFonts w:ascii="黑体" w:hAnsi="宋体" w:eastAsia="黑体"/>
          <w:b/>
          <w:sz w:val="24"/>
        </w:rPr>
      </w:pPr>
    </w:p>
    <w:p w14:paraId="158BBE6A">
      <w:pPr>
        <w:jc w:val="center"/>
        <w:rPr>
          <w:rFonts w:eastAsia="黑体"/>
          <w:b/>
          <w:bCs/>
          <w:sz w:val="28"/>
        </w:rPr>
      </w:pPr>
    </w:p>
    <w:p w14:paraId="44CBF7BD">
      <w:pPr>
        <w:jc w:val="center"/>
        <w:rPr>
          <w:rFonts w:eastAsia="黑体"/>
          <w:b/>
          <w:bCs/>
          <w:sz w:val="28"/>
        </w:rPr>
      </w:pPr>
    </w:p>
    <w:p w14:paraId="79E8C0A5">
      <w:pPr>
        <w:jc w:val="center"/>
        <w:rPr>
          <w:rFonts w:eastAsia="黑体"/>
          <w:b/>
          <w:bCs/>
          <w:sz w:val="28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sdt>
      <w:sdtPr>
        <w:rPr>
          <w:rFonts w:ascii="宋体" w:hAnsi="宋体" w:eastAsia="宋体"/>
          <w:sz w:val="21"/>
        </w:rPr>
        <w:id w:val="147482565"/>
        <w:docPartObj>
          <w:docPartGallery w:val="Table of Contents"/>
          <w:docPartUnique/>
        </w:docPartObj>
      </w:sdtPr>
      <w:sdtEndPr>
        <w:rPr>
          <w:rFonts w:hint="eastAsia" w:ascii="Tahoma" w:hAnsi="Tahoma" w:eastAsia="黑体"/>
          <w:bCs/>
          <w:sz w:val="22"/>
        </w:rPr>
      </w:sdtEndPr>
      <w:sdtContent>
        <w:p w14:paraId="7C861507">
          <w:pPr>
            <w:spacing w:after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 w14:paraId="0465F9DC">
          <w:pPr>
            <w:pStyle w:val="18"/>
            <w:tabs>
              <w:tab w:val="right" w:leader="dot" w:pos="8306"/>
            </w:tabs>
          </w:pPr>
          <w:r>
            <w:rPr>
              <w:rFonts w:hint="eastAsia" w:eastAsia="黑体"/>
              <w:b/>
              <w:bCs/>
              <w:sz w:val="28"/>
            </w:rPr>
            <w:fldChar w:fldCharType="begin"/>
          </w:r>
          <w:r>
            <w:rPr>
              <w:rFonts w:hint="eastAsia" w:eastAsia="黑体"/>
              <w:b/>
              <w:bCs/>
              <w:sz w:val="28"/>
            </w:rPr>
            <w:instrText xml:space="preserve">TOC \o "1-3" \h \u </w:instrText>
          </w:r>
          <w:r>
            <w:rPr>
              <w:rFonts w:hint="eastAsia" w:eastAsia="黑体"/>
              <w:b/>
              <w:bCs/>
              <w:sz w:val="28"/>
            </w:rPr>
            <w:fldChar w:fldCharType="separate"/>
          </w: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_Toc28040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一. </w:t>
          </w:r>
          <w:r>
            <w:rPr>
              <w:rFonts w:hint="eastAsia" w:ascii="黑体" w:hAnsi="Calibri" w:eastAsia="黑体" w:cs="Times New Roman"/>
            </w:rPr>
            <w:t>登录</w:t>
          </w:r>
          <w:r>
            <w:tab/>
          </w:r>
          <w:r>
            <w:fldChar w:fldCharType="begin"/>
          </w:r>
          <w:r>
            <w:instrText xml:space="preserve"> PAGEREF _Toc28040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7D29C052">
          <w:pPr>
            <w:pStyle w:val="18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_Toc21852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二. </w:t>
          </w:r>
          <w:r>
            <w:rPr>
              <w:rFonts w:hint="eastAsia" w:ascii="黑体" w:hAnsi="Calibri" w:eastAsia="黑体" w:cs="Times New Roman"/>
            </w:rPr>
            <w:t>业务操作说明</w:t>
          </w:r>
          <w:r>
            <w:tab/>
          </w:r>
          <w:r>
            <w:fldChar w:fldCharType="begin"/>
          </w:r>
          <w:r>
            <w:instrText xml:space="preserve"> PAGEREF _Toc21852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2A7A10A5">
          <w:pPr>
            <w:pStyle w:val="2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_Toc8647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（一） </w:t>
          </w:r>
          <w:r>
            <w:rPr>
              <w:rFonts w:hint="eastAsia"/>
              <w:lang w:val="en-US" w:eastAsia="zh-CN"/>
            </w:rPr>
            <w:t>企业入库</w:t>
          </w:r>
          <w:r>
            <w:tab/>
          </w:r>
          <w:r>
            <w:fldChar w:fldCharType="begin"/>
          </w:r>
          <w:r>
            <w:instrText xml:space="preserve"> PAGEREF _Toc8647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10C02053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_Toc26690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1. </w:t>
          </w:r>
          <w:r>
            <w:rPr>
              <w:rFonts w:hint="eastAsia"/>
              <w:lang w:val="en-US" w:eastAsia="zh-CN"/>
            </w:rPr>
            <w:t>企业注册</w:t>
          </w:r>
          <w:r>
            <w:tab/>
          </w:r>
          <w:r>
            <w:fldChar w:fldCharType="begin"/>
          </w:r>
          <w:r>
            <w:instrText xml:space="preserve"> PAGEREF _Toc26690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04AF50D1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_Toc11088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2. </w:t>
          </w:r>
          <w:r>
            <w:rPr>
              <w:rFonts w:hint="eastAsia"/>
              <w:lang w:val="en-US" w:eastAsia="zh-CN"/>
            </w:rPr>
            <w:t>企业资料完善</w:t>
          </w:r>
          <w:r>
            <w:tab/>
          </w:r>
          <w:r>
            <w:fldChar w:fldCharType="begin"/>
          </w:r>
          <w:r>
            <w:instrText xml:space="preserve"> PAGEREF _Toc11088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0CB9502C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_Toc4502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3. </w:t>
          </w:r>
          <w:r>
            <w:rPr>
              <w:rFonts w:hint="eastAsia"/>
              <w:lang w:val="en-US" w:eastAsia="zh-CN"/>
            </w:rPr>
            <w:t>企业资料更新到汕尾交易平台</w:t>
          </w:r>
          <w:r>
            <w:tab/>
          </w:r>
          <w:r>
            <w:fldChar w:fldCharType="begin"/>
          </w:r>
          <w:r>
            <w:instrText xml:space="preserve"> PAGEREF _Toc4502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0F9201D3">
          <w:pPr>
            <w:pStyle w:val="2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_Toc14245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（二） </w:t>
          </w:r>
          <w:r>
            <w:rPr>
              <w:rFonts w:hint="eastAsia"/>
            </w:rPr>
            <w:t>投标报名</w:t>
          </w:r>
          <w:r>
            <w:tab/>
          </w:r>
          <w:r>
            <w:fldChar w:fldCharType="begin"/>
          </w:r>
          <w:r>
            <w:instrText xml:space="preserve"> PAGEREF _Toc14245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00CF6DAD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_Toc17736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1. </w:t>
          </w:r>
          <w:r>
            <w:rPr>
              <w:rFonts w:hint="eastAsia"/>
            </w:rPr>
            <w:t>项目报名</w:t>
          </w:r>
          <w:r>
            <w:tab/>
          </w:r>
          <w:r>
            <w:fldChar w:fldCharType="begin"/>
          </w:r>
          <w:r>
            <w:instrText xml:space="preserve"> PAGEREF _Toc17736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562CEFB6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_Toc15773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2. </w:t>
          </w:r>
          <w:r>
            <w:rPr>
              <w:rFonts w:hint="eastAsia"/>
            </w:rPr>
            <w:t>发起联合体报名</w:t>
          </w:r>
          <w:r>
            <w:tab/>
          </w:r>
          <w:r>
            <w:fldChar w:fldCharType="begin"/>
          </w:r>
          <w:r>
            <w:instrText xml:space="preserve"> PAGEREF _Toc15773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1F85E5D2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_Toc20179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3. </w:t>
          </w:r>
          <w:r>
            <w:rPr>
              <w:rFonts w:hint="eastAsia"/>
            </w:rPr>
            <w:t>接受被邀请联合报名</w:t>
          </w:r>
          <w:r>
            <w:tab/>
          </w:r>
          <w:r>
            <w:fldChar w:fldCharType="begin"/>
          </w:r>
          <w:r>
            <w:instrText xml:space="preserve"> PAGEREF _Toc20179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754DB8BB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_Toc21189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4. </w:t>
          </w:r>
          <w:r>
            <w:rPr>
              <w:rFonts w:hint="eastAsia"/>
            </w:rPr>
            <w:t>提交联合体报名</w:t>
          </w:r>
          <w:r>
            <w:tab/>
          </w:r>
          <w:r>
            <w:fldChar w:fldCharType="begin"/>
          </w:r>
          <w:r>
            <w:instrText xml:space="preserve"> PAGEREF _Toc21189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0545CE56">
          <w:pPr>
            <w:pStyle w:val="2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_Toc28065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（三） </w:t>
          </w:r>
          <w:r>
            <w:rPr>
              <w:rFonts w:hint="eastAsia"/>
              <w:lang w:val="en-US" w:eastAsia="zh-CN"/>
            </w:rPr>
            <w:t>设置授权代表、缴纳保证金</w:t>
          </w:r>
          <w:r>
            <w:tab/>
          </w:r>
          <w:r>
            <w:fldChar w:fldCharType="begin"/>
          </w:r>
          <w:r>
            <w:instrText xml:space="preserve"> PAGEREF _Toc28065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546928F7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_Toc165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1. </w:t>
          </w:r>
          <w:r>
            <w:rPr>
              <w:rFonts w:hint="eastAsia"/>
            </w:rPr>
            <w:t>设置授权代表</w:t>
          </w:r>
          <w:r>
            <w:tab/>
          </w:r>
          <w:r>
            <w:fldChar w:fldCharType="begin"/>
          </w:r>
          <w:r>
            <w:instrText xml:space="preserve"> PAGEREF _Toc165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407D98C9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_Toc21951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2. </w:t>
          </w:r>
          <w:r>
            <w:rPr>
              <w:rFonts w:hint="eastAsia"/>
            </w:rPr>
            <w:t>缴纳保证金</w:t>
          </w:r>
          <w:r>
            <w:tab/>
          </w:r>
          <w:r>
            <w:fldChar w:fldCharType="begin"/>
          </w:r>
          <w:r>
            <w:instrText xml:space="preserve"> PAGEREF _Toc21951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6186FD36">
          <w:pPr>
            <w:pStyle w:val="2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_Toc16694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（四） </w:t>
          </w:r>
          <w:r>
            <w:rPr>
              <w:rFonts w:hint="eastAsia"/>
              <w:lang w:val="en-US" w:eastAsia="zh-CN"/>
            </w:rPr>
            <w:t>在线投标（电子评标类）</w:t>
          </w:r>
          <w:r>
            <w:tab/>
          </w:r>
          <w:r>
            <w:fldChar w:fldCharType="begin"/>
          </w:r>
          <w:r>
            <w:instrText xml:space="preserve"> PAGEREF _Toc16694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4F205573">
          <w:pPr>
            <w:pStyle w:val="2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_Toc16111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（五） </w:t>
          </w:r>
          <w:r>
            <w:rPr>
              <w:rFonts w:hint="eastAsia"/>
              <w:lang w:val="en-US" w:eastAsia="zh-CN"/>
            </w:rPr>
            <w:t>开标及评标</w:t>
          </w:r>
          <w:r>
            <w:tab/>
          </w:r>
          <w:r>
            <w:fldChar w:fldCharType="begin"/>
          </w:r>
          <w:r>
            <w:instrText xml:space="preserve"> PAGEREF _Toc16111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5D8F687B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_Toc17430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1. </w:t>
          </w:r>
          <w:r>
            <w:rPr>
              <w:rFonts w:hint="eastAsia"/>
              <w:lang w:val="en-US" w:eastAsia="zh-CN"/>
            </w:rPr>
            <w:t>查看开标及提出开标异议</w:t>
          </w:r>
          <w:r>
            <w:tab/>
          </w:r>
          <w:r>
            <w:fldChar w:fldCharType="begin"/>
          </w:r>
          <w:r>
            <w:instrText xml:space="preserve"> PAGEREF _Toc17430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00A9F8F0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_Toc15777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2. </w:t>
          </w:r>
          <w:r>
            <w:rPr>
              <w:rFonts w:hint="eastAsia"/>
              <w:lang w:val="en-US" w:eastAsia="zh-CN"/>
            </w:rPr>
            <w:t>询标答复</w:t>
          </w:r>
          <w:r>
            <w:tab/>
          </w:r>
          <w:r>
            <w:fldChar w:fldCharType="begin"/>
          </w:r>
          <w:r>
            <w:instrText xml:space="preserve"> PAGEREF _Toc15777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705DAC0D">
          <w:pPr>
            <w:pStyle w:val="2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_Toc27186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（六） </w:t>
          </w:r>
          <w:r>
            <w:rPr>
              <w:rFonts w:hint="eastAsia"/>
            </w:rPr>
            <w:t>查看中标项目</w:t>
          </w:r>
          <w:r>
            <w:tab/>
          </w:r>
          <w:r>
            <w:fldChar w:fldCharType="begin"/>
          </w:r>
          <w:r>
            <w:instrText xml:space="preserve"> PAGEREF _Toc27186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44681290">
          <w:pPr>
            <w:pStyle w:val="2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_Toc15448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（七） </w:t>
          </w:r>
          <w:r>
            <w:rPr>
              <w:rFonts w:hint="eastAsia"/>
              <w:lang w:val="en-US" w:eastAsia="zh-CN"/>
            </w:rPr>
            <w:t>合同在线签订</w:t>
          </w:r>
          <w:r>
            <w:tab/>
          </w:r>
          <w:r>
            <w:fldChar w:fldCharType="begin"/>
          </w:r>
          <w:r>
            <w:instrText xml:space="preserve"> PAGEREF _Toc15448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0C4F6DAA">
          <w:pPr>
            <w:pStyle w:val="2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_Toc5127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（八） </w:t>
          </w:r>
          <w:r>
            <w:rPr>
              <w:rFonts w:hint="eastAsia"/>
              <w:lang w:val="en-US" w:eastAsia="zh-CN"/>
            </w:rPr>
            <w:t>验收报告上传</w:t>
          </w:r>
          <w:r>
            <w:tab/>
          </w:r>
          <w:r>
            <w:fldChar w:fldCharType="begin"/>
          </w:r>
          <w:r>
            <w:instrText xml:space="preserve"> PAGEREF _Toc5127 \h </w:instrText>
          </w:r>
          <w:r>
            <w:fldChar w:fldCharType="separate"/>
          </w:r>
          <w:r>
            <w:t>39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2A598127">
          <w:pPr>
            <w:pStyle w:val="18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_Toc24962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三. </w:t>
          </w:r>
          <w:r>
            <w:rPr>
              <w:rFonts w:hint="eastAsia" w:ascii="黑体" w:hAnsi="Calibri" w:eastAsia="黑体" w:cs="Times New Roman"/>
            </w:rPr>
            <w:t>技术支持</w:t>
          </w:r>
          <w:r>
            <w:tab/>
          </w:r>
          <w:r>
            <w:fldChar w:fldCharType="begin"/>
          </w:r>
          <w:r>
            <w:instrText xml:space="preserve"> PAGEREF _Toc24962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4793F3F9">
          <w:pPr>
            <w:jc w:val="center"/>
            <w:rPr>
              <w:rFonts w:eastAsia="黑体"/>
              <w:b/>
              <w:bCs/>
              <w:sz w:val="28"/>
            </w:rPr>
            <w:sectPr>
              <w:footerReference r:id="rId4" w:type="default"/>
              <w:pgSz w:w="11906" w:h="16838"/>
              <w:pgMar w:top="1440" w:right="1800" w:bottom="1440" w:left="1800" w:header="851" w:footer="992" w:gutter="0"/>
              <w:pgNumType w:start="1"/>
              <w:cols w:space="425" w:num="1"/>
              <w:docGrid w:type="lines" w:linePitch="312" w:charSpace="0"/>
            </w:sectPr>
          </w:pPr>
          <w:r>
            <w:rPr>
              <w:rFonts w:hint="eastAsia" w:eastAsia="黑体"/>
              <w:bCs/>
            </w:rPr>
            <w:fldChar w:fldCharType="end"/>
          </w:r>
        </w:p>
      </w:sdtContent>
    </w:sdt>
    <w:p w14:paraId="6394232F">
      <w:pPr>
        <w:pStyle w:val="3"/>
        <w:widowControl w:val="0"/>
        <w:numPr>
          <w:ilvl w:val="0"/>
          <w:numId w:val="2"/>
        </w:numPr>
        <w:adjustRightInd/>
        <w:snapToGrid/>
        <w:ind w:left="420" w:leftChars="0" w:hanging="420" w:firstLineChars="0"/>
        <w:jc w:val="both"/>
        <w:rPr>
          <w:rFonts w:ascii="黑体" w:hAnsi="Calibri" w:eastAsia="黑体" w:cs="Times New Roman"/>
        </w:rPr>
      </w:pPr>
      <w:bookmarkStart w:id="0" w:name="_Toc11344"/>
      <w:bookmarkStart w:id="1" w:name="_Toc28040"/>
      <w:bookmarkStart w:id="2" w:name="_Toc407200889"/>
      <w:bookmarkStart w:id="3" w:name="_Toc290881815"/>
      <w:r>
        <w:rPr>
          <w:rFonts w:hint="eastAsia" w:ascii="黑体" w:hAnsi="Calibri" w:eastAsia="黑体" w:cs="Times New Roman"/>
        </w:rPr>
        <w:t>登录</w:t>
      </w:r>
      <w:bookmarkEnd w:id="0"/>
      <w:bookmarkEnd w:id="1"/>
      <w:bookmarkEnd w:id="2"/>
      <w:bookmarkEnd w:id="3"/>
    </w:p>
    <w:p w14:paraId="7105ED48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本地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登录：</w:t>
      </w:r>
    </w:p>
    <w:p w14:paraId="6BAF8F74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Style w:val="2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Style w:val="2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https://jy.swggzy.cn/login</w:t>
      </w:r>
    </w:p>
    <w:p w14:paraId="4C1CC5F1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省平台地址:</w:t>
      </w:r>
    </w:p>
    <w:p w14:paraId="1E45E307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begin"/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instrText xml:space="preserve"> HYPERLINK "https://ygp.gdzwfw.gov.cn/ggzy-portal/index.html#/441500/jyxt" </w:instrTex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separate"/>
      </w:r>
      <w:r>
        <w:rPr>
          <w:rStyle w:val="2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https://ygp.gdzwfw.gov.cn/ggzy-portal/index.html#/441500/jyxt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end"/>
      </w:r>
    </w:p>
    <w:p w14:paraId="5250D400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门户地址：</w:t>
      </w:r>
    </w:p>
    <w:p w14:paraId="708234C9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Style w:val="2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Style w:val="2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http://www.shanwei.gov.cn/swggzy/</w:t>
      </w:r>
    </w:p>
    <w:p w14:paraId="68A79597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建议使用360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极速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浏览器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版本12.0或以上，极速模式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652057AB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2510155"/>
            <wp:effectExtent l="0" t="0" r="635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FC27A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登录方式有：</w:t>
      </w: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CA登录、广东省统一认证登录</w:t>
      </w:r>
    </w:p>
    <w:p w14:paraId="305693FC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2022年11月21号之前在旧平台注册的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企业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可以使用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原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CA登录，使用CA登录，需要插入企业CA KEY，选择“CA登录”方式，输入PIN码，系统验证通过后可进入系统。注意，第一次使用的时候需要安装驱动程序，请点击“多CA兼容登录驱动程序下载”，进行驱动程序的安装。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本系统支持GDCA、SZCA、NETCA登录。</w:t>
      </w:r>
    </w:p>
    <w:p w14:paraId="64858A86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2022年11月21号之后才在旧平台注册的意向企业，需要在新平台再次进行注册入库。</w:t>
      </w:r>
    </w:p>
    <w:p w14:paraId="6DC8797A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注意：</w:t>
      </w:r>
    </w:p>
    <w:p w14:paraId="3E4763C2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支持360浏览器、搜狗浏览器等。为了避免与旧系统的浏览器设置冲突，推荐使用360浏览器；</w:t>
      </w:r>
    </w:p>
    <w:p w14:paraId="644E70AA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如果CA登录不了，请确认安装了GDCA的驱动程序，安装成功后桌面上会有两个图标：</w:t>
      </w:r>
    </w:p>
    <w:p w14:paraId="7BF16603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501140" cy="990600"/>
            <wp:effectExtent l="0" t="0" r="7620" b="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0114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1582C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kern w:val="2"/>
          <w:sz w:val="24"/>
          <w:szCs w:val="24"/>
          <w:lang w:val="en-US" w:eastAsia="zh-CN"/>
        </w:rPr>
        <w:t>双击“GDCA安全认证服务”，启动CA驱动，然后再打开浏览器进行CA登录。如果服务无法启动，建议卸载GDCA驱动，然后重新安装。</w:t>
      </w:r>
    </w:p>
    <w:p w14:paraId="5AA380D7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如果输入CA的密码正确，但仍然提示“PIN码登录失败”或“获取密码重试次数失败！”，请检查IE是否保存了多余的证书，方法如下：</w:t>
      </w:r>
    </w:p>
    <w:p w14:paraId="38E38A4E">
      <w:pPr>
        <w:widowControl w:val="0"/>
        <w:numPr>
          <w:ilvl w:val="0"/>
          <w:numId w:val="4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打开IE浏览器；</w:t>
      </w:r>
    </w:p>
    <w:p w14:paraId="748AF8DA">
      <w:pPr>
        <w:widowControl w:val="0"/>
        <w:numPr>
          <w:ilvl w:val="0"/>
          <w:numId w:val="4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点击“设置 &gt; Internet选项”；</w:t>
      </w:r>
    </w:p>
    <w:p w14:paraId="0793CBD6">
      <w:pPr>
        <w:widowControl w:val="0"/>
        <w:numPr>
          <w:ilvl w:val="0"/>
          <w:numId w:val="4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点击“内容”标签页，然后点击“证书”；</w:t>
      </w:r>
    </w:p>
    <w:p w14:paraId="32029B2D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513455" cy="2834640"/>
            <wp:effectExtent l="0" t="0" r="6985" b="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13455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4BDBA">
      <w:pPr>
        <w:widowControl w:val="0"/>
        <w:numPr>
          <w:ilvl w:val="0"/>
          <w:numId w:val="4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如果有多余的证书（通常是另外一个企业名称的证书），点击选中该证书，然后点击“删除”，删除多余的证书。删除成功后，重试登录；</w:t>
      </w:r>
    </w:p>
    <w:p w14:paraId="59E740B3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967480" cy="3710305"/>
            <wp:effectExtent l="0" t="0" r="10160" b="8255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67480" cy="371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EDA934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ascii="宋体" w:hAnsi="宋体" w:eastAsia="宋体" w:cs="Times New Roman"/>
          <w:color w:val="FF0000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FF0000"/>
          <w:sz w:val="24"/>
          <w:szCs w:val="24"/>
          <w:lang w:val="en-US" w:eastAsia="zh-CN"/>
        </w:rPr>
        <w:t>如果仍有CA登录问题，可以咨询技术支持人员。</w:t>
      </w:r>
    </w:p>
    <w:p w14:paraId="08C57B40">
      <w:pPr>
        <w:pStyle w:val="3"/>
        <w:widowControl w:val="0"/>
        <w:numPr>
          <w:ilvl w:val="0"/>
          <w:numId w:val="2"/>
        </w:numPr>
        <w:adjustRightInd/>
        <w:snapToGrid/>
        <w:ind w:left="420" w:leftChars="0" w:hanging="420" w:firstLineChars="0"/>
        <w:jc w:val="both"/>
        <w:rPr>
          <w:rFonts w:ascii="黑体" w:hAnsi="Calibri" w:eastAsia="黑体" w:cs="Times New Roman"/>
        </w:rPr>
      </w:pPr>
      <w:bookmarkStart w:id="4" w:name="_Toc21852"/>
      <w:bookmarkStart w:id="5" w:name="_Toc14441"/>
      <w:r>
        <w:rPr>
          <w:rFonts w:hint="eastAsia" w:ascii="黑体" w:hAnsi="Calibri" w:eastAsia="黑体" w:cs="Times New Roman"/>
        </w:rPr>
        <w:t>业务操作说明</w:t>
      </w:r>
      <w:bookmarkEnd w:id="4"/>
      <w:bookmarkEnd w:id="5"/>
    </w:p>
    <w:p w14:paraId="1A0C8E0D">
      <w:pPr>
        <w:pStyle w:val="4"/>
        <w:bidi w:val="0"/>
        <w:ind w:left="575" w:leftChars="0" w:hanging="575" w:firstLineChars="0"/>
      </w:pPr>
      <w:bookmarkStart w:id="6" w:name="_Toc8647"/>
      <w:r>
        <w:rPr>
          <w:rFonts w:hint="eastAsia"/>
          <w:lang w:val="en-US" w:eastAsia="zh-CN"/>
        </w:rPr>
        <w:t>企业入库</w:t>
      </w:r>
      <w:bookmarkEnd w:id="6"/>
    </w:p>
    <w:p w14:paraId="295B2DAE">
      <w:pPr>
        <w:pStyle w:val="5"/>
        <w:bidi w:val="0"/>
        <w:ind w:left="720" w:leftChars="0" w:hanging="720" w:firstLineChars="0"/>
      </w:pPr>
      <w:bookmarkStart w:id="7" w:name="_Toc26690"/>
      <w:r>
        <w:rPr>
          <w:rFonts w:hint="eastAsia"/>
          <w:lang w:val="en-US" w:eastAsia="zh-CN"/>
        </w:rPr>
        <w:t>企业注册</w:t>
      </w:r>
      <w:bookmarkEnd w:id="7"/>
    </w:p>
    <w:p w14:paraId="398CEAC4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新入库企业，通过广东省公共资源交易平台门户统一身份认证进行注册。</w:t>
      </w:r>
    </w:p>
    <w:p w14:paraId="161FB226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企业访问省平台：</w:t>
      </w:r>
    </w:p>
    <w:p w14:paraId="7BD3BAB2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begin"/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instrText xml:space="preserve"> HYPERLINK "https://ygp.gdzwfw.gov.cn/ggzy-portal/index.html#/445300/index" </w:instrTex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separate"/>
      </w:r>
      <w:r>
        <w:rPr>
          <w:rStyle w:val="2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https://ygp.gdzwfw.gov.cn/ggzy-portal/index.html#/445300/index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end"/>
      </w:r>
    </w:p>
    <w:p w14:paraId="70522420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tabs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</w:t>
      </w:r>
      <w:r>
        <w:rPr>
          <w:rFonts w:hint="eastAsia" w:ascii="宋体" w:hAnsi="宋体" w:eastAsia="宋体" w:cs="宋体"/>
          <w:sz w:val="24"/>
          <w:szCs w:val="24"/>
        </w:rPr>
        <w:t>点击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门户右上方</w:t>
      </w:r>
      <w:r>
        <w:rPr>
          <w:rFonts w:hint="eastAsia" w:ascii="宋体" w:hAnsi="宋体" w:eastAsia="宋体" w:cs="宋体"/>
          <w:sz w:val="24"/>
          <w:szCs w:val="24"/>
        </w:rPr>
        <w:t>【登录】按钮，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跳转到</w:t>
      </w:r>
      <w:r>
        <w:rPr>
          <w:rFonts w:hint="eastAsia" w:ascii="宋体" w:hAnsi="宋体" w:eastAsia="宋体" w:cs="宋体"/>
          <w:sz w:val="24"/>
          <w:szCs w:val="24"/>
        </w:rPr>
        <w:t>广东省统一身份认证平台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页面，如下图：</w:t>
      </w:r>
    </w:p>
    <w:p w14:paraId="365F00F9">
      <w:pPr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7325" cy="2961640"/>
            <wp:effectExtent l="0" t="0" r="5715" b="10160"/>
            <wp:docPr id="8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371C9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1770" cy="2479040"/>
            <wp:effectExtent l="9525" t="9525" r="22225" b="10795"/>
            <wp:docPr id="7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7904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369B454">
      <w:pPr>
        <w:pStyle w:val="2"/>
        <w:tabs>
          <w:tab w:val="left" w:pos="1260"/>
          <w:tab w:val="right" w:leader="dot" w:pos="9054"/>
        </w:tabs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2、通过以下登录方式，企业可注册/登录广东省公共资源交易平台。</w:t>
      </w:r>
    </w:p>
    <w:p w14:paraId="61FAAB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（1）企业法定代表人，选择“个人登录”方式。</w:t>
      </w:r>
    </w:p>
    <w:p w14:paraId="366074DA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微信扫一扫-粤省事小程序；（推荐）</w:t>
      </w:r>
    </w:p>
    <w:p w14:paraId="4A0EE544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账号密码；</w:t>
      </w:r>
    </w:p>
    <w:p w14:paraId="12A60AB9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网银证书；</w:t>
      </w:r>
    </w:p>
    <w:p w14:paraId="000EF2EF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CA证书；</w:t>
      </w:r>
    </w:p>
    <w:p w14:paraId="770587E4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电子社保卡；</w:t>
      </w:r>
    </w:p>
    <w:p w14:paraId="63A67C1B">
      <w:pPr>
        <w:numPr>
          <w:ilvl w:val="0"/>
          <w:numId w:val="6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国家政务服务平台账号。如下图：</w:t>
      </w:r>
    </w:p>
    <w:p w14:paraId="3EB86B08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1830" cy="2583180"/>
            <wp:effectExtent l="0" t="0" r="8890" b="7620"/>
            <wp:docPr id="8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567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法人登录。</w:t>
      </w:r>
    </w:p>
    <w:p w14:paraId="147C1B58">
      <w:pPr>
        <w:numPr>
          <w:ilvl w:val="0"/>
          <w:numId w:val="6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微信扫一扫-电子营业执照；（推荐）</w:t>
      </w:r>
    </w:p>
    <w:p w14:paraId="6BC34948">
      <w:pPr>
        <w:numPr>
          <w:ilvl w:val="0"/>
          <w:numId w:val="6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账号密码；</w:t>
      </w:r>
    </w:p>
    <w:p w14:paraId="1661EBB4">
      <w:pPr>
        <w:numPr>
          <w:ilvl w:val="0"/>
          <w:numId w:val="6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网银证书；</w:t>
      </w:r>
    </w:p>
    <w:p w14:paraId="2540D5E5">
      <w:pPr>
        <w:numPr>
          <w:ilvl w:val="0"/>
          <w:numId w:val="6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CA证书；</w:t>
      </w:r>
    </w:p>
    <w:p w14:paraId="2E87D9D8">
      <w:pPr>
        <w:numPr>
          <w:ilvl w:val="0"/>
          <w:numId w:val="6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国家政务服务平台账号。如下图：</w:t>
      </w:r>
    </w:p>
    <w:p w14:paraId="4921FA1C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1195" cy="2559685"/>
            <wp:effectExtent l="9525" t="9525" r="15240" b="21590"/>
            <wp:docPr id="8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55968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B2AA3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3、在广东省统一身份认证平台登录或注册时遇到问题，请点击“用户帮助”（http://www.gdzwfw.gov.cn/portal/help/index.html），或致电12345提供帮助。</w:t>
      </w:r>
    </w:p>
    <w:p w14:paraId="1EB94E0D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3735" cy="2984500"/>
            <wp:effectExtent l="9525" t="9525" r="12700" b="23495"/>
            <wp:docPr id="7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298450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5BD2974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3735" cy="3097530"/>
            <wp:effectExtent l="9525" t="9525" r="12700" b="17145"/>
            <wp:docPr id="8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3097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D180D14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tabs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  <w:rPr>
          <w:rFonts w:hint="default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、选择角色：企业第一次注册登录成功后，需要选择企业角色为“投标人”。在用户中心，查看角色是否为“投标人”，可以点击“切换”链接进行角色切换。如果要参与建设工程投标，请选择角色为“投标人”。</w:t>
      </w:r>
    </w:p>
    <w:p w14:paraId="3FFF16CC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7325" cy="1761490"/>
            <wp:effectExtent l="0" t="0" r="5715" b="6350"/>
            <wp:docPr id="8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6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27476">
      <w:pPr>
        <w:pStyle w:val="5"/>
        <w:bidi w:val="0"/>
        <w:ind w:left="720" w:leftChars="0" w:hanging="720" w:firstLineChars="0"/>
      </w:pPr>
      <w:bookmarkStart w:id="8" w:name="_Toc11088"/>
      <w:r>
        <w:rPr>
          <w:rFonts w:hint="eastAsia"/>
          <w:lang w:val="en-US" w:eastAsia="zh-CN"/>
        </w:rPr>
        <w:t>企业资料完善</w:t>
      </w:r>
      <w:bookmarkEnd w:id="8"/>
    </w:p>
    <w:p w14:paraId="2478C771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企业注册后，需要完善相关的资料信息。</w:t>
      </w:r>
    </w:p>
    <w:p w14:paraId="6D4BD00B">
      <w:pPr>
        <w:pStyle w:val="2"/>
        <w:rPr>
          <w:rFonts w:hint="default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一、基本资料更新</w:t>
      </w:r>
    </w:p>
    <w:p w14:paraId="13540CB4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1、选择“企业介绍－基础信息－基本信息”菜单，查看企业基本信息。如下图：</w:t>
      </w:r>
    </w:p>
    <w:p w14:paraId="29468815"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327910"/>
            <wp:effectExtent l="9525" t="9525" r="15240" b="9525"/>
            <wp:docPr id="9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3279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BA3D2C5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2、点击“编辑基本信息”按钮，进入“编辑基本信息”页面。填写法人地址、法人证件号码等信息，点击【保存修改】，即可完成编辑。如下图：</w:t>
      </w: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303145"/>
            <wp:effectExtent l="9525" t="9525" r="15240" b="19050"/>
            <wp:docPr id="9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3031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294255"/>
            <wp:effectExtent l="9525" t="9525" r="15240" b="12700"/>
            <wp:docPr id="9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2942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146B317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二、营业执照</w:t>
      </w:r>
    </w:p>
    <w:p w14:paraId="2E12B1B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1、选择“企业介绍－基础信息－营业执照”菜单，查看企业营业执照。如下图：</w:t>
      </w:r>
    </w:p>
    <w:p w14:paraId="01C03DF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751195" cy="2185035"/>
            <wp:effectExtent l="9525" t="9525" r="15240" b="15240"/>
            <wp:docPr id="10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2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18503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7A6864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2、点击“编辑营业执照信息”，进入编辑状态，编辑好营业执照号码、营业执照失效时期等内容，点击【保存修改】，即可完成修改。如下图：</w:t>
      </w:r>
    </w:p>
    <w:p w14:paraId="239E0DD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345430" cy="1979930"/>
            <wp:effectExtent l="9525" t="9525" r="9525" b="22225"/>
            <wp:docPr id="10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2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45430" cy="19799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DE2DD2C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346065" cy="2211070"/>
            <wp:effectExtent l="9525" t="9525" r="24130" b="19685"/>
            <wp:docPr id="10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2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46065" cy="22110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1B3A3B5">
      <w:pPr>
        <w:ind w:firstLine="420" w:firstLine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三、联系信息</w:t>
      </w:r>
    </w:p>
    <w:p w14:paraId="2E0DFD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基础信息－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联系信息”菜单，查看企业联系信息。如下图：</w:t>
      </w:r>
    </w:p>
    <w:p w14:paraId="5240B2A0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5751195" cy="2218690"/>
            <wp:effectExtent l="9525" t="9525" r="15240" b="12065"/>
            <wp:docPr id="10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3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21869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66213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2、点击“编辑联系信息”，进入编辑状态，编辑好联系人、联系电话等内容，点击【保存修改】，即可完成修改。如下图：</w:t>
      </w:r>
      <w:r>
        <w:drawing>
          <wp:inline distT="0" distB="0" distL="114300" distR="114300">
            <wp:extent cx="5400040" cy="2051685"/>
            <wp:effectExtent l="9525" t="9525" r="15875" b="11430"/>
            <wp:docPr id="10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3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5168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BF4F9DE">
      <w:r>
        <w:drawing>
          <wp:inline distT="0" distB="0" distL="114300" distR="114300">
            <wp:extent cx="5400040" cy="2099310"/>
            <wp:effectExtent l="9525" t="9525" r="15875" b="9525"/>
            <wp:docPr id="10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3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993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F9D5DF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四、基本户</w:t>
      </w:r>
    </w:p>
    <w:p w14:paraId="2EC34E8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基础信息－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基本户”菜单，查看企业基本户信息。如下图：</w:t>
      </w:r>
    </w:p>
    <w:p w14:paraId="4F447C1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751195" cy="1730375"/>
            <wp:effectExtent l="9525" t="9525" r="15240" b="12700"/>
            <wp:docPr id="110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3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73037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45971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2、点击“编辑基本户信息”，进入编辑状态，编辑好基本开户银行、基本户账号等内容，点击【保存修改】，即可完成修改。如下图：</w:t>
      </w:r>
    </w:p>
    <w:p w14:paraId="7E44F9BC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5751195" cy="1789430"/>
            <wp:effectExtent l="9525" t="9525" r="15240" b="14605"/>
            <wp:docPr id="11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3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7894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B7CAC84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/>
        </w:rPr>
      </w:pPr>
      <w:r>
        <w:drawing>
          <wp:inline distT="0" distB="0" distL="114300" distR="114300">
            <wp:extent cx="5751195" cy="2037715"/>
            <wp:effectExtent l="9525" t="9525" r="15240" b="10160"/>
            <wp:docPr id="10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3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0377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3CAE14E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五、行业许可证书</w:t>
      </w:r>
    </w:p>
    <w:p w14:paraId="2DACB3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1、选择“企业介绍－资质信息－行业许可证书”菜单，点击【新增行业许可证书】，进入“新增行业许可证书”弹窗页面。如下图：</w:t>
      </w:r>
    </w:p>
    <w:p w14:paraId="5F930B68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5751195" cy="1427480"/>
            <wp:effectExtent l="9525" t="9525" r="15240" b="10795"/>
            <wp:docPr id="11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3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274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B57A568">
      <w:r>
        <w:drawing>
          <wp:inline distT="0" distB="0" distL="114300" distR="114300">
            <wp:extent cx="4179570" cy="5039995"/>
            <wp:effectExtent l="9525" t="9525" r="17145" b="10160"/>
            <wp:docPr id="11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3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179570" cy="503999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4FC45FE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  <w:t>2、填写证书名称、证书编号、发证机构等信息后，点击【立即创建】，即可新增行业许可证书。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如下图：</w:t>
      </w:r>
      <w:r>
        <w:drawing>
          <wp:inline distT="0" distB="0" distL="114300" distR="114300">
            <wp:extent cx="5751195" cy="1503045"/>
            <wp:effectExtent l="9525" t="9525" r="15240" b="11430"/>
            <wp:docPr id="11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3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5030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ECB91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3、针对行业许可证书，点击【编辑】按钮，可重新编辑该行业许可证书。</w:t>
      </w:r>
    </w:p>
    <w:p w14:paraId="2A39A2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点击【删除】按钮，进入“确认删除”弹窗页面，点击【确认】按钮，即可删除行业许可证书。如下图：</w:t>
      </w:r>
    </w:p>
    <w:p w14:paraId="7E0223DE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751195" cy="1250315"/>
            <wp:effectExtent l="9525" t="9525" r="15240" b="20320"/>
            <wp:docPr id="114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3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2503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C63EAE3">
      <w:r>
        <w:drawing>
          <wp:inline distT="0" distB="0" distL="114300" distR="114300">
            <wp:extent cx="4457700" cy="2533650"/>
            <wp:effectExtent l="9525" t="9525" r="13335" b="17145"/>
            <wp:docPr id="112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4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53365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FCE2533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1F64F87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六、企业资质</w:t>
      </w:r>
    </w:p>
    <w:p w14:paraId="48FBD630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1、选择“企业介绍－资质信息－企业资质”菜单，点击【新增企业资质信息】，进入“新增企业资质”弹窗页面。如下图：</w:t>
      </w:r>
      <w:r>
        <w:drawing>
          <wp:inline distT="0" distB="0" distL="114300" distR="114300">
            <wp:extent cx="5751195" cy="1464945"/>
            <wp:effectExtent l="9525" t="9525" r="15240" b="19050"/>
            <wp:docPr id="12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4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649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F1DD163">
      <w:r>
        <w:drawing>
          <wp:inline distT="0" distB="0" distL="114300" distR="114300">
            <wp:extent cx="4143375" cy="5419725"/>
            <wp:effectExtent l="9525" t="9525" r="22860" b="11430"/>
            <wp:docPr id="120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4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54197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19B4B14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2、填写资质名称、资质等级、证书类别等信息后，点击【立即创建】，即可新增企业资质。如下图：</w:t>
      </w:r>
      <w:r>
        <w:drawing>
          <wp:inline distT="0" distB="0" distL="114300" distR="114300">
            <wp:extent cx="5751195" cy="1414780"/>
            <wp:effectExtent l="9525" t="9525" r="15240" b="23495"/>
            <wp:docPr id="119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4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147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F6856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3、针对资质信息，点击【查看】按钮，查看详细的资质信息。</w:t>
      </w:r>
    </w:p>
    <w:p w14:paraId="0F1475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点击【编辑】按钮，可重新编辑资质信息。</w:t>
      </w:r>
    </w:p>
    <w:p w14:paraId="1E0157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点击【删除】按钮，进入“确认删除”弹窗页面，点击【确认】按钮，即可删除企业资格证书。如下图：</w:t>
      </w:r>
    </w:p>
    <w:p w14:paraId="41B56892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746115" cy="1416050"/>
            <wp:effectExtent l="9525" t="9525" r="20320" b="22225"/>
            <wp:docPr id="11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4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46115" cy="141605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86325" cy="2847975"/>
            <wp:effectExtent l="9525" t="9525" r="11430" b="22860"/>
            <wp:docPr id="118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45"/>
                    <pic:cNvPicPr>
                      <a:picLocks noChangeAspect="1"/>
                    </pic:cNvPicPr>
                  </pic:nvPicPr>
                  <pic:blipFill>
                    <a:blip r:embed="rId38"/>
                    <a:srcRect l="1724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284797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07456C5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688E26A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七、人员资质</w:t>
      </w:r>
    </w:p>
    <w:p w14:paraId="026CA242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</w:pPr>
      <w:r>
        <w:rPr>
          <w:rFonts w:hint="eastAsia" w:ascii="宋体" w:hAnsi="宋体" w:eastAsia="宋体" w:cs="Times New Roman"/>
          <w:kern w:val="2"/>
          <w:sz w:val="24"/>
          <w:szCs w:val="22"/>
          <w:lang w:val="en-US" w:eastAsia="zh-CN" w:bidi="ar-SA"/>
        </w:rPr>
        <w:t>1、选择“企业介绍－资质信息－人员资质”菜单，点击【新增人员资质信息】，进入“新增人员资质”页面。如下图：</w:t>
      </w:r>
      <w:r>
        <w:drawing>
          <wp:inline distT="0" distB="0" distL="114300" distR="114300">
            <wp:extent cx="5751195" cy="1343025"/>
            <wp:effectExtent l="9525" t="9525" r="15240" b="19050"/>
            <wp:docPr id="12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4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3430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0CBDB2E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039235" cy="3551555"/>
            <wp:effectExtent l="9525" t="9525" r="20320" b="20320"/>
            <wp:docPr id="124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4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039235" cy="35515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6A5F8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2、填写身份证件号码、姓名、性别、职业资格证编号等信息后，点击【立即创建】，即可新增人员资质。如下图：</w:t>
      </w:r>
    </w:p>
    <w:p w14:paraId="1F80D82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039995" cy="1151255"/>
            <wp:effectExtent l="9525" t="9525" r="10160" b="12700"/>
            <wp:docPr id="123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4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1512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40C4C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3、点击【查看】，可查看人员资质详细信息。如下图：</w:t>
      </w:r>
      <w:r>
        <w:drawing>
          <wp:inline distT="0" distB="0" distL="114300" distR="114300">
            <wp:extent cx="5751195" cy="1195705"/>
            <wp:effectExtent l="9525" t="9525" r="15240" b="13970"/>
            <wp:docPr id="12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4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1957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633477F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751195" cy="2176780"/>
            <wp:effectExtent l="9525" t="9525" r="15240" b="23495"/>
            <wp:docPr id="127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5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1767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D19CB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4、点击【编辑】按钮，可重新编辑该人员资质。点击【删除】按钮，进入“确认删除”弹窗页面，点击【确认】按钮，即可删除人员资质。如下图：</w:t>
      </w:r>
    </w:p>
    <w:p w14:paraId="56318A94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5751195" cy="1195705"/>
            <wp:effectExtent l="9525" t="9525" r="15240" b="13970"/>
            <wp:docPr id="126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5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1957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F4D3A8A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3130550" cy="1800225"/>
            <wp:effectExtent l="9525" t="9525" r="14605" b="19050"/>
            <wp:docPr id="128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5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130550" cy="18002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C795395">
      <w:pPr>
        <w:rPr>
          <w:rFonts w:hint="default"/>
          <w:lang w:val="en-US" w:eastAsia="zh-CN"/>
        </w:rPr>
      </w:pPr>
    </w:p>
    <w:p w14:paraId="0853784F">
      <w:pPr>
        <w:rPr>
          <w:rFonts w:hint="eastAsia"/>
        </w:rPr>
      </w:pPr>
    </w:p>
    <w:p w14:paraId="0F5FB3D3">
      <w:pPr>
        <w:pStyle w:val="5"/>
        <w:bidi w:val="0"/>
        <w:ind w:left="720" w:leftChars="0" w:hanging="720" w:firstLineChars="0"/>
      </w:pPr>
      <w:bookmarkStart w:id="9" w:name="_Toc4502"/>
      <w:r>
        <w:rPr>
          <w:rFonts w:hint="eastAsia"/>
          <w:lang w:val="en-US" w:eastAsia="zh-CN"/>
        </w:rPr>
        <w:t>企业资料更新到汕尾交易平台</w:t>
      </w:r>
      <w:bookmarkEnd w:id="9"/>
    </w:p>
    <w:p w14:paraId="61130165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企业在省平台维护好相关的资料后，可以通过省平台的交易系统进入汕尾平台。在用户中心点击左上角的省平台图标，进入点击省平台“首页”，在地区选择链接中，选择“汕尾市”。</w:t>
      </w:r>
    </w:p>
    <w:p w14:paraId="7E46B652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865" cy="2038350"/>
            <wp:effectExtent l="0" t="0" r="635" b="6350"/>
            <wp:docPr id="5" name="图片 5" descr="c331a2b068b8528ee334509270972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331a2b068b8528ee334509270972d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D6073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865" cy="2315210"/>
            <wp:effectExtent l="0" t="0" r="635" b="8890"/>
            <wp:docPr id="8" name="图片 8" descr="1669702038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6970203811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1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982ED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然后在首页中部的“交易系统”，点击“</w:t>
      </w:r>
      <w:r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  <w:t>建设工程工程交易系统（自11月22日起发布招标公告的工程建设项目由此入口进入）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”，进入汕尾市公共资源交易系统。</w:t>
      </w:r>
    </w:p>
    <w:p w14:paraId="0F2D8CFD">
      <w:pPr>
        <w:pStyle w:val="2"/>
        <w:ind w:left="0" w:leftChars="0" w:firstLine="0" w:firstLineChars="0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230" cy="2312035"/>
            <wp:effectExtent l="0" t="0" r="1270" b="12065"/>
            <wp:docPr id="10" name="图片 10" descr="d51db8f0537842580b6c7a116df7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51db8f0537842580b6c7a116df732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1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2E3B9"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企业在省平台完善相关资料信息后，可以手动将信息同步到汕尾交易平台。点击右上角的“个人设置”菜单，然后在弹出的界面中点击“企业信息编辑”，也可以进入企业资料编辑界面。</w:t>
      </w:r>
    </w:p>
    <w:p w14:paraId="16A974C7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865" cy="1334770"/>
            <wp:effectExtent l="0" t="0" r="635" b="11430"/>
            <wp:docPr id="14" name="图片 14" descr="ec6521c9df42092fabceadcfec1e8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ec6521c9df42092fabceadcfec1e8f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3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03068">
      <w:pPr>
        <w:pStyle w:val="4"/>
        <w:bidi w:val="0"/>
        <w:ind w:left="575" w:leftChars="0" w:hanging="575" w:firstLineChars="0"/>
      </w:pPr>
      <w:r>
        <w:rPr>
          <w:rFonts w:hint="eastAsia"/>
          <w:lang w:val="en-US" w:eastAsia="zh-CN"/>
        </w:rPr>
        <w:t>项目投标</w:t>
      </w:r>
    </w:p>
    <w:p w14:paraId="21BE897E">
      <w:pPr>
        <w:pStyle w:val="5"/>
        <w:numPr>
          <w:ilvl w:val="2"/>
          <w:numId w:val="0"/>
        </w:numPr>
        <w:bidi w:val="0"/>
        <w:ind w:leftChars="0"/>
      </w:pPr>
      <w:r>
        <w:rPr>
          <w:rFonts w:hint="eastAsia"/>
          <w:lang w:val="en-US" w:eastAsia="zh-CN"/>
        </w:rPr>
        <w:t>1、确认投标</w:t>
      </w:r>
    </w:p>
    <w:p w14:paraId="7B0D6E9D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投标人点击菜单“投标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投标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项目列表”，可以查看当前可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投标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的建设工程招标项目。</w:t>
      </w:r>
    </w:p>
    <w:p w14:paraId="0C271827">
      <w:r>
        <w:drawing>
          <wp:inline distT="0" distB="0" distL="114300" distR="114300">
            <wp:extent cx="5266690" cy="2510155"/>
            <wp:effectExtent l="0" t="0" r="6350" b="444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CA485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点击一个项目的“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投标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进入到投标须知页面，投标须知页面会展示项目信息和相关公告，勾选“投标承诺”后点击“确定”按钮进入到投标页面</w:t>
      </w:r>
    </w:p>
    <w:p w14:paraId="3DC8F00A">
      <w:r>
        <w:drawing>
          <wp:inline distT="0" distB="0" distL="114300" distR="114300">
            <wp:extent cx="5266690" cy="2510155"/>
            <wp:effectExtent l="0" t="0" r="6350" b="4445"/>
            <wp:docPr id="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08E56">
      <w:pPr>
        <w:jc w:val="left"/>
        <w:rPr>
          <w:rFonts w:hint="default"/>
          <w:lang w:val="en-US" w:eastAsia="zh-CN"/>
        </w:rPr>
      </w:pPr>
    </w:p>
    <w:p w14:paraId="573681DB">
      <w:pPr>
        <w:pStyle w:val="2"/>
        <w:ind w:left="0" w:leftChars="0" w:firstLine="0" w:firstLineChars="0"/>
        <w:rPr>
          <w:rFonts w:hint="default"/>
          <w:lang w:val="en-US" w:eastAsia="zh-CN"/>
        </w:rPr>
      </w:pPr>
    </w:p>
    <w:p w14:paraId="094FB433">
      <w:pPr>
        <w:pStyle w:val="5"/>
        <w:numPr>
          <w:ilvl w:val="2"/>
          <w:numId w:val="0"/>
        </w:numPr>
        <w:bidi w:val="0"/>
        <w:ind w:leftChars="0"/>
      </w:pPr>
      <w:r>
        <w:rPr>
          <w:rFonts w:hint="eastAsia"/>
          <w:lang w:val="en-US" w:eastAsia="zh-CN"/>
        </w:rPr>
        <w:t>2、填写投标信息</w:t>
      </w:r>
    </w:p>
    <w:p w14:paraId="48617EE2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投标页面有3个页签，分别为“填写投标信息”、“缴纳保证金”、“上传投标文件”，需要按照招标要求完成3个页签的操作</w:t>
      </w:r>
    </w:p>
    <w:p w14:paraId="7B18BA03">
      <w:pPr>
        <w:pStyle w:val="2"/>
        <w:spacing w:after="0"/>
        <w:ind w:left="0" w:leftChars="0" w:firstLine="480" w:firstLineChars="200"/>
        <w:rPr>
          <w:rFonts w:hint="default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填写投标信息页签，需要填写投标信息和添加项目负责人，如果支持联合体投标，可以添加联合体；如果有项目人员要求，还需选择添加项目人员。</w:t>
      </w:r>
    </w:p>
    <w:p w14:paraId="62A8752C">
      <w:pPr>
        <w:widowControl w:val="0"/>
        <w:adjustRightInd/>
        <w:snapToGrid/>
        <w:spacing w:after="0" w:line="240" w:lineRule="auto"/>
        <w:ind w:firstLine="0" w:firstLineChars="0"/>
        <w:jc w:val="both"/>
      </w:pPr>
      <w:r>
        <w:drawing>
          <wp:inline distT="0" distB="0" distL="114300" distR="114300">
            <wp:extent cx="5266690" cy="2510155"/>
            <wp:effectExtent l="0" t="0" r="6350" b="4445"/>
            <wp:docPr id="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024D5">
      <w:pPr>
        <w:widowControl w:val="0"/>
        <w:adjustRightInd/>
        <w:snapToGrid/>
        <w:spacing w:after="0" w:line="240" w:lineRule="auto"/>
        <w:ind w:firstLine="0" w:firstLineChars="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  <w:t>2.1 投标信息</w:t>
      </w:r>
    </w:p>
    <w:p w14:paraId="1209C2C9">
      <w:pPr>
        <w:pStyle w:val="2"/>
        <w:spacing w:after="0"/>
        <w:ind w:left="0" w:leftChars="0"/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  <w:t>根据招标要求，填写投标报价、总工期、送件人、联系电话、质量标准等信息。</w:t>
      </w:r>
    </w:p>
    <w:p w14:paraId="28B5FA4C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325" cy="1042035"/>
            <wp:effectExtent l="0" t="0" r="5715" b="9525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04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3C0C5">
      <w:pPr>
        <w:widowControl w:val="0"/>
        <w:adjustRightInd/>
        <w:snapToGrid/>
        <w:spacing w:after="0" w:line="240" w:lineRule="auto"/>
        <w:ind w:firstLine="0" w:firstLineChars="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  <w:t>2.2 项目负责人</w:t>
      </w:r>
    </w:p>
    <w:p w14:paraId="26B29C65"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  <w:t>至少需要添加1名项目负责人，点击项目负责人信息面板的右侧“新增”按钮，在弹出的项目负责人添加弹窗页面进行填写项目负责人信息。</w:t>
      </w:r>
    </w:p>
    <w:p w14:paraId="441A1861">
      <w:pPr>
        <w:pStyle w:val="2"/>
        <w:ind w:left="0" w:leftChars="0" w:firstLine="0" w:firstLineChars="0"/>
      </w:pPr>
      <w:r>
        <w:drawing>
          <wp:inline distT="0" distB="0" distL="114300" distR="114300">
            <wp:extent cx="5270500" cy="1295400"/>
            <wp:effectExtent l="0" t="0" r="2540" b="0"/>
            <wp:docPr id="2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EF6C0">
      <w:pPr>
        <w:pStyle w:val="2"/>
        <w:ind w:left="0" w:leftChars="0" w:firstLine="0" w:firstLineChars="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填写项目负责人名称，注册证书及编号（如果是职称证书，则填写职称证书及编号），安全证书及编号。填写完成后点击“提交”按钮。</w:t>
      </w:r>
    </w:p>
    <w:p w14:paraId="58BAE83D"/>
    <w:p w14:paraId="4C4B169A">
      <w:r>
        <w:drawing>
          <wp:inline distT="0" distB="0" distL="114300" distR="114300">
            <wp:extent cx="5271135" cy="2001520"/>
            <wp:effectExtent l="0" t="0" r="1905" b="10160"/>
            <wp:docPr id="2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9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0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DB4F2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2.3 添加联合体</w:t>
      </w:r>
    </w:p>
    <w:p w14:paraId="6B9DE0A1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如果项目支持联合体投标，可以选择添加联合体，联合体需要符合招标要求（联合体资格、联合体数量等）。点击联合体投标人面板右侧的“新增”按钮打开添加联合体页面。</w:t>
      </w:r>
    </w:p>
    <w:p w14:paraId="0ADE7ACE">
      <w:r>
        <w:drawing>
          <wp:inline distT="0" distB="0" distL="114300" distR="114300">
            <wp:extent cx="5268595" cy="1125220"/>
            <wp:effectExtent l="0" t="0" r="4445" b="2540"/>
            <wp:docPr id="2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2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C95489">
      <w:pPr>
        <w:pStyle w:val="2"/>
        <w:ind w:left="0" w:leftChars="0" w:firstLine="0" w:firstLineChars="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在联合体添加页面，点击“选择联合体投标人”打开企业弹窗进行选择联合体，添加联合体之后点击项目负责人面板右侧“新增”按钮添加联合体的项目负责人。</w:t>
      </w:r>
    </w:p>
    <w:p w14:paraId="17F8B6F9">
      <w:pPr>
        <w:pStyle w:val="2"/>
        <w:spacing w:after="0"/>
        <w:ind w:left="0" w:leftChars="0"/>
      </w:pPr>
      <w:r>
        <w:drawing>
          <wp:inline distT="0" distB="0" distL="114300" distR="114300">
            <wp:extent cx="5266690" cy="1352550"/>
            <wp:effectExtent l="0" t="0" r="6350" b="3810"/>
            <wp:docPr id="3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A02E54">
      <w:r>
        <w:drawing>
          <wp:inline distT="0" distB="0" distL="114300" distR="114300">
            <wp:extent cx="5266690" cy="1398905"/>
            <wp:effectExtent l="0" t="0" r="6350" b="3175"/>
            <wp:docPr id="3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9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56BFD">
      <w:pPr>
        <w:pStyle w:val="2"/>
        <w:spacing w:after="0"/>
        <w:ind w:left="0" w:leftChars="0"/>
      </w:pPr>
      <w:r>
        <w:drawing>
          <wp:inline distT="0" distB="0" distL="114300" distR="114300">
            <wp:extent cx="5266690" cy="2510155"/>
            <wp:effectExtent l="0" t="0" r="6350" b="4445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1C00A"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完成之后，点击页面底部的“提交”按钮完成添加联合体。</w:t>
      </w:r>
    </w:p>
    <w:p w14:paraId="36BE21FD">
      <w:r>
        <w:drawing>
          <wp:inline distT="0" distB="0" distL="114300" distR="114300">
            <wp:extent cx="5266690" cy="2510155"/>
            <wp:effectExtent l="0" t="0" r="6350" b="4445"/>
            <wp:docPr id="3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84D28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2.4 项目人员</w:t>
      </w:r>
    </w:p>
    <w:p w14:paraId="6C241714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如果招标要求有项目人员要求，填写投标信息页签会出现项目人员面板，点击“选择”按钮进行选择人员，然后填写人员证书编号。</w:t>
      </w:r>
    </w:p>
    <w:p w14:paraId="2EA25D74"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10155"/>
            <wp:effectExtent l="0" t="0" r="6350" b="4445"/>
            <wp:docPr id="4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1D1DE">
      <w:pPr>
        <w:pStyle w:val="2"/>
        <w:numPr>
          <w:ilvl w:val="0"/>
          <w:numId w:val="7"/>
        </w:numPr>
        <w:ind w:left="0" w:leftChars="0" w:firstLine="0" w:firstLineChars="0"/>
        <w:outlineLvl w:val="2"/>
        <w:rPr>
          <w:rFonts w:hint="eastAsia" w:ascii="Tahoma" w:hAnsi="Tahoma" w:eastAsia="宋体" w:cstheme="minorBidi"/>
          <w:sz w:val="32"/>
          <w:szCs w:val="22"/>
          <w:lang w:val="en-US" w:eastAsia="zh-CN" w:bidi="ar-SA"/>
        </w:rPr>
      </w:pPr>
      <w:r>
        <w:rPr>
          <w:rFonts w:hint="eastAsia" w:ascii="Tahoma" w:hAnsi="Tahoma" w:eastAsia="宋体" w:cstheme="minorBidi"/>
          <w:sz w:val="32"/>
          <w:szCs w:val="22"/>
          <w:lang w:val="en-US" w:eastAsia="zh-CN" w:bidi="ar-SA"/>
        </w:rPr>
        <w:t>缴纳保证金</w:t>
      </w:r>
    </w:p>
    <w:p w14:paraId="28DF5478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投标信息填写完成后，点击“下一步”进入到缴纳保证金页面，点击“缴纳保证金”按钮进入缴纳保证金操作页面，完成相关后，是否缴纳保证金展示会变成“是”</w:t>
      </w:r>
    </w:p>
    <w:p w14:paraId="1A115BF4">
      <w:pPr>
        <w:pStyle w:val="2"/>
        <w:ind w:left="0" w:leftChars="0" w:firstLine="0" w:firstLineChars="0"/>
      </w:pPr>
      <w:r>
        <w:drawing>
          <wp:inline distT="0" distB="0" distL="114300" distR="114300">
            <wp:extent cx="4810125" cy="1598295"/>
            <wp:effectExtent l="0" t="0" r="5715" b="1905"/>
            <wp:docPr id="4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0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159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9B9B8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缴纳保证金时，需选择缴纳方式。注意，如果选定了一种缴纳方式，不能再次变更选择，请慎重进行选择。选择好缴纳方式并勾选保证金承诺后，点击“下一步”进入到对应的后续操作页面。</w:t>
      </w:r>
    </w:p>
    <w:p w14:paraId="3937E39B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4728845" cy="1099185"/>
            <wp:effectExtent l="0" t="0" r="10795" b="13335"/>
            <wp:docPr id="4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7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728845" cy="109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E7C1D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3.1电子保函</w:t>
      </w:r>
    </w:p>
    <w:p w14:paraId="503E3511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电子保函方式，须先选择保函公司，保函公司一旦选定不能更改或撤销，选择后点击“保存”进到下一步操作页面</w:t>
      </w:r>
    </w:p>
    <w:p w14:paraId="20C1BA06">
      <w:r>
        <w:drawing>
          <wp:inline distT="0" distB="0" distL="114300" distR="114300">
            <wp:extent cx="5266690" cy="1253490"/>
            <wp:effectExtent l="0" t="0" r="6350" b="11430"/>
            <wp:docPr id="4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8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5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CF2A9">
      <w:pPr>
        <w:pStyle w:val="2"/>
        <w:ind w:left="0" w:leftChars="0" w:firstLine="0" w:firstLineChars="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点击“电子保函开函”按钮跳转到电子保函机构网页，在电子保函机构网页进行完成电子保函开函操作。</w:t>
      </w:r>
    </w:p>
    <w:p w14:paraId="621A2C9F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4572000" cy="1403350"/>
            <wp:effectExtent l="0" t="0" r="0" b="13970"/>
            <wp:docPr id="4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9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3F1F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3.2 招标文件规定的其他合法形式</w:t>
      </w:r>
    </w:p>
    <w:p w14:paraId="3DA1DA01">
      <w:pPr>
        <w:pStyle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点击“上传”按钮进行上传缴纳凭证，上传成功后，点击“提交”按钮</w:t>
      </w:r>
    </w:p>
    <w:p w14:paraId="3E41EA9E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73040" cy="1554480"/>
            <wp:effectExtent l="0" t="0" r="0" b="0"/>
            <wp:docPr id="4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57419">
      <w:pPr>
        <w:pStyle w:val="5"/>
        <w:numPr>
          <w:ilvl w:val="2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4、上传投标文件</w:t>
      </w:r>
    </w:p>
    <w:p w14:paraId="65809A10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保证金缴纳完成后，点击“下一步”进入到上传投标文件页面</w:t>
      </w:r>
    </w:p>
    <w:p w14:paraId="3E0081DB"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4.1 点击投标文件上传面板右侧的“上传”按钮进行上传投标文件，投标文件为大小不超过2048M并且加盖了电子章的pdf文件。</w:t>
      </w:r>
    </w:p>
    <w:p w14:paraId="2F605CB3">
      <w:pPr>
        <w:pStyle w:val="2"/>
        <w:ind w:left="0" w:leftChars="0" w:firstLine="0" w:firstLineChars="0"/>
      </w:pPr>
      <w:r>
        <w:drawing>
          <wp:inline distT="0" distB="0" distL="114300" distR="114300">
            <wp:extent cx="5266690" cy="2512695"/>
            <wp:effectExtent l="0" t="0" r="6350" b="1905"/>
            <wp:docPr id="4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F642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4.2 上传完投标文件后，需要进行投标文件页码设置</w:t>
      </w:r>
    </w:p>
    <w:p w14:paraId="497AB164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4.3 确保所有信息都填写正确之后，点击“提交”按钮完成投标。</w:t>
      </w:r>
    </w:p>
    <w:p w14:paraId="4BFACD8B"/>
    <w:p w14:paraId="6A49A344">
      <w:pPr>
        <w:pStyle w:val="5"/>
        <w:numPr>
          <w:ilvl w:val="2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5、撤回投标</w:t>
      </w:r>
    </w:p>
    <w:p w14:paraId="063F4FE4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如果投标后，发现填写的内容有误，找到对应项目点击“查看”按钮进入到查看投标详情页，然后点击“撤回标书”按钮，撤回投标。撤回投标后，在网上投标截止时间之前，还可以再次提交投标。</w:t>
      </w:r>
    </w:p>
    <w:p w14:paraId="4556B72B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2510155"/>
            <wp:effectExtent l="0" t="0" r="6350" b="4445"/>
            <wp:docPr id="4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3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60304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510155"/>
            <wp:effectExtent l="0" t="0" r="6350" b="4445"/>
            <wp:docPr id="5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F97C4"/>
    <w:p w14:paraId="7D396A83">
      <w:pPr>
        <w:pStyle w:val="4"/>
        <w:bidi w:val="0"/>
        <w:ind w:left="575" w:leftChars="0" w:hanging="575" w:firstLineChars="0"/>
      </w:pPr>
      <w:bookmarkStart w:id="10" w:name="_Toc16111"/>
      <w:r>
        <w:rPr>
          <w:rFonts w:hint="eastAsia"/>
          <w:lang w:val="en-US" w:eastAsia="zh-CN"/>
        </w:rPr>
        <w:t>开标及评标</w:t>
      </w:r>
      <w:bookmarkEnd w:id="10"/>
    </w:p>
    <w:p w14:paraId="5081FE38">
      <w:pPr>
        <w:pStyle w:val="5"/>
        <w:bidi w:val="0"/>
        <w:ind w:left="720" w:leftChars="0" w:hanging="720" w:firstLineChars="0"/>
      </w:pPr>
      <w:bookmarkStart w:id="11" w:name="_Toc17430"/>
      <w:r>
        <w:rPr>
          <w:rFonts w:hint="eastAsia"/>
          <w:lang w:val="en-US" w:eastAsia="zh-CN"/>
        </w:rPr>
        <w:t>查看开标及提出开标异议</w:t>
      </w:r>
      <w:bookmarkEnd w:id="11"/>
    </w:p>
    <w:p w14:paraId="31DDEC2D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企业可以在线查看开标情况，以及在开标异议环节，在线提出开标异议。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开标评标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开标会议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”，可以查看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正在开标过程中的情况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79637462">
      <w:r>
        <w:drawing>
          <wp:inline distT="0" distB="0" distL="114300" distR="114300">
            <wp:extent cx="5267325" cy="1331595"/>
            <wp:effectExtent l="0" t="0" r="5715" b="952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3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E0B25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企业可以在线查看开标情况，以及在开标异议环节，在线提出开标异议。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开标评标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开标会议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”，可以查看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正在开标过程中的情况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29E7F861">
      <w:r>
        <w:drawing>
          <wp:inline distT="0" distB="0" distL="114300" distR="114300">
            <wp:extent cx="5260340" cy="1414780"/>
            <wp:effectExtent l="0" t="0" r="12700" b="254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41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212BC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eastAsia="宋体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企业点击操作栏中的“提出异议”，可以提出异议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异议代理机构答复后，会显示在操作栏，点击“新答复”可以查看异议答复。</w:t>
      </w:r>
    </w:p>
    <w:p w14:paraId="6BE2CCB5">
      <w:r>
        <w:drawing>
          <wp:inline distT="0" distB="0" distL="114300" distR="114300">
            <wp:extent cx="5266690" cy="1285875"/>
            <wp:effectExtent l="0" t="0" r="6350" b="952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F6651">
      <w:r>
        <w:drawing>
          <wp:inline distT="0" distB="0" distL="114300" distR="114300">
            <wp:extent cx="5272405" cy="2536825"/>
            <wp:effectExtent l="0" t="0" r="635" b="8255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3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DD044">
      <w:pPr>
        <w:pStyle w:val="5"/>
        <w:bidi w:val="0"/>
        <w:ind w:left="720" w:leftChars="0" w:hanging="720" w:firstLineChars="0"/>
      </w:pPr>
      <w:bookmarkStart w:id="12" w:name="_Toc15777"/>
      <w:r>
        <w:rPr>
          <w:rFonts w:hint="eastAsia"/>
          <w:lang w:val="en-US" w:eastAsia="zh-CN"/>
        </w:rPr>
        <w:t>询标答复</w:t>
      </w:r>
      <w:bookmarkEnd w:id="12"/>
    </w:p>
    <w:p w14:paraId="3E865CB7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询标流程：企业提出询标 &gt; 中心经办复核 &gt; 企业答复 &gt; 中心经办确认。</w:t>
      </w:r>
    </w:p>
    <w:p w14:paraId="2A9A2123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在评标过程中，评审专家可以对企业进行询标。企业可以在线进行询标答复。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开标评标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评标询标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”，可以查看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需要答复的询标问题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06D7B2C6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drawing>
          <wp:inline distT="0" distB="0" distL="114300" distR="114300">
            <wp:extent cx="5271135" cy="1499235"/>
            <wp:effectExtent l="0" t="0" r="12065" b="12065"/>
            <wp:docPr id="15" name="图片 15" descr="1f63c3529af1e3aac4216bbc76d58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f63c3529af1e3aac4216bbc76d58f5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49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AFE8F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如果有询标问题，企业点击操作栏的“企业答复”按钮，可以对询标问题进行答复。填写“答复内容”，如果有答复文件，可以上传答复文件。然后点击“提交答复”进行询标答复。</w:t>
      </w:r>
    </w:p>
    <w:p w14:paraId="7B601510">
      <w:r>
        <w:drawing>
          <wp:inline distT="0" distB="0" distL="114300" distR="114300">
            <wp:extent cx="5271770" cy="3021330"/>
            <wp:effectExtent l="0" t="0" r="1270" b="11430"/>
            <wp:docPr id="7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2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02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7F6D6">
      <w:pPr>
        <w:pStyle w:val="4"/>
        <w:bidi w:val="0"/>
        <w:ind w:left="575" w:leftChars="0" w:hanging="575" w:firstLineChars="0"/>
      </w:pPr>
      <w:bookmarkStart w:id="13" w:name="_Toc27186"/>
      <w:r>
        <w:rPr>
          <w:rFonts w:hint="eastAsia"/>
        </w:rPr>
        <w:t>查看中标项目</w:t>
      </w:r>
      <w:bookmarkEnd w:id="13"/>
    </w:p>
    <w:p w14:paraId="3007DD0D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项目评标完成，并经过交易结果公示后，中标企业可以查看中标项目。点击菜单“中标通知书 &gt; 企业中标项目”，可以查看中标的建设工程项目。</w:t>
      </w:r>
    </w:p>
    <w:p w14:paraId="473B2DC4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6055" cy="1385570"/>
            <wp:effectExtent l="0" t="0" r="4445" b="11430"/>
            <wp:docPr id="16" name="图片 16" descr="9bee35549c8ceabf841d0486b4acf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9bee35549c8ceabf841d0486b4acfae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38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B3C19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点击项目的“查看通知书”，可以查看及打印中标通知书。</w:t>
      </w:r>
    </w:p>
    <w:p w14:paraId="65B51D82">
      <w:pPr>
        <w:pStyle w:val="4"/>
        <w:bidi w:val="0"/>
        <w:ind w:left="575" w:leftChars="0" w:hanging="575" w:firstLineChars="0"/>
      </w:pPr>
      <w:bookmarkStart w:id="14" w:name="_Toc15448"/>
      <w:r>
        <w:rPr>
          <w:rFonts w:hint="eastAsia"/>
          <w:lang w:val="en-US" w:eastAsia="zh-CN"/>
        </w:rPr>
        <w:t>合同在线签订</w:t>
      </w:r>
      <w:bookmarkEnd w:id="14"/>
    </w:p>
    <w:p w14:paraId="62C5431C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招标人上传合同签章后，中标企业进行合同签章，中标人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合同签订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合同签章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”，点击项目的“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签章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，可以进行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合同签章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38B15BA6">
      <w:r>
        <w:drawing>
          <wp:inline distT="0" distB="0" distL="114300" distR="114300">
            <wp:extent cx="5266055" cy="1832610"/>
            <wp:effectExtent l="0" t="0" r="6985" b="11430"/>
            <wp:docPr id="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83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7E880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中标人点击“中标人签章”按钮，可以对合同进行签章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签章后，点击“提交”按钮，提交已签章的合同文件。</w:t>
      </w:r>
    </w:p>
    <w:p w14:paraId="4AAA8640">
      <w:r>
        <w:drawing>
          <wp:inline distT="0" distB="0" distL="114300" distR="114300">
            <wp:extent cx="5273675" cy="875665"/>
            <wp:effectExtent l="0" t="0" r="14605" b="825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7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4CD77">
      <w:r>
        <w:drawing>
          <wp:inline distT="0" distB="0" distL="114300" distR="114300">
            <wp:extent cx="5267960" cy="2540000"/>
            <wp:effectExtent l="0" t="0" r="5080" b="508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BE494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</w:p>
    <w:p w14:paraId="1C2773D7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合同签章之后，数据提交给招标人和交易经办人进行复核，经办人复核之后点击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合同签订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合同查询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可以查看已经复核的合同。</w:t>
      </w:r>
    </w:p>
    <w:p w14:paraId="69FA85CB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16525" cy="1546860"/>
            <wp:effectExtent l="0" t="0" r="10795" b="762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9"/>
                    <a:srcRect t="19630" r="1000"/>
                    <a:stretch>
                      <a:fillRect/>
                    </a:stretch>
                  </pic:blipFill>
                  <pic:spPr>
                    <a:xfrm>
                      <a:off x="0" y="0"/>
                      <a:ext cx="5216525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7085A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</w:p>
    <w:p w14:paraId="60BD76CB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合同签章并经过复核后，系统才会进行中标人的保证金退保操作。</w:t>
      </w:r>
    </w:p>
    <w:p w14:paraId="529EB5C3">
      <w:pPr>
        <w:pStyle w:val="4"/>
        <w:bidi w:val="0"/>
        <w:ind w:left="575" w:leftChars="0" w:hanging="575" w:firstLineChars="0"/>
      </w:pPr>
      <w:bookmarkStart w:id="15" w:name="_Toc5127"/>
      <w:r>
        <w:rPr>
          <w:rFonts w:hint="eastAsia"/>
          <w:lang w:val="en-US" w:eastAsia="zh-CN"/>
        </w:rPr>
        <w:t>验收报告上传</w:t>
      </w:r>
      <w:bookmarkEnd w:id="15"/>
    </w:p>
    <w:p w14:paraId="076BD7EB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中标企业在完成项目后，需要在系统中上传验收报告。中标人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验收报告归档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验收报告上传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”，点击项目的“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上传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，可以进行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验收报告上传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7227EB07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4785" cy="2019300"/>
            <wp:effectExtent l="0" t="0" r="5715" b="0"/>
            <wp:docPr id="18" name="图片 18" descr="3b48f8735002046ec790dfbd6b6d3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3b48f8735002046ec790dfbd6b6d3d8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241B6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eastAsia="宋体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中标企业填写验收报告的相关内容，并且上传报告附件，点击“上传验收报告”按钮提交给交易中心复核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1D64E1F7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7960" cy="2724785"/>
            <wp:effectExtent l="0" t="0" r="5080" b="3175"/>
            <wp:docPr id="4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2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F43798">
      <w:pPr>
        <w:pStyle w:val="4"/>
        <w:bidi w:val="0"/>
        <w:ind w:left="575" w:leftChars="0" w:hanging="57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服务评价</w:t>
      </w:r>
    </w:p>
    <w:p w14:paraId="48DEE7C7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投标人可以点击“服务评价”，对交易平台、代理机构、招标人进行服务评价。</w:t>
      </w:r>
    </w:p>
    <w:p w14:paraId="22A7FB12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675" cy="1955165"/>
            <wp:effectExtent l="0" t="0" r="9525" b="635"/>
            <wp:docPr id="20" name="图片 20" descr="69495206f55a9ec54c3e561e270c1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69495206f55a9ec54c3e561e270c17a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95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C53F7">
      <w:pPr>
        <w:pStyle w:val="3"/>
        <w:widowControl w:val="0"/>
        <w:numPr>
          <w:ilvl w:val="0"/>
          <w:numId w:val="2"/>
        </w:numPr>
        <w:adjustRightInd/>
        <w:snapToGrid/>
        <w:ind w:left="420" w:leftChars="0" w:hanging="420" w:firstLineChars="0"/>
        <w:jc w:val="both"/>
        <w:rPr>
          <w:rFonts w:ascii="黑体" w:hAnsi="Calibri" w:eastAsia="黑体" w:cs="Times New Roman"/>
        </w:rPr>
      </w:pPr>
      <w:bookmarkStart w:id="16" w:name="_Toc24962"/>
      <w:r>
        <w:rPr>
          <w:rFonts w:hint="eastAsia" w:ascii="黑体" w:hAnsi="Calibri" w:eastAsia="黑体" w:cs="Times New Roman"/>
        </w:rPr>
        <w:t>技术支持</w:t>
      </w:r>
      <w:bookmarkEnd w:id="16"/>
    </w:p>
    <w:p w14:paraId="7B6BE7A5">
      <w:pPr>
        <w:spacing w:line="360" w:lineRule="auto"/>
        <w:ind w:firstLine="480" w:firstLineChars="200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技术支持联系人：</w:t>
      </w:r>
    </w:p>
    <w:p w14:paraId="71F33647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cs="Times New Roman" w:eastAsiaTheme="minorEastAsia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  <w:t>苏工：13536498728</w:t>
      </w:r>
      <w:bookmarkStart w:id="17" w:name="_GoBack"/>
      <w:bookmarkEnd w:id="17"/>
    </w:p>
    <w:p w14:paraId="11C6D7AF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/>
          <w:lang w:val="en-US" w:eastAsia="zh-CN"/>
        </w:rPr>
      </w:pPr>
      <w:r>
        <w:rPr>
          <w:rFonts w:hint="eastAsia" w:ascii="宋体" w:hAnsi="宋体" w:cs="Times New Roman"/>
          <w:kern w:val="2"/>
          <w:sz w:val="24"/>
          <w:szCs w:val="24"/>
          <w:lang w:val="en-US" w:eastAsia="zh-CN" w:bidi="ar-SA"/>
        </w:rPr>
        <w:t>时间（周一至周五）：8：30-12：00   14：30-18：00</w:t>
      </w:r>
    </w:p>
    <w:p w14:paraId="53B2AB7C">
      <w:pPr>
        <w:pStyle w:val="2"/>
        <w:rPr>
          <w:rFonts w:hint="eastAsia"/>
          <w:lang w:val="en-US" w:eastAsia="zh-CN"/>
        </w:rPr>
      </w:pPr>
    </w:p>
    <w:p w14:paraId="17D678F0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0CC107">
    <w:pPr>
      <w:pStyle w:val="16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0A50517">
                          <w:pPr>
                            <w:pStyle w:val="16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9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0O3bcsAgAAV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vQ7dty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0A50517">
                    <w:pPr>
                      <w:pStyle w:val="16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9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4D742D9"/>
    <w:multiLevelType w:val="singleLevel"/>
    <w:tmpl w:val="84D742D9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A5299742"/>
    <w:multiLevelType w:val="singleLevel"/>
    <w:tmpl w:val="A5299742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2">
    <w:nsid w:val="E772A3EA"/>
    <w:multiLevelType w:val="multilevel"/>
    <w:tmpl w:val="E772A3EA"/>
    <w:lvl w:ilvl="0" w:tentative="0">
      <w:start w:val="1"/>
      <w:numFmt w:val="chineseCounting"/>
      <w:lvlText w:val="%1."/>
      <w:lvlJc w:val="left"/>
      <w:pPr>
        <w:tabs>
          <w:tab w:val="left" w:pos="420"/>
        </w:tabs>
        <w:ind w:left="420" w:hanging="420"/>
      </w:pPr>
      <w:rPr>
        <w:rFonts w:hint="eastAsia" w:ascii="宋体" w:hAnsi="宋体" w:eastAsia="宋体" w:cs="宋体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hint="eastAsia"/>
      </w:r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  <w:rPr>
        <w:rFonts w:hint="eastAsia"/>
      </w:rPr>
    </w:lvl>
  </w:abstractNum>
  <w:abstractNum w:abstractNumId="3">
    <w:nsid w:val="421623F7"/>
    <w:multiLevelType w:val="singleLevel"/>
    <w:tmpl w:val="421623F7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49773AA2"/>
    <w:multiLevelType w:val="multilevel"/>
    <w:tmpl w:val="49773AA2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4200" w:hanging="420"/>
      </w:pPr>
      <w:rPr>
        <w:rFonts w:hint="default" w:ascii="Wingdings" w:hAnsi="Wingdings"/>
      </w:rPr>
    </w:lvl>
  </w:abstractNum>
  <w:abstractNum w:abstractNumId="5">
    <w:nsid w:val="4AE6CB85"/>
    <w:multiLevelType w:val="singleLevel"/>
    <w:tmpl w:val="4AE6CB85"/>
    <w:lvl w:ilvl="0" w:tentative="0">
      <w:start w:val="3"/>
      <w:numFmt w:val="decimal"/>
      <w:suff w:val="nothing"/>
      <w:lvlText w:val="%1、"/>
      <w:lvlJc w:val="left"/>
    </w:lvl>
  </w:abstractNum>
  <w:abstractNum w:abstractNumId="6">
    <w:nsid w:val="7C7A772A"/>
    <w:multiLevelType w:val="multilevel"/>
    <w:tmpl w:val="7C7A772A"/>
    <w:lvl w:ilvl="0" w:tentative="0">
      <w:start w:val="2"/>
      <w:numFmt w:val="decimal"/>
      <w:pStyle w:val="3"/>
      <w:lvlText w:val="%1."/>
      <w:lvlJc w:val="left"/>
      <w:pPr>
        <w:ind w:left="432" w:hanging="432"/>
      </w:pPr>
      <w:rPr>
        <w:rFonts w:hint="eastAsia"/>
      </w:rPr>
    </w:lvl>
    <w:lvl w:ilvl="1" w:tentative="0">
      <w:start w:val="1"/>
      <w:numFmt w:val="chineseCounting"/>
      <w:pStyle w:val="4"/>
      <w:lvlText w:val="（%2）"/>
      <w:lvlJc w:val="left"/>
      <w:pPr>
        <w:ind w:left="575" w:hanging="575"/>
      </w:pPr>
      <w:rPr>
        <w:rFonts w:hint="eastAsia" w:ascii="宋体" w:hAnsi="宋体" w:eastAsia="宋体" w:cs="宋体"/>
      </w:rPr>
    </w:lvl>
    <w:lvl w:ilvl="2" w:tentative="0">
      <w:start w:val="1"/>
      <w:numFmt w:val="decimal"/>
      <w:pStyle w:val="5"/>
      <w:lvlText w:val="%3."/>
      <w:lvlJc w:val="left"/>
      <w:pPr>
        <w:ind w:left="720" w:hanging="720"/>
      </w:pPr>
      <w:rPr>
        <w:rFonts w:hint="eastAsia" w:ascii="宋体" w:hAnsi="宋体" w:eastAsia="宋体" w:cs="宋体"/>
      </w:rPr>
    </w:lvl>
    <w:lvl w:ilvl="3" w:tentative="0">
      <w:start w:val="1"/>
      <w:numFmt w:val="decimal"/>
      <w:lvlText w:val="%1.%2.%3.%4."/>
      <w:lvlJc w:val="left"/>
      <w:pPr>
        <w:ind w:left="864" w:hanging="864"/>
      </w:pPr>
      <w:rPr>
        <w:rFonts w:hint="eastAsia"/>
      </w:rPr>
    </w:lvl>
    <w:lvl w:ilvl="4" w:tentative="0">
      <w:start w:val="1"/>
      <w:numFmt w:val="decimal"/>
      <w:pStyle w:val="7"/>
      <w:lvlText w:val="%1.%2.%3.%4.%5."/>
      <w:lvlJc w:val="left"/>
      <w:pPr>
        <w:ind w:left="1008" w:hanging="1008"/>
      </w:pPr>
      <w:rPr>
        <w:rFonts w:hint="eastAsia"/>
      </w:rPr>
    </w:lvl>
    <w:lvl w:ilvl="5" w:tentative="0">
      <w:start w:val="1"/>
      <w:numFmt w:val="decimal"/>
      <w:pStyle w:val="8"/>
      <w:lvlText w:val="%1.%2.%3.%4.%5.%6."/>
      <w:lvlJc w:val="left"/>
      <w:pPr>
        <w:ind w:left="1151" w:hanging="1151"/>
      </w:pPr>
      <w:rPr>
        <w:rFonts w:hint="eastAsia"/>
      </w:rPr>
    </w:lvl>
    <w:lvl w:ilvl="6" w:tentative="0">
      <w:start w:val="1"/>
      <w:numFmt w:val="decimal"/>
      <w:pStyle w:val="9"/>
      <w:lvlText w:val="%1.%2.%3.%4.%5.%6.%7.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pStyle w:val="10"/>
      <w:lvlText w:val="%1.%2.%3.%4.%5.%6.%7.%8.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pStyle w:val="11"/>
      <w:lvlText w:val="%1.%2.%3.%4.%5.%6.%7.%8.%9."/>
      <w:lvlJc w:val="left"/>
      <w:pPr>
        <w:ind w:left="1583" w:hanging="1583"/>
      </w:pPr>
      <w:rPr>
        <w:rFonts w:hint="eastAsia"/>
      </w:rPr>
    </w:lvl>
  </w:abstractNum>
  <w:num w:numId="1">
    <w:abstractNumId w:val="6"/>
  </w:num>
  <w:num w:numId="2">
    <w:abstractNumId w:val="2"/>
  </w:num>
  <w:num w:numId="3">
    <w:abstractNumId w:val="3"/>
  </w:num>
  <w:num w:numId="4">
    <w:abstractNumId w:val="0"/>
  </w:num>
  <w:num w:numId="5">
    <w:abstractNumId w:val="4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E2M2I5ODA2ZGEyZTlmMDdlZWMwOTg0ZjRhZjcyMDcifQ=="/>
  </w:docVars>
  <w:rsids>
    <w:rsidRoot w:val="00BD4446"/>
    <w:rsid w:val="00016D7C"/>
    <w:rsid w:val="000208D4"/>
    <w:rsid w:val="00023BCB"/>
    <w:rsid w:val="00076FD7"/>
    <w:rsid w:val="00085330"/>
    <w:rsid w:val="0010396A"/>
    <w:rsid w:val="00126DDC"/>
    <w:rsid w:val="001674A9"/>
    <w:rsid w:val="0019202D"/>
    <w:rsid w:val="0019213D"/>
    <w:rsid w:val="001C7974"/>
    <w:rsid w:val="001D37BC"/>
    <w:rsid w:val="001E0DE5"/>
    <w:rsid w:val="00204938"/>
    <w:rsid w:val="00204C67"/>
    <w:rsid w:val="00213720"/>
    <w:rsid w:val="0026005C"/>
    <w:rsid w:val="00261103"/>
    <w:rsid w:val="00277D43"/>
    <w:rsid w:val="0029623D"/>
    <w:rsid w:val="002B0238"/>
    <w:rsid w:val="002E0A7A"/>
    <w:rsid w:val="00353081"/>
    <w:rsid w:val="00361A9A"/>
    <w:rsid w:val="003639BF"/>
    <w:rsid w:val="00392F2E"/>
    <w:rsid w:val="00394DB0"/>
    <w:rsid w:val="003955EE"/>
    <w:rsid w:val="003D3261"/>
    <w:rsid w:val="003F64D2"/>
    <w:rsid w:val="00473095"/>
    <w:rsid w:val="00476025"/>
    <w:rsid w:val="00493974"/>
    <w:rsid w:val="004964F4"/>
    <w:rsid w:val="00497ACA"/>
    <w:rsid w:val="00497D1D"/>
    <w:rsid w:val="004B0040"/>
    <w:rsid w:val="004C5854"/>
    <w:rsid w:val="004D4486"/>
    <w:rsid w:val="004F4BA6"/>
    <w:rsid w:val="00553A06"/>
    <w:rsid w:val="00585C63"/>
    <w:rsid w:val="00587402"/>
    <w:rsid w:val="005A5039"/>
    <w:rsid w:val="005D0438"/>
    <w:rsid w:val="005D7A9C"/>
    <w:rsid w:val="005E3C7E"/>
    <w:rsid w:val="005E3D86"/>
    <w:rsid w:val="00607340"/>
    <w:rsid w:val="00624078"/>
    <w:rsid w:val="00660F2E"/>
    <w:rsid w:val="006673DD"/>
    <w:rsid w:val="00671505"/>
    <w:rsid w:val="006750DD"/>
    <w:rsid w:val="006D3A05"/>
    <w:rsid w:val="007068E9"/>
    <w:rsid w:val="007313D9"/>
    <w:rsid w:val="007903F9"/>
    <w:rsid w:val="007B61A0"/>
    <w:rsid w:val="007D482A"/>
    <w:rsid w:val="007D5F54"/>
    <w:rsid w:val="007E153E"/>
    <w:rsid w:val="007E7D34"/>
    <w:rsid w:val="00816BD5"/>
    <w:rsid w:val="00822E3D"/>
    <w:rsid w:val="00841040"/>
    <w:rsid w:val="008729F6"/>
    <w:rsid w:val="008A0560"/>
    <w:rsid w:val="00902FC3"/>
    <w:rsid w:val="00904D87"/>
    <w:rsid w:val="00912B89"/>
    <w:rsid w:val="00926571"/>
    <w:rsid w:val="009409A1"/>
    <w:rsid w:val="009775C7"/>
    <w:rsid w:val="00983EA0"/>
    <w:rsid w:val="00987A32"/>
    <w:rsid w:val="009A47B4"/>
    <w:rsid w:val="009A75E4"/>
    <w:rsid w:val="009B6426"/>
    <w:rsid w:val="009E2CFA"/>
    <w:rsid w:val="00A2278D"/>
    <w:rsid w:val="00A24B21"/>
    <w:rsid w:val="00A26B9B"/>
    <w:rsid w:val="00A43B30"/>
    <w:rsid w:val="00A620C6"/>
    <w:rsid w:val="00A72F8D"/>
    <w:rsid w:val="00A776DF"/>
    <w:rsid w:val="00AA24B2"/>
    <w:rsid w:val="00AB30FB"/>
    <w:rsid w:val="00AC3A14"/>
    <w:rsid w:val="00B01DAA"/>
    <w:rsid w:val="00B02060"/>
    <w:rsid w:val="00B15D69"/>
    <w:rsid w:val="00B1679E"/>
    <w:rsid w:val="00B62D15"/>
    <w:rsid w:val="00B70C64"/>
    <w:rsid w:val="00B71363"/>
    <w:rsid w:val="00B752AF"/>
    <w:rsid w:val="00B90F17"/>
    <w:rsid w:val="00B9668A"/>
    <w:rsid w:val="00BB0E21"/>
    <w:rsid w:val="00BD4446"/>
    <w:rsid w:val="00BE09AC"/>
    <w:rsid w:val="00BE313A"/>
    <w:rsid w:val="00C017CA"/>
    <w:rsid w:val="00C21F38"/>
    <w:rsid w:val="00C44BA6"/>
    <w:rsid w:val="00CB76F5"/>
    <w:rsid w:val="00CD359B"/>
    <w:rsid w:val="00D03586"/>
    <w:rsid w:val="00D2410F"/>
    <w:rsid w:val="00D41377"/>
    <w:rsid w:val="00D4795E"/>
    <w:rsid w:val="00DB3D83"/>
    <w:rsid w:val="00DC1088"/>
    <w:rsid w:val="00E04062"/>
    <w:rsid w:val="00E05FD5"/>
    <w:rsid w:val="00E2735C"/>
    <w:rsid w:val="00E27C8A"/>
    <w:rsid w:val="00E41EAE"/>
    <w:rsid w:val="00E645AC"/>
    <w:rsid w:val="00E93DB6"/>
    <w:rsid w:val="00E970BE"/>
    <w:rsid w:val="00EA0888"/>
    <w:rsid w:val="00EC74E3"/>
    <w:rsid w:val="00EE5CA6"/>
    <w:rsid w:val="00F049AC"/>
    <w:rsid w:val="00F105B0"/>
    <w:rsid w:val="00F22AED"/>
    <w:rsid w:val="00F3183A"/>
    <w:rsid w:val="00F65B8B"/>
    <w:rsid w:val="00FA6B7D"/>
    <w:rsid w:val="00FC12A8"/>
    <w:rsid w:val="00FD2F48"/>
    <w:rsid w:val="00FE3FD4"/>
    <w:rsid w:val="00FF516F"/>
    <w:rsid w:val="013C54A9"/>
    <w:rsid w:val="01CD3942"/>
    <w:rsid w:val="01F472A9"/>
    <w:rsid w:val="020515AD"/>
    <w:rsid w:val="02811021"/>
    <w:rsid w:val="02E90A4B"/>
    <w:rsid w:val="037D2C7D"/>
    <w:rsid w:val="039655F7"/>
    <w:rsid w:val="03EB3121"/>
    <w:rsid w:val="03ED5B28"/>
    <w:rsid w:val="05354D16"/>
    <w:rsid w:val="05637A0A"/>
    <w:rsid w:val="0580318E"/>
    <w:rsid w:val="0594729B"/>
    <w:rsid w:val="05E232D5"/>
    <w:rsid w:val="060511EF"/>
    <w:rsid w:val="062E6EF4"/>
    <w:rsid w:val="0652102D"/>
    <w:rsid w:val="070F1359"/>
    <w:rsid w:val="07867CCC"/>
    <w:rsid w:val="079F06AC"/>
    <w:rsid w:val="082B0EAC"/>
    <w:rsid w:val="08546180"/>
    <w:rsid w:val="08F40B89"/>
    <w:rsid w:val="09052CF6"/>
    <w:rsid w:val="09144EA8"/>
    <w:rsid w:val="093A1657"/>
    <w:rsid w:val="093D0B38"/>
    <w:rsid w:val="09CC3621"/>
    <w:rsid w:val="09D775EC"/>
    <w:rsid w:val="09EB4DD4"/>
    <w:rsid w:val="0A564808"/>
    <w:rsid w:val="0A82254C"/>
    <w:rsid w:val="0AD93A60"/>
    <w:rsid w:val="0B4E109F"/>
    <w:rsid w:val="0B581E85"/>
    <w:rsid w:val="0BAD7697"/>
    <w:rsid w:val="0BCC7539"/>
    <w:rsid w:val="0BCE455A"/>
    <w:rsid w:val="0BD4523F"/>
    <w:rsid w:val="0C8F447A"/>
    <w:rsid w:val="0D0C314A"/>
    <w:rsid w:val="0E2456FB"/>
    <w:rsid w:val="0E46076F"/>
    <w:rsid w:val="0EEE4223"/>
    <w:rsid w:val="0FAA450C"/>
    <w:rsid w:val="100C0D4C"/>
    <w:rsid w:val="10406976"/>
    <w:rsid w:val="106E64E3"/>
    <w:rsid w:val="11430F7B"/>
    <w:rsid w:val="11E76E99"/>
    <w:rsid w:val="130945BE"/>
    <w:rsid w:val="132C05CF"/>
    <w:rsid w:val="13506600"/>
    <w:rsid w:val="13E60E4B"/>
    <w:rsid w:val="13E64BA0"/>
    <w:rsid w:val="13FD21E7"/>
    <w:rsid w:val="13FF5980"/>
    <w:rsid w:val="140161EE"/>
    <w:rsid w:val="14710401"/>
    <w:rsid w:val="14C22DAB"/>
    <w:rsid w:val="14D27A43"/>
    <w:rsid w:val="152A750C"/>
    <w:rsid w:val="163E1B6A"/>
    <w:rsid w:val="165F6063"/>
    <w:rsid w:val="17060AC4"/>
    <w:rsid w:val="175B522E"/>
    <w:rsid w:val="17694042"/>
    <w:rsid w:val="17AD4280"/>
    <w:rsid w:val="17DF4601"/>
    <w:rsid w:val="17FE7199"/>
    <w:rsid w:val="18A0548D"/>
    <w:rsid w:val="18ED2FBF"/>
    <w:rsid w:val="19D50668"/>
    <w:rsid w:val="19F15E30"/>
    <w:rsid w:val="1A203864"/>
    <w:rsid w:val="1A745923"/>
    <w:rsid w:val="1C523CA3"/>
    <w:rsid w:val="1C70295B"/>
    <w:rsid w:val="1D037898"/>
    <w:rsid w:val="1D1A56AC"/>
    <w:rsid w:val="1D2D6657"/>
    <w:rsid w:val="1D630360"/>
    <w:rsid w:val="1DBB4DE0"/>
    <w:rsid w:val="1DC87191"/>
    <w:rsid w:val="1E6D615C"/>
    <w:rsid w:val="1EC8145D"/>
    <w:rsid w:val="1FA707F8"/>
    <w:rsid w:val="1FE15D48"/>
    <w:rsid w:val="1FE95324"/>
    <w:rsid w:val="201F0A47"/>
    <w:rsid w:val="20222AFD"/>
    <w:rsid w:val="20A0536E"/>
    <w:rsid w:val="211E7500"/>
    <w:rsid w:val="2272671C"/>
    <w:rsid w:val="22752D03"/>
    <w:rsid w:val="230462B1"/>
    <w:rsid w:val="23172F69"/>
    <w:rsid w:val="23470511"/>
    <w:rsid w:val="23635644"/>
    <w:rsid w:val="238F6E71"/>
    <w:rsid w:val="243F47F3"/>
    <w:rsid w:val="250D1426"/>
    <w:rsid w:val="253072AD"/>
    <w:rsid w:val="2558191F"/>
    <w:rsid w:val="259171FE"/>
    <w:rsid w:val="25C30C52"/>
    <w:rsid w:val="274A2DE5"/>
    <w:rsid w:val="27D068E0"/>
    <w:rsid w:val="281F424E"/>
    <w:rsid w:val="289851DC"/>
    <w:rsid w:val="29020848"/>
    <w:rsid w:val="291137F5"/>
    <w:rsid w:val="292E4AD5"/>
    <w:rsid w:val="29507463"/>
    <w:rsid w:val="29655F9E"/>
    <w:rsid w:val="29887CA2"/>
    <w:rsid w:val="29BE40DE"/>
    <w:rsid w:val="29C91981"/>
    <w:rsid w:val="2A726F88"/>
    <w:rsid w:val="2B1C3FAE"/>
    <w:rsid w:val="2BD72A64"/>
    <w:rsid w:val="2CAE78E6"/>
    <w:rsid w:val="2CCE5529"/>
    <w:rsid w:val="2D4C614F"/>
    <w:rsid w:val="2E0119E3"/>
    <w:rsid w:val="2E0A1A24"/>
    <w:rsid w:val="2E482722"/>
    <w:rsid w:val="2ECF647A"/>
    <w:rsid w:val="2F145702"/>
    <w:rsid w:val="2F19206E"/>
    <w:rsid w:val="2FB1546C"/>
    <w:rsid w:val="305F4A40"/>
    <w:rsid w:val="30966870"/>
    <w:rsid w:val="31722A0B"/>
    <w:rsid w:val="32543AA9"/>
    <w:rsid w:val="32544837"/>
    <w:rsid w:val="328C053F"/>
    <w:rsid w:val="32E16DAB"/>
    <w:rsid w:val="32F83EEF"/>
    <w:rsid w:val="334718AA"/>
    <w:rsid w:val="3480562F"/>
    <w:rsid w:val="348A6927"/>
    <w:rsid w:val="34C84DF1"/>
    <w:rsid w:val="34C92640"/>
    <w:rsid w:val="35813D57"/>
    <w:rsid w:val="35E90A70"/>
    <w:rsid w:val="368F3F94"/>
    <w:rsid w:val="3737190B"/>
    <w:rsid w:val="381B4AF5"/>
    <w:rsid w:val="39762CCD"/>
    <w:rsid w:val="39E30ACA"/>
    <w:rsid w:val="39E62898"/>
    <w:rsid w:val="39F82F3E"/>
    <w:rsid w:val="3A9E4050"/>
    <w:rsid w:val="3AE536DC"/>
    <w:rsid w:val="3B5C42BA"/>
    <w:rsid w:val="3BB86550"/>
    <w:rsid w:val="3C8F6671"/>
    <w:rsid w:val="3CC40E25"/>
    <w:rsid w:val="3D4B0F3E"/>
    <w:rsid w:val="3E1709BF"/>
    <w:rsid w:val="3EB06B77"/>
    <w:rsid w:val="3FCB2C6B"/>
    <w:rsid w:val="40484369"/>
    <w:rsid w:val="40E8720A"/>
    <w:rsid w:val="42125130"/>
    <w:rsid w:val="42BC5C2A"/>
    <w:rsid w:val="43564CDF"/>
    <w:rsid w:val="437F30E1"/>
    <w:rsid w:val="441C2606"/>
    <w:rsid w:val="4506415E"/>
    <w:rsid w:val="45071FDE"/>
    <w:rsid w:val="451B6685"/>
    <w:rsid w:val="45660D1D"/>
    <w:rsid w:val="456A3C85"/>
    <w:rsid w:val="45A06674"/>
    <w:rsid w:val="464B2600"/>
    <w:rsid w:val="464B7B28"/>
    <w:rsid w:val="46A2680B"/>
    <w:rsid w:val="47187BE9"/>
    <w:rsid w:val="47454352"/>
    <w:rsid w:val="47590561"/>
    <w:rsid w:val="49125698"/>
    <w:rsid w:val="49126FC3"/>
    <w:rsid w:val="49BA0A2F"/>
    <w:rsid w:val="4A6A58EA"/>
    <w:rsid w:val="4ABC7435"/>
    <w:rsid w:val="4AD01703"/>
    <w:rsid w:val="4B326047"/>
    <w:rsid w:val="4B8E50C5"/>
    <w:rsid w:val="4CBF413E"/>
    <w:rsid w:val="4CC0624F"/>
    <w:rsid w:val="4CF34D93"/>
    <w:rsid w:val="4D865FAD"/>
    <w:rsid w:val="4DCA45DE"/>
    <w:rsid w:val="4E432F4E"/>
    <w:rsid w:val="4EE17BB1"/>
    <w:rsid w:val="4FF11095"/>
    <w:rsid w:val="50063585"/>
    <w:rsid w:val="503414DD"/>
    <w:rsid w:val="50F938FF"/>
    <w:rsid w:val="51951BF2"/>
    <w:rsid w:val="51BC648A"/>
    <w:rsid w:val="51FE5395"/>
    <w:rsid w:val="521E31B3"/>
    <w:rsid w:val="526D1EF4"/>
    <w:rsid w:val="527B206D"/>
    <w:rsid w:val="531B2BE8"/>
    <w:rsid w:val="53221854"/>
    <w:rsid w:val="53454559"/>
    <w:rsid w:val="5383217C"/>
    <w:rsid w:val="542F3C18"/>
    <w:rsid w:val="543A6931"/>
    <w:rsid w:val="54CB4163"/>
    <w:rsid w:val="551F1586"/>
    <w:rsid w:val="557D2B68"/>
    <w:rsid w:val="55B7012A"/>
    <w:rsid w:val="56242F6A"/>
    <w:rsid w:val="5658786C"/>
    <w:rsid w:val="566F76BD"/>
    <w:rsid w:val="569E1B4C"/>
    <w:rsid w:val="588D3BD8"/>
    <w:rsid w:val="58B826D2"/>
    <w:rsid w:val="58CA7A0C"/>
    <w:rsid w:val="58FA78C7"/>
    <w:rsid w:val="58FF02AC"/>
    <w:rsid w:val="59DF1B61"/>
    <w:rsid w:val="5B236FF2"/>
    <w:rsid w:val="5B402113"/>
    <w:rsid w:val="5C761262"/>
    <w:rsid w:val="5CF02465"/>
    <w:rsid w:val="5D904D9B"/>
    <w:rsid w:val="5D993FFB"/>
    <w:rsid w:val="5DEE0F13"/>
    <w:rsid w:val="5E317DD6"/>
    <w:rsid w:val="5F4C46B4"/>
    <w:rsid w:val="602D6443"/>
    <w:rsid w:val="603409D4"/>
    <w:rsid w:val="60E93F2E"/>
    <w:rsid w:val="60F2039E"/>
    <w:rsid w:val="611B0F24"/>
    <w:rsid w:val="618F400C"/>
    <w:rsid w:val="61AC0AD9"/>
    <w:rsid w:val="61C0193F"/>
    <w:rsid w:val="62537588"/>
    <w:rsid w:val="630000FC"/>
    <w:rsid w:val="630C71EB"/>
    <w:rsid w:val="63203A88"/>
    <w:rsid w:val="63357CC1"/>
    <w:rsid w:val="63C766E9"/>
    <w:rsid w:val="63F03B14"/>
    <w:rsid w:val="640019E0"/>
    <w:rsid w:val="64124E40"/>
    <w:rsid w:val="641E248B"/>
    <w:rsid w:val="64E62007"/>
    <w:rsid w:val="6564693C"/>
    <w:rsid w:val="65C4585B"/>
    <w:rsid w:val="65CC7931"/>
    <w:rsid w:val="66434221"/>
    <w:rsid w:val="66664C8F"/>
    <w:rsid w:val="66CB7D3E"/>
    <w:rsid w:val="66F0671A"/>
    <w:rsid w:val="675D216D"/>
    <w:rsid w:val="67AF7989"/>
    <w:rsid w:val="67FC7C8C"/>
    <w:rsid w:val="68760031"/>
    <w:rsid w:val="69097D98"/>
    <w:rsid w:val="6ADC4E36"/>
    <w:rsid w:val="6B635DCA"/>
    <w:rsid w:val="6B6E2558"/>
    <w:rsid w:val="6BE77122"/>
    <w:rsid w:val="6C4F062A"/>
    <w:rsid w:val="6CA05359"/>
    <w:rsid w:val="6CDD1B53"/>
    <w:rsid w:val="6CF90CF0"/>
    <w:rsid w:val="6D136D3C"/>
    <w:rsid w:val="6D5F150E"/>
    <w:rsid w:val="6D80459B"/>
    <w:rsid w:val="6DD81683"/>
    <w:rsid w:val="6E0D68B0"/>
    <w:rsid w:val="70547A9B"/>
    <w:rsid w:val="70603ADF"/>
    <w:rsid w:val="70B57AA1"/>
    <w:rsid w:val="70BA3F3C"/>
    <w:rsid w:val="70F80805"/>
    <w:rsid w:val="71CC225D"/>
    <w:rsid w:val="726E6F4A"/>
    <w:rsid w:val="729D05DD"/>
    <w:rsid w:val="72E61EEA"/>
    <w:rsid w:val="736361AD"/>
    <w:rsid w:val="73884755"/>
    <w:rsid w:val="73FD1259"/>
    <w:rsid w:val="74586530"/>
    <w:rsid w:val="756715A4"/>
    <w:rsid w:val="75A65E0E"/>
    <w:rsid w:val="762B29FD"/>
    <w:rsid w:val="763D2733"/>
    <w:rsid w:val="768440FD"/>
    <w:rsid w:val="76E05490"/>
    <w:rsid w:val="777B5C72"/>
    <w:rsid w:val="780517B1"/>
    <w:rsid w:val="785F0292"/>
    <w:rsid w:val="78633B3E"/>
    <w:rsid w:val="791D4434"/>
    <w:rsid w:val="79E011D5"/>
    <w:rsid w:val="7A4B5212"/>
    <w:rsid w:val="7AC975A6"/>
    <w:rsid w:val="7AF73293"/>
    <w:rsid w:val="7B657DEF"/>
    <w:rsid w:val="7B6B7C58"/>
    <w:rsid w:val="7B747935"/>
    <w:rsid w:val="7BF4741E"/>
    <w:rsid w:val="7C423754"/>
    <w:rsid w:val="7C682D51"/>
    <w:rsid w:val="7C8C31E0"/>
    <w:rsid w:val="7CA33BC7"/>
    <w:rsid w:val="7CBE0147"/>
    <w:rsid w:val="7D935F6D"/>
    <w:rsid w:val="7DD06F95"/>
    <w:rsid w:val="7EB3003D"/>
    <w:rsid w:val="7F3429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adjustRightInd w:val="0"/>
      <w:snapToGrid w:val="0"/>
      <w:spacing w:after="200"/>
    </w:pPr>
    <w:rPr>
      <w:rFonts w:ascii="Tahoma" w:hAnsi="Tahoma" w:eastAsia="宋体" w:cstheme="minorBidi"/>
      <w:sz w:val="22"/>
      <w:szCs w:val="22"/>
      <w:lang w:val="en-US" w:eastAsia="zh-CN" w:bidi="ar-SA"/>
    </w:rPr>
  </w:style>
  <w:style w:type="paragraph" w:styleId="3">
    <w:name w:val="heading 1"/>
    <w:basedOn w:val="1"/>
    <w:next w:val="1"/>
    <w:link w:val="25"/>
    <w:qFormat/>
    <w:uiPriority w:val="9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4">
    <w:name w:val="heading 2"/>
    <w:basedOn w:val="1"/>
    <w:next w:val="1"/>
    <w:link w:val="26"/>
    <w:unhideWhenUsed/>
    <w:qFormat/>
    <w:uiPriority w:val="9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eastAsia="黑体" w:asciiTheme="majorHAnsi" w:hAnsiTheme="majorHAnsi" w:cstheme="majorBidi"/>
      <w:b/>
      <w:bCs/>
      <w:sz w:val="32"/>
      <w:szCs w:val="32"/>
    </w:rPr>
  </w:style>
  <w:style w:type="paragraph" w:styleId="5">
    <w:name w:val="heading 3"/>
    <w:basedOn w:val="1"/>
    <w:next w:val="1"/>
    <w:unhideWhenUsed/>
    <w:qFormat/>
    <w:uiPriority w:val="9"/>
    <w:pPr>
      <w:keepNext/>
      <w:keepLines/>
      <w:numPr>
        <w:ilvl w:val="2"/>
        <w:numId w:val="1"/>
      </w:numPr>
      <w:spacing w:before="260" w:after="260" w:line="413" w:lineRule="auto"/>
      <w:outlineLvl w:val="2"/>
    </w:pPr>
    <w:rPr>
      <w:rFonts w:eastAsia="宋体"/>
      <w:sz w:val="32"/>
    </w:rPr>
  </w:style>
  <w:style w:type="paragraph" w:styleId="6">
    <w:name w:val="heading 4"/>
    <w:basedOn w:val="1"/>
    <w:next w:val="1"/>
    <w:semiHidden/>
    <w:unhideWhenUsed/>
    <w:qFormat/>
    <w:uiPriority w:val="9"/>
    <w:pPr>
      <w:tabs>
        <w:tab w:val="left" w:pos="432"/>
        <w:tab w:val="left" w:pos="864"/>
        <w:tab w:val="left" w:pos="1290"/>
      </w:tabs>
      <w:spacing w:before="280" w:after="290" w:line="376" w:lineRule="auto"/>
      <w:outlineLvl w:val="3"/>
    </w:pPr>
    <w:rPr>
      <w:rFonts w:ascii="Arial" w:hAnsi="Arial" w:eastAsia="黑体"/>
      <w:sz w:val="28"/>
      <w:szCs w:val="28"/>
    </w:rPr>
  </w:style>
  <w:style w:type="paragraph" w:styleId="7">
    <w:name w:val="heading 5"/>
    <w:basedOn w:val="1"/>
    <w:next w:val="1"/>
    <w:semiHidden/>
    <w:unhideWhenUsed/>
    <w:qFormat/>
    <w:uiPriority w:val="9"/>
    <w:pPr>
      <w:keepNext/>
      <w:keepLines/>
      <w:numPr>
        <w:ilvl w:val="4"/>
        <w:numId w:val="1"/>
      </w:numPr>
      <w:tabs>
        <w:tab w:val="left" w:pos="1008"/>
      </w:tabs>
      <w:spacing w:before="280" w:after="290" w:line="372" w:lineRule="auto"/>
      <w:outlineLvl w:val="4"/>
    </w:pPr>
    <w:rPr>
      <w:b/>
      <w:sz w:val="28"/>
    </w:rPr>
  </w:style>
  <w:style w:type="paragraph" w:styleId="8">
    <w:name w:val="heading 6"/>
    <w:basedOn w:val="1"/>
    <w:next w:val="1"/>
    <w:semiHidden/>
    <w:unhideWhenUsed/>
    <w:qFormat/>
    <w:uiPriority w:val="9"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hAnsi="Arial" w:eastAsia="黑体"/>
      <w:b/>
      <w:sz w:val="24"/>
    </w:rPr>
  </w:style>
  <w:style w:type="paragraph" w:styleId="9">
    <w:name w:val="heading 7"/>
    <w:basedOn w:val="1"/>
    <w:next w:val="1"/>
    <w:semiHidden/>
    <w:unhideWhenUsed/>
    <w:qFormat/>
    <w:uiPriority w:val="9"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sz w:val="24"/>
    </w:rPr>
  </w:style>
  <w:style w:type="paragraph" w:styleId="10">
    <w:name w:val="heading 8"/>
    <w:basedOn w:val="1"/>
    <w:next w:val="1"/>
    <w:semiHidden/>
    <w:unhideWhenUsed/>
    <w:qFormat/>
    <w:uiPriority w:val="9"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hAnsi="Arial" w:eastAsia="黑体"/>
      <w:sz w:val="24"/>
    </w:rPr>
  </w:style>
  <w:style w:type="paragraph" w:styleId="11">
    <w:name w:val="heading 9"/>
    <w:basedOn w:val="1"/>
    <w:next w:val="1"/>
    <w:semiHidden/>
    <w:unhideWhenUsed/>
    <w:qFormat/>
    <w:uiPriority w:val="9"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hAnsi="Arial" w:eastAsia="黑体"/>
      <w:sz w:val="21"/>
    </w:rPr>
  </w:style>
  <w:style w:type="character" w:default="1" w:styleId="21">
    <w:name w:val="Default Paragraph Font"/>
    <w:semiHidden/>
    <w:unhideWhenUsed/>
    <w:qFormat/>
    <w:uiPriority w:val="1"/>
  </w:style>
  <w:style w:type="table" w:default="1" w:styleId="2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2">
    <w:name w:val="annotation text"/>
    <w:basedOn w:val="1"/>
    <w:link w:val="32"/>
    <w:autoRedefine/>
    <w:semiHidden/>
    <w:unhideWhenUsed/>
    <w:qFormat/>
    <w:uiPriority w:val="99"/>
  </w:style>
  <w:style w:type="paragraph" w:styleId="13">
    <w:name w:val="toc 3"/>
    <w:basedOn w:val="1"/>
    <w:next w:val="1"/>
    <w:unhideWhenUsed/>
    <w:qFormat/>
    <w:uiPriority w:val="39"/>
    <w:pPr>
      <w:ind w:left="840" w:leftChars="400"/>
    </w:pPr>
  </w:style>
  <w:style w:type="paragraph" w:styleId="14">
    <w:name w:val="Date"/>
    <w:basedOn w:val="1"/>
    <w:next w:val="1"/>
    <w:link w:val="24"/>
    <w:autoRedefine/>
    <w:semiHidden/>
    <w:unhideWhenUsed/>
    <w:qFormat/>
    <w:uiPriority w:val="99"/>
    <w:pPr>
      <w:ind w:left="100" w:leftChars="2500"/>
    </w:pPr>
  </w:style>
  <w:style w:type="paragraph" w:styleId="15">
    <w:name w:val="Balloon Text"/>
    <w:basedOn w:val="1"/>
    <w:link w:val="34"/>
    <w:autoRedefine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16">
    <w:name w:val="footer"/>
    <w:basedOn w:val="1"/>
    <w:autoRedefine/>
    <w:unhideWhenUsed/>
    <w:qFormat/>
    <w:uiPriority w:val="99"/>
    <w:pPr>
      <w:tabs>
        <w:tab w:val="center" w:pos="4153"/>
        <w:tab w:val="right" w:pos="8306"/>
      </w:tabs>
    </w:pPr>
    <w:rPr>
      <w:sz w:val="18"/>
    </w:rPr>
  </w:style>
  <w:style w:type="paragraph" w:styleId="17">
    <w:name w:val="header"/>
    <w:basedOn w:val="1"/>
    <w:autoRedefine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jc w:val="both"/>
    </w:pPr>
    <w:rPr>
      <w:sz w:val="18"/>
    </w:rPr>
  </w:style>
  <w:style w:type="paragraph" w:styleId="18">
    <w:name w:val="toc 1"/>
    <w:basedOn w:val="1"/>
    <w:next w:val="1"/>
    <w:unhideWhenUsed/>
    <w:qFormat/>
    <w:uiPriority w:val="39"/>
  </w:style>
  <w:style w:type="paragraph" w:styleId="19">
    <w:name w:val="annotation subject"/>
    <w:basedOn w:val="12"/>
    <w:next w:val="12"/>
    <w:link w:val="33"/>
    <w:semiHidden/>
    <w:unhideWhenUsed/>
    <w:qFormat/>
    <w:uiPriority w:val="99"/>
    <w:rPr>
      <w:b/>
      <w:bCs/>
    </w:rPr>
  </w:style>
  <w:style w:type="character" w:styleId="22">
    <w:name w:val="Hyperlink"/>
    <w:basedOn w:val="21"/>
    <w:unhideWhenUsed/>
    <w:qFormat/>
    <w:uiPriority w:val="99"/>
    <w:rPr>
      <w:color w:val="0000FF"/>
      <w:u w:val="single"/>
    </w:rPr>
  </w:style>
  <w:style w:type="character" w:styleId="23">
    <w:name w:val="annotation reference"/>
    <w:basedOn w:val="21"/>
    <w:semiHidden/>
    <w:unhideWhenUsed/>
    <w:qFormat/>
    <w:uiPriority w:val="99"/>
    <w:rPr>
      <w:sz w:val="21"/>
      <w:szCs w:val="21"/>
    </w:rPr>
  </w:style>
  <w:style w:type="character" w:customStyle="1" w:styleId="24">
    <w:name w:val="日期 Char"/>
    <w:basedOn w:val="21"/>
    <w:link w:val="14"/>
    <w:semiHidden/>
    <w:qFormat/>
    <w:uiPriority w:val="99"/>
    <w:rPr>
      <w:rFonts w:ascii="Tahoma" w:hAnsi="Tahoma" w:eastAsia="微软雅黑"/>
      <w:kern w:val="0"/>
      <w:sz w:val="22"/>
    </w:rPr>
  </w:style>
  <w:style w:type="character" w:customStyle="1" w:styleId="25">
    <w:name w:val="标题 1 Char"/>
    <w:basedOn w:val="21"/>
    <w:link w:val="3"/>
    <w:qFormat/>
    <w:uiPriority w:val="9"/>
    <w:rPr>
      <w:rFonts w:ascii="Tahoma" w:hAnsi="Tahoma" w:eastAsia="微软雅黑"/>
      <w:b/>
      <w:bCs/>
      <w:kern w:val="44"/>
      <w:sz w:val="44"/>
      <w:szCs w:val="44"/>
    </w:rPr>
  </w:style>
  <w:style w:type="character" w:customStyle="1" w:styleId="26">
    <w:name w:val="标题 2 Char"/>
    <w:basedOn w:val="21"/>
    <w:link w:val="4"/>
    <w:qFormat/>
    <w:uiPriority w:val="9"/>
    <w:rPr>
      <w:rFonts w:eastAsia="黑体" w:asciiTheme="majorHAnsi" w:hAnsiTheme="majorHAnsi" w:cstheme="majorBidi"/>
      <w:b/>
      <w:bCs/>
      <w:kern w:val="0"/>
      <w:sz w:val="32"/>
      <w:szCs w:val="32"/>
    </w:rPr>
  </w:style>
  <w:style w:type="paragraph" w:styleId="27">
    <w:name w:val="List Paragraph"/>
    <w:basedOn w:val="1"/>
    <w:qFormat/>
    <w:uiPriority w:val="34"/>
    <w:pPr>
      <w:ind w:firstLine="420" w:firstLineChars="200"/>
    </w:pPr>
  </w:style>
  <w:style w:type="character" w:customStyle="1" w:styleId="28">
    <w:name w:val="apple-converted-space"/>
    <w:basedOn w:val="21"/>
    <w:qFormat/>
    <w:uiPriority w:val="0"/>
  </w:style>
  <w:style w:type="paragraph" w:customStyle="1" w:styleId="29">
    <w:name w:val="WPSOffice手动目录 1"/>
    <w:qFormat/>
    <w:uiPriority w:val="0"/>
    <w:rPr>
      <w:rFonts w:ascii="Calibri" w:hAnsi="Calibri" w:eastAsia="宋体" w:cs="Times New Roman"/>
      <w:lang w:val="en-US" w:eastAsia="zh-CN" w:bidi="ar-SA"/>
    </w:rPr>
  </w:style>
  <w:style w:type="paragraph" w:customStyle="1" w:styleId="30">
    <w:name w:val="WPSOffice手动目录 2"/>
    <w:qFormat/>
    <w:uiPriority w:val="0"/>
    <w:pPr>
      <w:ind w:left="200" w:leftChars="200"/>
    </w:pPr>
    <w:rPr>
      <w:rFonts w:ascii="Calibri" w:hAnsi="Calibri" w:eastAsia="宋体" w:cs="Times New Roman"/>
      <w:lang w:val="en-US" w:eastAsia="zh-CN" w:bidi="ar-SA"/>
    </w:rPr>
  </w:style>
  <w:style w:type="paragraph" w:customStyle="1" w:styleId="31">
    <w:name w:val="WPSOffice手动目录 3"/>
    <w:qFormat/>
    <w:uiPriority w:val="0"/>
    <w:pPr>
      <w:ind w:left="400" w:leftChars="400"/>
    </w:pPr>
    <w:rPr>
      <w:rFonts w:ascii="Calibri" w:hAnsi="Calibri" w:eastAsia="宋体" w:cs="Times New Roman"/>
      <w:lang w:val="en-US" w:eastAsia="zh-CN" w:bidi="ar-SA"/>
    </w:rPr>
  </w:style>
  <w:style w:type="character" w:customStyle="1" w:styleId="32">
    <w:name w:val="批注文字 Char"/>
    <w:basedOn w:val="21"/>
    <w:link w:val="12"/>
    <w:semiHidden/>
    <w:qFormat/>
    <w:uiPriority w:val="99"/>
    <w:rPr>
      <w:rFonts w:ascii="Tahoma" w:hAnsi="Tahoma" w:eastAsia="微软雅黑" w:cstheme="minorBidi"/>
      <w:sz w:val="22"/>
      <w:szCs w:val="22"/>
    </w:rPr>
  </w:style>
  <w:style w:type="character" w:customStyle="1" w:styleId="33">
    <w:name w:val="批注主题 Char"/>
    <w:basedOn w:val="32"/>
    <w:link w:val="19"/>
    <w:semiHidden/>
    <w:qFormat/>
    <w:uiPriority w:val="99"/>
    <w:rPr>
      <w:rFonts w:ascii="Tahoma" w:hAnsi="Tahoma" w:eastAsia="微软雅黑" w:cstheme="minorBidi"/>
      <w:b/>
      <w:bCs/>
      <w:sz w:val="22"/>
      <w:szCs w:val="22"/>
    </w:rPr>
  </w:style>
  <w:style w:type="character" w:customStyle="1" w:styleId="34">
    <w:name w:val="批注框文本 Char"/>
    <w:basedOn w:val="21"/>
    <w:link w:val="15"/>
    <w:semiHidden/>
    <w:qFormat/>
    <w:uiPriority w:val="99"/>
    <w:rPr>
      <w:rFonts w:ascii="Tahoma" w:hAnsi="Tahoma" w:eastAsia="微软雅黑" w:cstheme="minorBid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6" Type="http://schemas.openxmlformats.org/officeDocument/2006/relationships/fontTable" Target="fontTable.xml"/><Relationship Id="rId85" Type="http://schemas.openxmlformats.org/officeDocument/2006/relationships/customXml" Target="../customXml/item2.xml"/><Relationship Id="rId84" Type="http://schemas.openxmlformats.org/officeDocument/2006/relationships/numbering" Target="numbering.xml"/><Relationship Id="rId83" Type="http://schemas.openxmlformats.org/officeDocument/2006/relationships/customXml" Target="../customXml/item1.xml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3.png"/><Relationship Id="rId79" Type="http://schemas.openxmlformats.org/officeDocument/2006/relationships/image" Target="media/image74.pn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png"/><Relationship Id="rId72" Type="http://schemas.openxmlformats.org/officeDocument/2006/relationships/image" Target="media/image67.png"/><Relationship Id="rId71" Type="http://schemas.openxmlformats.org/officeDocument/2006/relationships/image" Target="media/image66.png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1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3E4328-645E-44AB-90FD-C082DD04DC6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33</Pages>
  <Words>4520</Words>
  <Characters>4889</Characters>
  <Lines>20</Lines>
  <Paragraphs>5</Paragraphs>
  <TotalTime>0</TotalTime>
  <ScaleCrop>false</ScaleCrop>
  <LinksUpToDate>false</LinksUpToDate>
  <CharactersWithSpaces>5013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2017-04-10T09:48:00Z</dcterms:created>
  <dc:creator>User</dc:creator>
  <cp:lastModifiedBy>小丑</cp:lastModifiedBy>
  <cp:lastPrinted>2020-05-28T02:43:00Z</cp:lastPrinted>
  <dcterms:modified xsi:type="dcterms:W3CDTF">2025-06-13T02:00:54Z</dcterms:modified>
  <cp:revision>69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BEA576006BDD497FBB0A2205B58109EF</vt:lpwstr>
  </property>
  <property fmtid="{D5CDD505-2E9C-101B-9397-08002B2CF9AE}" pid="4" name="KSOTemplateDocerSaveRecord">
    <vt:lpwstr>eyJoZGlkIjoiNmMyNjk1ZDYxZTM4YmZhM2FkMDNkMzY3ZGU0NzA5Y2EiLCJ1c2VySWQiOiI0MzExNDM5OTkifQ==</vt:lpwstr>
  </property>
</Properties>
</file>