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439A49">
      <w:pPr>
        <w:jc w:val="center"/>
        <w:rPr>
          <w:rFonts w:ascii="黑体" w:eastAsia="黑体"/>
          <w:b/>
          <w:color w:val="FF0000"/>
          <w:sz w:val="48"/>
          <w:szCs w:val="48"/>
        </w:rPr>
      </w:pPr>
    </w:p>
    <w:p w14:paraId="708F7EAC">
      <w:pPr>
        <w:jc w:val="center"/>
        <w:rPr>
          <w:rFonts w:ascii="黑体" w:eastAsia="黑体"/>
          <w:b/>
          <w:sz w:val="48"/>
          <w:szCs w:val="48"/>
        </w:rPr>
      </w:pPr>
    </w:p>
    <w:p w14:paraId="75F15598">
      <w:pPr>
        <w:jc w:val="center"/>
        <w:rPr>
          <w:rFonts w:ascii="黑体" w:eastAsia="黑体"/>
          <w:b/>
          <w:sz w:val="48"/>
          <w:szCs w:val="48"/>
        </w:rPr>
      </w:pPr>
      <w:r>
        <w:rPr>
          <w:rFonts w:hint="eastAsia" w:ascii="黑体" w:eastAsia="黑体"/>
          <w:b/>
          <w:sz w:val="48"/>
          <w:szCs w:val="48"/>
          <w:lang w:val="en-US" w:eastAsia="zh-CN"/>
        </w:rPr>
        <w:t>汕尾</w:t>
      </w:r>
      <w:r>
        <w:rPr>
          <w:rFonts w:hint="eastAsia" w:ascii="黑体" w:eastAsia="黑体"/>
          <w:b/>
          <w:sz w:val="48"/>
          <w:szCs w:val="48"/>
        </w:rPr>
        <w:t>市公共资源交易</w:t>
      </w:r>
      <w:r>
        <w:rPr>
          <w:rFonts w:hint="eastAsia" w:ascii="黑体" w:eastAsia="黑体"/>
          <w:b/>
          <w:sz w:val="48"/>
          <w:szCs w:val="48"/>
          <w:lang w:val="en-US" w:eastAsia="zh-CN"/>
        </w:rPr>
        <w:t>信息</w:t>
      </w:r>
      <w:r>
        <w:rPr>
          <w:rFonts w:hint="eastAsia" w:ascii="黑体" w:eastAsia="黑体"/>
          <w:b/>
          <w:sz w:val="48"/>
          <w:szCs w:val="48"/>
        </w:rPr>
        <w:t>化平台</w:t>
      </w:r>
    </w:p>
    <w:p w14:paraId="27C38C9C">
      <w:pPr>
        <w:jc w:val="center"/>
        <w:rPr>
          <w:rFonts w:ascii="黑体" w:eastAsia="黑体"/>
          <w:b/>
          <w:sz w:val="48"/>
          <w:szCs w:val="48"/>
        </w:rPr>
      </w:pPr>
      <w:r>
        <w:rPr>
          <w:rFonts w:hint="eastAsia" w:ascii="黑体" w:eastAsia="黑体"/>
          <w:b/>
          <w:sz w:val="48"/>
          <w:szCs w:val="48"/>
        </w:rPr>
        <w:t>建设工程交易</w:t>
      </w:r>
    </w:p>
    <w:p w14:paraId="7D086682">
      <w:pPr>
        <w:jc w:val="center"/>
        <w:rPr>
          <w:rFonts w:ascii="黑体" w:eastAsia="黑体"/>
          <w:b/>
          <w:sz w:val="48"/>
          <w:szCs w:val="48"/>
        </w:rPr>
      </w:pPr>
      <w:r>
        <w:rPr>
          <w:rFonts w:hint="eastAsia" w:ascii="黑体" w:eastAsia="黑体"/>
          <w:b/>
          <w:sz w:val="48"/>
          <w:szCs w:val="48"/>
        </w:rPr>
        <w:t>（代理机构）</w:t>
      </w:r>
    </w:p>
    <w:p w14:paraId="7A5E3F1C">
      <w:pPr>
        <w:spacing w:before="1440"/>
        <w:jc w:val="center"/>
        <w:rPr>
          <w:rFonts w:ascii="黑体" w:hAnsi="宋体" w:eastAsia="黑体"/>
          <w:b/>
          <w:sz w:val="52"/>
          <w:szCs w:val="52"/>
        </w:rPr>
      </w:pPr>
      <w:r>
        <w:rPr>
          <w:rFonts w:hint="eastAsia" w:ascii="黑体" w:hAnsi="宋体" w:eastAsia="黑体"/>
          <w:b/>
          <w:sz w:val="52"/>
          <w:szCs w:val="52"/>
        </w:rPr>
        <w:t>用</w:t>
      </w:r>
    </w:p>
    <w:p w14:paraId="549F78DC">
      <w:pPr>
        <w:spacing w:before="360" w:after="312" w:afterLines="100"/>
        <w:jc w:val="center"/>
        <w:rPr>
          <w:rFonts w:ascii="黑体" w:hAnsi="宋体" w:eastAsia="黑体"/>
          <w:b/>
          <w:sz w:val="52"/>
          <w:szCs w:val="52"/>
        </w:rPr>
      </w:pPr>
      <w:r>
        <w:rPr>
          <w:rFonts w:hint="eastAsia" w:ascii="黑体" w:hAnsi="宋体" w:eastAsia="黑体"/>
          <w:b/>
          <w:sz w:val="52"/>
          <w:szCs w:val="52"/>
        </w:rPr>
        <w:t>户</w:t>
      </w:r>
    </w:p>
    <w:p w14:paraId="3ADE8A92">
      <w:pPr>
        <w:spacing w:before="360" w:after="312" w:afterLines="100"/>
        <w:jc w:val="center"/>
        <w:rPr>
          <w:rFonts w:ascii="黑体" w:hAnsi="宋体" w:eastAsia="黑体"/>
          <w:b/>
          <w:sz w:val="52"/>
          <w:szCs w:val="52"/>
        </w:rPr>
      </w:pPr>
      <w:r>
        <w:rPr>
          <w:rFonts w:hint="eastAsia" w:ascii="黑体" w:hAnsi="宋体" w:eastAsia="黑体"/>
          <w:b/>
          <w:sz w:val="52"/>
          <w:szCs w:val="52"/>
        </w:rPr>
        <w:t>手</w:t>
      </w:r>
    </w:p>
    <w:p w14:paraId="1AE6EA84">
      <w:pPr>
        <w:spacing w:before="360" w:after="312" w:afterLines="100"/>
        <w:jc w:val="center"/>
        <w:rPr>
          <w:rFonts w:ascii="黑体" w:hAnsi="宋体" w:eastAsia="黑体"/>
          <w:b/>
          <w:sz w:val="52"/>
          <w:szCs w:val="52"/>
        </w:rPr>
      </w:pPr>
      <w:r>
        <w:rPr>
          <w:rFonts w:hint="eastAsia" w:ascii="黑体" w:hAnsi="宋体" w:eastAsia="黑体"/>
          <w:b/>
          <w:sz w:val="52"/>
          <w:szCs w:val="52"/>
        </w:rPr>
        <w:t>册</w:t>
      </w:r>
    </w:p>
    <w:p w14:paraId="77F6B428">
      <w:pPr>
        <w:rPr>
          <w:rFonts w:ascii="黑体" w:hAnsi="宋体" w:eastAsia="黑体"/>
          <w:b/>
          <w:sz w:val="24"/>
        </w:rPr>
      </w:pPr>
    </w:p>
    <w:p w14:paraId="625D961B">
      <w:pPr>
        <w:rPr>
          <w:rFonts w:ascii="黑体" w:hAnsi="宋体" w:eastAsia="黑体"/>
          <w:b/>
          <w:sz w:val="24"/>
        </w:rPr>
      </w:pPr>
    </w:p>
    <w:p w14:paraId="35777293">
      <w:pPr>
        <w:rPr>
          <w:rFonts w:ascii="黑体" w:hAnsi="宋体" w:eastAsia="黑体"/>
          <w:b/>
          <w:sz w:val="24"/>
        </w:rPr>
      </w:pPr>
    </w:p>
    <w:p w14:paraId="0626453A">
      <w:pPr>
        <w:rPr>
          <w:rFonts w:ascii="黑体" w:hAnsi="宋体" w:eastAsia="黑体"/>
          <w:b/>
          <w:sz w:val="24"/>
        </w:rPr>
      </w:pPr>
    </w:p>
    <w:p w14:paraId="3207359C">
      <w:pPr>
        <w:jc w:val="center"/>
        <w:rPr>
          <w:rFonts w:eastAsia="黑体"/>
          <w:b/>
          <w:bCs/>
          <w:sz w:val="28"/>
        </w:rPr>
      </w:pPr>
    </w:p>
    <w:p w14:paraId="71CB6EA1">
      <w:pPr>
        <w:jc w:val="center"/>
        <w:rPr>
          <w:rFonts w:eastAsia="黑体"/>
          <w:b/>
          <w:bCs/>
          <w:sz w:val="28"/>
        </w:rPr>
      </w:pPr>
    </w:p>
    <w:p w14:paraId="14C466F5">
      <w:pPr>
        <w:jc w:val="center"/>
        <w:rPr>
          <w:rFonts w:eastAsia="黑体"/>
          <w:b/>
          <w:bCs/>
          <w:sz w:val="28"/>
        </w:rPr>
        <w:sectPr>
          <w:headerReference r:id="rId4" w:type="default"/>
          <w:footerReference r:id="rId5" w:type="default"/>
          <w:pgSz w:w="11906" w:h="16838"/>
          <w:pgMar w:top="1440" w:right="1800" w:bottom="1440" w:left="1800" w:header="851" w:footer="992" w:gutter="0"/>
          <w:cols w:space="425" w:num="1"/>
          <w:docGrid w:type="lines" w:linePitch="312" w:charSpace="0"/>
        </w:sectPr>
      </w:pPr>
    </w:p>
    <w:sdt>
      <w:sdtPr>
        <w:rPr>
          <w:rFonts w:ascii="宋体" w:hAnsi="宋体" w:eastAsia="宋体"/>
          <w:sz w:val="21"/>
        </w:rPr>
        <w:id w:val="147482565"/>
        <w:docPartObj>
          <w:docPartGallery w:val="Table of Contents"/>
          <w:docPartUnique/>
        </w:docPartObj>
      </w:sdtPr>
      <w:sdtEndPr>
        <w:rPr>
          <w:rFonts w:hint="eastAsia" w:ascii="Tahoma" w:hAnsi="Tahoma" w:eastAsia="黑体"/>
          <w:bCs/>
          <w:sz w:val="22"/>
        </w:rPr>
      </w:sdtEndPr>
      <w:sdtContent>
        <w:p w14:paraId="4A9542E0">
          <w:pPr>
            <w:spacing w:after="0"/>
            <w:jc w:val="center"/>
          </w:pPr>
          <w:r>
            <w:rPr>
              <w:rFonts w:ascii="宋体" w:hAnsi="宋体" w:eastAsia="宋体"/>
              <w:sz w:val="21"/>
            </w:rPr>
            <w:t>目录</w:t>
          </w:r>
        </w:p>
        <w:p w14:paraId="0BEB66C2">
          <w:pPr>
            <w:pStyle w:val="19"/>
            <w:tabs>
              <w:tab w:val="right" w:leader="dot" w:pos="8306"/>
            </w:tabs>
          </w:pPr>
          <w:r>
            <w:rPr>
              <w:rFonts w:hint="eastAsia" w:eastAsia="黑体"/>
              <w:b/>
              <w:bCs/>
              <w:sz w:val="28"/>
            </w:rPr>
            <w:fldChar w:fldCharType="begin"/>
          </w:r>
          <w:r>
            <w:rPr>
              <w:rFonts w:hint="eastAsia" w:eastAsia="黑体"/>
              <w:b/>
              <w:bCs/>
              <w:sz w:val="28"/>
            </w:rPr>
            <w:instrText xml:space="preserve">TOC \o "1-3" \h \u </w:instrText>
          </w:r>
          <w:r>
            <w:rPr>
              <w:rFonts w:hint="eastAsia" w:eastAsia="黑体"/>
              <w:b/>
              <w:bCs/>
              <w:sz w:val="28"/>
            </w:rPr>
            <w:fldChar w:fldCharType="separate"/>
          </w:r>
          <w:r>
            <w:rPr>
              <w:rFonts w:hint="eastAsia" w:eastAsia="黑体"/>
              <w:bCs/>
            </w:rPr>
            <w:fldChar w:fldCharType="begin"/>
          </w:r>
          <w:r>
            <w:rPr>
              <w:rFonts w:hint="eastAsia" w:eastAsia="黑体"/>
              <w:bCs/>
            </w:rPr>
            <w:instrText xml:space="preserve"> HYPERLINK \l _Toc8508 </w:instrText>
          </w:r>
          <w:r>
            <w:rPr>
              <w:rFonts w:hint="eastAsia" w:eastAsia="黑体"/>
              <w:bCs/>
            </w:rPr>
            <w:fldChar w:fldCharType="separate"/>
          </w:r>
          <w:r>
            <w:rPr>
              <w:rFonts w:hint="eastAsia" w:ascii="宋体" w:hAnsi="宋体" w:eastAsia="宋体" w:cs="宋体"/>
            </w:rPr>
            <w:t xml:space="preserve">一. </w:t>
          </w:r>
          <w:r>
            <w:rPr>
              <w:rFonts w:hint="eastAsia" w:ascii="黑体" w:hAnsi="Calibri" w:eastAsia="黑体" w:cs="Times New Roman"/>
            </w:rPr>
            <w:t>登录</w:t>
          </w:r>
          <w:r>
            <w:tab/>
          </w:r>
          <w:r>
            <w:fldChar w:fldCharType="begin"/>
          </w:r>
          <w:r>
            <w:instrText xml:space="preserve"> PAGEREF _Toc8508 \h </w:instrText>
          </w:r>
          <w:r>
            <w:fldChar w:fldCharType="separate"/>
          </w:r>
          <w:r>
            <w:t>2</w:t>
          </w:r>
          <w:r>
            <w:fldChar w:fldCharType="end"/>
          </w:r>
          <w:r>
            <w:rPr>
              <w:rFonts w:hint="eastAsia" w:eastAsia="黑体"/>
              <w:bCs/>
            </w:rPr>
            <w:fldChar w:fldCharType="end"/>
          </w:r>
        </w:p>
        <w:p w14:paraId="505D513A">
          <w:pPr>
            <w:pStyle w:val="19"/>
            <w:tabs>
              <w:tab w:val="right" w:leader="dot" w:pos="8306"/>
            </w:tabs>
          </w:pPr>
          <w:r>
            <w:rPr>
              <w:rFonts w:hint="eastAsia" w:eastAsia="黑体"/>
              <w:bCs/>
            </w:rPr>
            <w:fldChar w:fldCharType="begin"/>
          </w:r>
          <w:r>
            <w:rPr>
              <w:rFonts w:hint="eastAsia" w:eastAsia="黑体"/>
              <w:bCs/>
            </w:rPr>
            <w:instrText xml:space="preserve"> HYPERLINK \l _Toc14521 </w:instrText>
          </w:r>
          <w:r>
            <w:rPr>
              <w:rFonts w:hint="eastAsia" w:eastAsia="黑体"/>
              <w:bCs/>
            </w:rPr>
            <w:fldChar w:fldCharType="separate"/>
          </w:r>
          <w:r>
            <w:rPr>
              <w:rFonts w:hint="eastAsia" w:ascii="宋体" w:hAnsi="宋体" w:eastAsia="宋体" w:cs="宋体"/>
            </w:rPr>
            <w:t xml:space="preserve">二. </w:t>
          </w:r>
          <w:r>
            <w:rPr>
              <w:rFonts w:hint="eastAsia" w:ascii="黑体" w:hAnsi="Calibri" w:eastAsia="黑体" w:cs="Times New Roman"/>
            </w:rPr>
            <w:t>业务操作说明</w:t>
          </w:r>
          <w:r>
            <w:tab/>
          </w:r>
          <w:r>
            <w:fldChar w:fldCharType="begin"/>
          </w:r>
          <w:r>
            <w:instrText xml:space="preserve"> PAGEREF _Toc14521 \h </w:instrText>
          </w:r>
          <w:r>
            <w:fldChar w:fldCharType="separate"/>
          </w:r>
          <w:r>
            <w:t>2</w:t>
          </w:r>
          <w:r>
            <w:fldChar w:fldCharType="end"/>
          </w:r>
          <w:r>
            <w:rPr>
              <w:rFonts w:hint="eastAsia" w:eastAsia="黑体"/>
              <w:bCs/>
            </w:rPr>
            <w:fldChar w:fldCharType="end"/>
          </w:r>
        </w:p>
        <w:p w14:paraId="4E1B4169">
          <w:pPr>
            <w:pStyle w:val="2"/>
            <w:tabs>
              <w:tab w:val="right" w:leader="dot" w:pos="8306"/>
            </w:tabs>
          </w:pPr>
          <w:r>
            <w:rPr>
              <w:rFonts w:hint="eastAsia" w:eastAsia="黑体"/>
              <w:bCs/>
            </w:rPr>
            <w:fldChar w:fldCharType="begin"/>
          </w:r>
          <w:r>
            <w:rPr>
              <w:rFonts w:hint="eastAsia" w:eastAsia="黑体"/>
              <w:bCs/>
            </w:rPr>
            <w:instrText xml:space="preserve"> HYPERLINK \l _Toc3575 </w:instrText>
          </w:r>
          <w:r>
            <w:rPr>
              <w:rFonts w:hint="eastAsia" w:eastAsia="黑体"/>
              <w:bCs/>
            </w:rPr>
            <w:fldChar w:fldCharType="separate"/>
          </w:r>
          <w:r>
            <w:rPr>
              <w:rFonts w:hint="eastAsia" w:ascii="宋体" w:hAnsi="宋体" w:eastAsia="宋体" w:cs="宋体"/>
            </w:rPr>
            <w:t xml:space="preserve">（一） </w:t>
          </w:r>
          <w:r>
            <w:rPr>
              <w:rFonts w:hint="eastAsia"/>
            </w:rPr>
            <w:t>交易发布</w:t>
          </w:r>
          <w:r>
            <w:tab/>
          </w:r>
          <w:r>
            <w:fldChar w:fldCharType="begin"/>
          </w:r>
          <w:r>
            <w:instrText xml:space="preserve"> PAGEREF _Toc3575 \h </w:instrText>
          </w:r>
          <w:r>
            <w:fldChar w:fldCharType="separate"/>
          </w:r>
          <w:r>
            <w:t>2</w:t>
          </w:r>
          <w:r>
            <w:fldChar w:fldCharType="end"/>
          </w:r>
          <w:r>
            <w:rPr>
              <w:rFonts w:hint="eastAsia" w:eastAsia="黑体"/>
              <w:bCs/>
            </w:rPr>
            <w:fldChar w:fldCharType="end"/>
          </w:r>
        </w:p>
        <w:p w14:paraId="50427CDD">
          <w:pPr>
            <w:pStyle w:val="14"/>
            <w:tabs>
              <w:tab w:val="right" w:leader="dot" w:pos="8306"/>
            </w:tabs>
          </w:pPr>
          <w:r>
            <w:rPr>
              <w:rFonts w:hint="eastAsia" w:eastAsia="黑体"/>
              <w:bCs/>
            </w:rPr>
            <w:fldChar w:fldCharType="begin"/>
          </w:r>
          <w:r>
            <w:rPr>
              <w:rFonts w:hint="eastAsia" w:eastAsia="黑体"/>
              <w:bCs/>
            </w:rPr>
            <w:instrText xml:space="preserve"> HYPERLINK \l _Toc27599 </w:instrText>
          </w:r>
          <w:r>
            <w:rPr>
              <w:rFonts w:hint="eastAsia" w:eastAsia="黑体"/>
              <w:bCs/>
            </w:rPr>
            <w:fldChar w:fldCharType="separate"/>
          </w:r>
          <w:r>
            <w:rPr>
              <w:rFonts w:hint="eastAsia" w:ascii="宋体" w:hAnsi="宋体" w:eastAsia="宋体" w:cs="宋体"/>
            </w:rPr>
            <w:t xml:space="preserve">1. </w:t>
          </w:r>
          <w:r>
            <w:rPr>
              <w:rFonts w:hint="eastAsia"/>
            </w:rPr>
            <w:t>项目</w:t>
          </w:r>
          <w:r>
            <w:rPr>
              <w:rFonts w:hint="eastAsia"/>
              <w:lang w:val="en-US" w:eastAsia="zh-CN"/>
            </w:rPr>
            <w:t>进场申请</w:t>
          </w:r>
          <w:r>
            <w:tab/>
          </w:r>
          <w:r>
            <w:fldChar w:fldCharType="begin"/>
          </w:r>
          <w:r>
            <w:instrText xml:space="preserve"> PAGEREF _Toc27599 \h </w:instrText>
          </w:r>
          <w:r>
            <w:fldChar w:fldCharType="separate"/>
          </w:r>
          <w:r>
            <w:t>2</w:t>
          </w:r>
          <w:r>
            <w:fldChar w:fldCharType="end"/>
          </w:r>
          <w:r>
            <w:rPr>
              <w:rFonts w:hint="eastAsia" w:eastAsia="黑体"/>
              <w:bCs/>
            </w:rPr>
            <w:fldChar w:fldCharType="end"/>
          </w:r>
        </w:p>
        <w:p w14:paraId="05C05CFA">
          <w:pPr>
            <w:pStyle w:val="14"/>
            <w:tabs>
              <w:tab w:val="right" w:leader="dot" w:pos="8306"/>
            </w:tabs>
          </w:pPr>
          <w:r>
            <w:rPr>
              <w:rFonts w:hint="eastAsia" w:eastAsia="黑体"/>
              <w:bCs/>
            </w:rPr>
            <w:fldChar w:fldCharType="begin"/>
          </w:r>
          <w:r>
            <w:rPr>
              <w:rFonts w:hint="eastAsia" w:eastAsia="黑体"/>
              <w:bCs/>
            </w:rPr>
            <w:instrText xml:space="preserve"> HYPERLINK \l _Toc26496 </w:instrText>
          </w:r>
          <w:r>
            <w:rPr>
              <w:rFonts w:hint="eastAsia" w:eastAsia="黑体"/>
              <w:bCs/>
            </w:rPr>
            <w:fldChar w:fldCharType="separate"/>
          </w:r>
          <w:r>
            <w:rPr>
              <w:rFonts w:hint="eastAsia" w:ascii="宋体" w:hAnsi="宋体" w:eastAsia="宋体" w:cs="宋体"/>
            </w:rPr>
            <w:t xml:space="preserve">2. </w:t>
          </w:r>
          <w:r>
            <w:rPr>
              <w:rFonts w:hint="eastAsia"/>
            </w:rPr>
            <w:t>项目录入</w:t>
          </w:r>
          <w:r>
            <w:tab/>
          </w:r>
          <w:r>
            <w:fldChar w:fldCharType="begin"/>
          </w:r>
          <w:r>
            <w:instrText xml:space="preserve"> PAGEREF _Toc26496 \h </w:instrText>
          </w:r>
          <w:r>
            <w:fldChar w:fldCharType="separate"/>
          </w:r>
          <w:r>
            <w:t>4</w:t>
          </w:r>
          <w:r>
            <w:fldChar w:fldCharType="end"/>
          </w:r>
          <w:r>
            <w:rPr>
              <w:rFonts w:hint="eastAsia" w:eastAsia="黑体"/>
              <w:bCs/>
            </w:rPr>
            <w:fldChar w:fldCharType="end"/>
          </w:r>
        </w:p>
        <w:p w14:paraId="41BCC5DE">
          <w:pPr>
            <w:pStyle w:val="14"/>
            <w:tabs>
              <w:tab w:val="right" w:leader="dot" w:pos="8306"/>
            </w:tabs>
          </w:pPr>
          <w:r>
            <w:rPr>
              <w:rFonts w:hint="eastAsia" w:eastAsia="黑体"/>
              <w:bCs/>
            </w:rPr>
            <w:fldChar w:fldCharType="begin"/>
          </w:r>
          <w:r>
            <w:rPr>
              <w:rFonts w:hint="eastAsia" w:eastAsia="黑体"/>
              <w:bCs/>
            </w:rPr>
            <w:instrText xml:space="preserve"> HYPERLINK \l _Toc27380 </w:instrText>
          </w:r>
          <w:r>
            <w:rPr>
              <w:rFonts w:hint="eastAsia" w:eastAsia="黑体"/>
              <w:bCs/>
            </w:rPr>
            <w:fldChar w:fldCharType="separate"/>
          </w:r>
          <w:r>
            <w:rPr>
              <w:rFonts w:hint="eastAsia" w:ascii="宋体" w:hAnsi="宋体" w:eastAsia="宋体" w:cs="宋体"/>
            </w:rPr>
            <w:t xml:space="preserve">3. </w:t>
          </w:r>
          <w:r>
            <w:rPr>
              <w:rFonts w:hint="eastAsia"/>
            </w:rPr>
            <w:t>项目查询</w:t>
          </w:r>
          <w:r>
            <w:tab/>
          </w:r>
          <w:r>
            <w:fldChar w:fldCharType="begin"/>
          </w:r>
          <w:r>
            <w:instrText xml:space="preserve"> PAGEREF _Toc27380 \h </w:instrText>
          </w:r>
          <w:r>
            <w:fldChar w:fldCharType="separate"/>
          </w:r>
          <w:r>
            <w:t>14</w:t>
          </w:r>
          <w:r>
            <w:fldChar w:fldCharType="end"/>
          </w:r>
          <w:r>
            <w:rPr>
              <w:rFonts w:hint="eastAsia" w:eastAsia="黑体"/>
              <w:bCs/>
            </w:rPr>
            <w:fldChar w:fldCharType="end"/>
          </w:r>
        </w:p>
        <w:p w14:paraId="2D146BEC">
          <w:pPr>
            <w:pStyle w:val="2"/>
            <w:tabs>
              <w:tab w:val="right" w:leader="dot" w:pos="8306"/>
            </w:tabs>
          </w:pPr>
          <w:r>
            <w:rPr>
              <w:rFonts w:hint="eastAsia" w:eastAsia="黑体"/>
              <w:bCs/>
            </w:rPr>
            <w:fldChar w:fldCharType="begin"/>
          </w:r>
          <w:r>
            <w:rPr>
              <w:rFonts w:hint="eastAsia" w:eastAsia="黑体"/>
              <w:bCs/>
            </w:rPr>
            <w:instrText xml:space="preserve"> HYPERLINK \l _Toc6766 </w:instrText>
          </w:r>
          <w:r>
            <w:rPr>
              <w:rFonts w:hint="eastAsia" w:eastAsia="黑体"/>
              <w:bCs/>
            </w:rPr>
            <w:fldChar w:fldCharType="separate"/>
          </w:r>
          <w:r>
            <w:rPr>
              <w:rFonts w:hint="eastAsia" w:ascii="宋体" w:hAnsi="宋体" w:eastAsia="宋体" w:cs="宋体"/>
            </w:rPr>
            <w:t xml:space="preserve">（二） </w:t>
          </w:r>
          <w:r>
            <w:rPr>
              <w:rFonts w:hint="eastAsia"/>
            </w:rPr>
            <w:t>项目开评标设置</w:t>
          </w:r>
          <w:r>
            <w:tab/>
          </w:r>
          <w:r>
            <w:fldChar w:fldCharType="begin"/>
          </w:r>
          <w:r>
            <w:instrText xml:space="preserve"> PAGEREF _Toc6766 \h </w:instrText>
          </w:r>
          <w:r>
            <w:fldChar w:fldCharType="separate"/>
          </w:r>
          <w:r>
            <w:t>15</w:t>
          </w:r>
          <w:r>
            <w:fldChar w:fldCharType="end"/>
          </w:r>
          <w:r>
            <w:rPr>
              <w:rFonts w:hint="eastAsia" w:eastAsia="黑体"/>
              <w:bCs/>
            </w:rPr>
            <w:fldChar w:fldCharType="end"/>
          </w:r>
        </w:p>
        <w:p w14:paraId="6628C6DA">
          <w:pPr>
            <w:pStyle w:val="14"/>
            <w:tabs>
              <w:tab w:val="right" w:leader="dot" w:pos="8306"/>
            </w:tabs>
          </w:pPr>
          <w:r>
            <w:rPr>
              <w:rFonts w:hint="eastAsia" w:eastAsia="黑体"/>
              <w:bCs/>
            </w:rPr>
            <w:fldChar w:fldCharType="begin"/>
          </w:r>
          <w:r>
            <w:rPr>
              <w:rFonts w:hint="eastAsia" w:eastAsia="黑体"/>
              <w:bCs/>
            </w:rPr>
            <w:instrText xml:space="preserve"> HYPERLINK \l _Toc17967 </w:instrText>
          </w:r>
          <w:r>
            <w:rPr>
              <w:rFonts w:hint="eastAsia" w:eastAsia="黑体"/>
              <w:bCs/>
            </w:rPr>
            <w:fldChar w:fldCharType="separate"/>
          </w:r>
          <w:r>
            <w:rPr>
              <w:rFonts w:hint="eastAsia" w:ascii="宋体" w:hAnsi="宋体" w:eastAsia="宋体" w:cs="宋体"/>
            </w:rPr>
            <w:t xml:space="preserve">1. </w:t>
          </w:r>
          <w:r>
            <w:rPr>
              <w:rFonts w:hint="eastAsia"/>
            </w:rPr>
            <w:t>开标主持人设置</w:t>
          </w:r>
          <w:r>
            <w:tab/>
          </w:r>
          <w:r>
            <w:fldChar w:fldCharType="begin"/>
          </w:r>
          <w:r>
            <w:instrText xml:space="preserve"> PAGEREF _Toc17967 \h </w:instrText>
          </w:r>
          <w:r>
            <w:fldChar w:fldCharType="separate"/>
          </w:r>
          <w:r>
            <w:t>15</w:t>
          </w:r>
          <w:r>
            <w:fldChar w:fldCharType="end"/>
          </w:r>
          <w:r>
            <w:rPr>
              <w:rFonts w:hint="eastAsia" w:eastAsia="黑体"/>
              <w:bCs/>
            </w:rPr>
            <w:fldChar w:fldCharType="end"/>
          </w:r>
        </w:p>
        <w:p w14:paraId="626143BB">
          <w:pPr>
            <w:pStyle w:val="2"/>
            <w:tabs>
              <w:tab w:val="right" w:leader="dot" w:pos="8306"/>
            </w:tabs>
          </w:pPr>
          <w:r>
            <w:rPr>
              <w:rFonts w:hint="eastAsia" w:eastAsia="黑体"/>
              <w:bCs/>
            </w:rPr>
            <w:fldChar w:fldCharType="begin"/>
          </w:r>
          <w:r>
            <w:rPr>
              <w:rFonts w:hint="eastAsia" w:eastAsia="黑体"/>
              <w:bCs/>
            </w:rPr>
            <w:instrText xml:space="preserve"> HYPERLINK \l _Toc7506 </w:instrText>
          </w:r>
          <w:r>
            <w:rPr>
              <w:rFonts w:hint="eastAsia" w:eastAsia="黑体"/>
              <w:bCs/>
            </w:rPr>
            <w:fldChar w:fldCharType="separate"/>
          </w:r>
          <w:r>
            <w:rPr>
              <w:rFonts w:hint="eastAsia" w:ascii="宋体" w:hAnsi="宋体" w:eastAsia="宋体" w:cs="宋体"/>
            </w:rPr>
            <w:t xml:space="preserve">（三） </w:t>
          </w:r>
          <w:r>
            <w:rPr>
              <w:rFonts w:hint="eastAsia"/>
            </w:rPr>
            <w:t>电子评标项目：开标及评标</w:t>
          </w:r>
          <w:r>
            <w:tab/>
          </w:r>
          <w:r>
            <w:fldChar w:fldCharType="begin"/>
          </w:r>
          <w:r>
            <w:instrText xml:space="preserve"> PAGEREF _Toc7506 \h </w:instrText>
          </w:r>
          <w:r>
            <w:fldChar w:fldCharType="separate"/>
          </w:r>
          <w:r>
            <w:t>16</w:t>
          </w:r>
          <w:r>
            <w:fldChar w:fldCharType="end"/>
          </w:r>
          <w:r>
            <w:rPr>
              <w:rFonts w:hint="eastAsia" w:eastAsia="黑体"/>
              <w:bCs/>
            </w:rPr>
            <w:fldChar w:fldCharType="end"/>
          </w:r>
        </w:p>
        <w:p w14:paraId="2D7B56A2">
          <w:pPr>
            <w:pStyle w:val="14"/>
            <w:tabs>
              <w:tab w:val="right" w:leader="dot" w:pos="8306"/>
            </w:tabs>
          </w:pPr>
          <w:r>
            <w:rPr>
              <w:rFonts w:hint="eastAsia" w:eastAsia="黑体"/>
              <w:bCs/>
            </w:rPr>
            <w:fldChar w:fldCharType="begin"/>
          </w:r>
          <w:r>
            <w:rPr>
              <w:rFonts w:hint="eastAsia" w:eastAsia="黑体"/>
              <w:bCs/>
            </w:rPr>
            <w:instrText xml:space="preserve"> HYPERLINK \l _Toc11746 </w:instrText>
          </w:r>
          <w:r>
            <w:rPr>
              <w:rFonts w:hint="eastAsia" w:eastAsia="黑体"/>
              <w:bCs/>
            </w:rPr>
            <w:fldChar w:fldCharType="separate"/>
          </w:r>
          <w:r>
            <w:rPr>
              <w:rFonts w:hint="eastAsia" w:ascii="宋体" w:hAnsi="宋体" w:eastAsia="宋体" w:cs="宋体"/>
            </w:rPr>
            <w:t xml:space="preserve">1. </w:t>
          </w:r>
          <w:r>
            <w:rPr>
              <w:rFonts w:hint="eastAsia"/>
            </w:rPr>
            <w:t>开标会议</w:t>
          </w:r>
          <w:r>
            <w:tab/>
          </w:r>
          <w:r>
            <w:fldChar w:fldCharType="begin"/>
          </w:r>
          <w:r>
            <w:instrText xml:space="preserve"> PAGEREF _Toc11746 \h </w:instrText>
          </w:r>
          <w:r>
            <w:fldChar w:fldCharType="separate"/>
          </w:r>
          <w:r>
            <w:t>17</w:t>
          </w:r>
          <w:r>
            <w:fldChar w:fldCharType="end"/>
          </w:r>
          <w:r>
            <w:rPr>
              <w:rFonts w:hint="eastAsia" w:eastAsia="黑体"/>
              <w:bCs/>
            </w:rPr>
            <w:fldChar w:fldCharType="end"/>
          </w:r>
        </w:p>
        <w:p w14:paraId="74C7F57F">
          <w:pPr>
            <w:pStyle w:val="14"/>
            <w:tabs>
              <w:tab w:val="right" w:leader="dot" w:pos="8306"/>
            </w:tabs>
          </w:pPr>
          <w:r>
            <w:rPr>
              <w:rFonts w:hint="eastAsia" w:eastAsia="黑体"/>
              <w:bCs/>
            </w:rPr>
            <w:fldChar w:fldCharType="begin"/>
          </w:r>
          <w:r>
            <w:rPr>
              <w:rFonts w:hint="eastAsia" w:eastAsia="黑体"/>
              <w:bCs/>
            </w:rPr>
            <w:instrText xml:space="preserve"> HYPERLINK \l _Toc2742 </w:instrText>
          </w:r>
          <w:r>
            <w:rPr>
              <w:rFonts w:hint="eastAsia" w:eastAsia="黑体"/>
              <w:bCs/>
            </w:rPr>
            <w:fldChar w:fldCharType="separate"/>
          </w:r>
          <w:r>
            <w:rPr>
              <w:rFonts w:hint="eastAsia" w:ascii="宋体" w:hAnsi="宋体" w:eastAsia="宋体" w:cs="宋体"/>
            </w:rPr>
            <w:t xml:space="preserve">2. </w:t>
          </w:r>
          <w:r>
            <w:rPr>
              <w:rFonts w:hint="eastAsia"/>
              <w:lang w:val="en-US" w:eastAsia="zh-CN"/>
            </w:rPr>
            <w:t>第二信封开标</w:t>
          </w:r>
          <w:r>
            <w:tab/>
          </w:r>
          <w:r>
            <w:fldChar w:fldCharType="begin"/>
          </w:r>
          <w:r>
            <w:instrText xml:space="preserve"> PAGEREF _Toc2742 \h </w:instrText>
          </w:r>
          <w:r>
            <w:fldChar w:fldCharType="separate"/>
          </w:r>
          <w:r>
            <w:t>21</w:t>
          </w:r>
          <w:r>
            <w:fldChar w:fldCharType="end"/>
          </w:r>
          <w:r>
            <w:rPr>
              <w:rFonts w:hint="eastAsia" w:eastAsia="黑体"/>
              <w:bCs/>
            </w:rPr>
            <w:fldChar w:fldCharType="end"/>
          </w:r>
        </w:p>
        <w:p w14:paraId="1C4A584B">
          <w:pPr>
            <w:pStyle w:val="14"/>
            <w:tabs>
              <w:tab w:val="right" w:leader="dot" w:pos="8306"/>
            </w:tabs>
          </w:pPr>
          <w:r>
            <w:rPr>
              <w:rFonts w:hint="eastAsia" w:eastAsia="黑体"/>
              <w:bCs/>
            </w:rPr>
            <w:fldChar w:fldCharType="begin"/>
          </w:r>
          <w:r>
            <w:rPr>
              <w:rFonts w:hint="eastAsia" w:eastAsia="黑体"/>
              <w:bCs/>
            </w:rPr>
            <w:instrText xml:space="preserve"> HYPERLINK \l _Toc5983 </w:instrText>
          </w:r>
          <w:r>
            <w:rPr>
              <w:rFonts w:hint="eastAsia" w:eastAsia="黑体"/>
              <w:bCs/>
            </w:rPr>
            <w:fldChar w:fldCharType="separate"/>
          </w:r>
          <w:r>
            <w:rPr>
              <w:rFonts w:hint="eastAsia" w:ascii="宋体" w:hAnsi="宋体" w:eastAsia="宋体" w:cs="宋体"/>
            </w:rPr>
            <w:t xml:space="preserve">3. </w:t>
          </w:r>
          <w:r>
            <w:rPr>
              <w:rFonts w:hint="eastAsia"/>
              <w:lang w:val="en-US" w:eastAsia="zh-CN"/>
            </w:rPr>
            <w:t>中断电子评标</w:t>
          </w:r>
          <w:r>
            <w:tab/>
          </w:r>
          <w:r>
            <w:fldChar w:fldCharType="begin"/>
          </w:r>
          <w:r>
            <w:instrText xml:space="preserve"> PAGEREF _Toc5983 \h </w:instrText>
          </w:r>
          <w:r>
            <w:fldChar w:fldCharType="separate"/>
          </w:r>
          <w:r>
            <w:t>23</w:t>
          </w:r>
          <w:r>
            <w:fldChar w:fldCharType="end"/>
          </w:r>
          <w:r>
            <w:rPr>
              <w:rFonts w:hint="eastAsia" w:eastAsia="黑体"/>
              <w:bCs/>
            </w:rPr>
            <w:fldChar w:fldCharType="end"/>
          </w:r>
        </w:p>
        <w:p w14:paraId="07892F69">
          <w:pPr>
            <w:pStyle w:val="2"/>
            <w:tabs>
              <w:tab w:val="right" w:leader="dot" w:pos="8306"/>
            </w:tabs>
          </w:pPr>
          <w:r>
            <w:rPr>
              <w:rFonts w:hint="eastAsia" w:eastAsia="黑体"/>
              <w:bCs/>
            </w:rPr>
            <w:fldChar w:fldCharType="begin"/>
          </w:r>
          <w:r>
            <w:rPr>
              <w:rFonts w:hint="eastAsia" w:eastAsia="黑体"/>
              <w:bCs/>
            </w:rPr>
            <w:instrText xml:space="preserve"> HYPERLINK \l _Toc23527 </w:instrText>
          </w:r>
          <w:r>
            <w:rPr>
              <w:rFonts w:hint="eastAsia" w:eastAsia="黑体"/>
              <w:bCs/>
            </w:rPr>
            <w:fldChar w:fldCharType="separate"/>
          </w:r>
          <w:r>
            <w:rPr>
              <w:rFonts w:hint="eastAsia" w:ascii="宋体" w:hAnsi="宋体" w:eastAsia="宋体" w:cs="宋体"/>
            </w:rPr>
            <w:t xml:space="preserve">（四） </w:t>
          </w:r>
          <w:r>
            <w:rPr>
              <w:rFonts w:hint="eastAsia"/>
            </w:rPr>
            <w:t>交易结果公示</w:t>
          </w:r>
          <w:r>
            <w:tab/>
          </w:r>
          <w:r>
            <w:fldChar w:fldCharType="begin"/>
          </w:r>
          <w:r>
            <w:instrText xml:space="preserve"> PAGEREF _Toc23527 \h </w:instrText>
          </w:r>
          <w:r>
            <w:fldChar w:fldCharType="separate"/>
          </w:r>
          <w:r>
            <w:t>24</w:t>
          </w:r>
          <w:r>
            <w:fldChar w:fldCharType="end"/>
          </w:r>
          <w:r>
            <w:rPr>
              <w:rFonts w:hint="eastAsia" w:eastAsia="黑体"/>
              <w:bCs/>
            </w:rPr>
            <w:fldChar w:fldCharType="end"/>
          </w:r>
        </w:p>
        <w:p w14:paraId="758D7A18">
          <w:pPr>
            <w:pStyle w:val="14"/>
            <w:tabs>
              <w:tab w:val="right" w:leader="dot" w:pos="8306"/>
            </w:tabs>
          </w:pPr>
          <w:r>
            <w:rPr>
              <w:rFonts w:hint="eastAsia" w:eastAsia="黑体"/>
              <w:bCs/>
            </w:rPr>
            <w:fldChar w:fldCharType="begin"/>
          </w:r>
          <w:r>
            <w:rPr>
              <w:rFonts w:hint="eastAsia" w:eastAsia="黑体"/>
              <w:bCs/>
            </w:rPr>
            <w:instrText xml:space="preserve"> HYPERLINK \l _Toc4855 </w:instrText>
          </w:r>
          <w:r>
            <w:rPr>
              <w:rFonts w:hint="eastAsia" w:eastAsia="黑体"/>
              <w:bCs/>
            </w:rPr>
            <w:fldChar w:fldCharType="separate"/>
          </w:r>
          <w:r>
            <w:rPr>
              <w:rFonts w:hint="eastAsia" w:ascii="宋体" w:hAnsi="宋体" w:eastAsia="宋体" w:cs="宋体"/>
            </w:rPr>
            <w:t xml:space="preserve">1. </w:t>
          </w:r>
          <w:r>
            <w:rPr>
              <w:rFonts w:hint="eastAsia"/>
            </w:rPr>
            <w:t>中标候选人公告</w:t>
          </w:r>
          <w:r>
            <w:tab/>
          </w:r>
          <w:r>
            <w:fldChar w:fldCharType="begin"/>
          </w:r>
          <w:r>
            <w:instrText xml:space="preserve"> PAGEREF _Toc4855 \h </w:instrText>
          </w:r>
          <w:r>
            <w:fldChar w:fldCharType="separate"/>
          </w:r>
          <w:r>
            <w:t>24</w:t>
          </w:r>
          <w:r>
            <w:fldChar w:fldCharType="end"/>
          </w:r>
          <w:r>
            <w:rPr>
              <w:rFonts w:hint="eastAsia" w:eastAsia="黑体"/>
              <w:bCs/>
            </w:rPr>
            <w:fldChar w:fldCharType="end"/>
          </w:r>
        </w:p>
        <w:p w14:paraId="316725DB">
          <w:pPr>
            <w:pStyle w:val="14"/>
            <w:tabs>
              <w:tab w:val="right" w:leader="dot" w:pos="8306"/>
            </w:tabs>
          </w:pPr>
          <w:r>
            <w:rPr>
              <w:rFonts w:hint="eastAsia" w:eastAsia="黑体"/>
              <w:bCs/>
            </w:rPr>
            <w:fldChar w:fldCharType="begin"/>
          </w:r>
          <w:r>
            <w:rPr>
              <w:rFonts w:hint="eastAsia" w:eastAsia="黑体"/>
              <w:bCs/>
            </w:rPr>
            <w:instrText xml:space="preserve"> HYPERLINK \l _Toc21316 </w:instrText>
          </w:r>
          <w:r>
            <w:rPr>
              <w:rFonts w:hint="eastAsia" w:eastAsia="黑体"/>
              <w:bCs/>
            </w:rPr>
            <w:fldChar w:fldCharType="separate"/>
          </w:r>
          <w:r>
            <w:rPr>
              <w:rFonts w:hint="eastAsia" w:ascii="宋体" w:hAnsi="宋体" w:eastAsia="宋体" w:cs="宋体"/>
            </w:rPr>
            <w:t xml:space="preserve">2. </w:t>
          </w:r>
          <w:r>
            <w:rPr>
              <w:rFonts w:hint="eastAsia"/>
            </w:rPr>
            <w:t>交易结果公告</w:t>
          </w:r>
          <w:r>
            <w:tab/>
          </w:r>
          <w:r>
            <w:fldChar w:fldCharType="begin"/>
          </w:r>
          <w:r>
            <w:instrText xml:space="preserve"> PAGEREF _Toc21316 \h </w:instrText>
          </w:r>
          <w:r>
            <w:fldChar w:fldCharType="separate"/>
          </w:r>
          <w:r>
            <w:t>25</w:t>
          </w:r>
          <w:r>
            <w:fldChar w:fldCharType="end"/>
          </w:r>
          <w:r>
            <w:rPr>
              <w:rFonts w:hint="eastAsia" w:eastAsia="黑体"/>
              <w:bCs/>
            </w:rPr>
            <w:fldChar w:fldCharType="end"/>
          </w:r>
        </w:p>
        <w:p w14:paraId="55C050CC">
          <w:pPr>
            <w:pStyle w:val="14"/>
            <w:tabs>
              <w:tab w:val="right" w:leader="dot" w:pos="8306"/>
            </w:tabs>
          </w:pPr>
          <w:r>
            <w:rPr>
              <w:rFonts w:hint="eastAsia" w:eastAsia="黑体"/>
              <w:bCs/>
            </w:rPr>
            <w:fldChar w:fldCharType="begin"/>
          </w:r>
          <w:r>
            <w:rPr>
              <w:rFonts w:hint="eastAsia" w:eastAsia="黑体"/>
              <w:bCs/>
            </w:rPr>
            <w:instrText xml:space="preserve"> HYPERLINK \l _Toc18323 </w:instrText>
          </w:r>
          <w:r>
            <w:rPr>
              <w:rFonts w:hint="eastAsia" w:eastAsia="黑体"/>
              <w:bCs/>
            </w:rPr>
            <w:fldChar w:fldCharType="separate"/>
          </w:r>
          <w:r>
            <w:rPr>
              <w:rFonts w:hint="eastAsia" w:ascii="宋体" w:hAnsi="宋体" w:eastAsia="宋体" w:cs="宋体"/>
            </w:rPr>
            <w:t xml:space="preserve">3. </w:t>
          </w:r>
          <w:r>
            <w:rPr>
              <w:rFonts w:hint="eastAsia"/>
            </w:rPr>
            <w:t>发送中选通知书</w:t>
          </w:r>
          <w:r>
            <w:tab/>
          </w:r>
          <w:r>
            <w:fldChar w:fldCharType="begin"/>
          </w:r>
          <w:r>
            <w:instrText xml:space="preserve"> PAGEREF _Toc18323 \h </w:instrText>
          </w:r>
          <w:r>
            <w:fldChar w:fldCharType="separate"/>
          </w:r>
          <w:r>
            <w:t>26</w:t>
          </w:r>
          <w:r>
            <w:fldChar w:fldCharType="end"/>
          </w:r>
          <w:r>
            <w:rPr>
              <w:rFonts w:hint="eastAsia" w:eastAsia="黑体"/>
              <w:bCs/>
            </w:rPr>
            <w:fldChar w:fldCharType="end"/>
          </w:r>
        </w:p>
        <w:p w14:paraId="0863BC46">
          <w:pPr>
            <w:pStyle w:val="2"/>
            <w:tabs>
              <w:tab w:val="right" w:leader="dot" w:pos="8306"/>
            </w:tabs>
          </w:pPr>
          <w:r>
            <w:rPr>
              <w:rFonts w:hint="eastAsia" w:eastAsia="黑体"/>
              <w:bCs/>
            </w:rPr>
            <w:fldChar w:fldCharType="begin"/>
          </w:r>
          <w:r>
            <w:rPr>
              <w:rFonts w:hint="eastAsia" w:eastAsia="黑体"/>
              <w:bCs/>
            </w:rPr>
            <w:instrText xml:space="preserve"> HYPERLINK \l _Toc23026 </w:instrText>
          </w:r>
          <w:r>
            <w:rPr>
              <w:rFonts w:hint="eastAsia" w:eastAsia="黑体"/>
              <w:bCs/>
            </w:rPr>
            <w:fldChar w:fldCharType="separate"/>
          </w:r>
          <w:r>
            <w:rPr>
              <w:rFonts w:hint="eastAsia" w:ascii="宋体" w:hAnsi="宋体" w:eastAsia="宋体" w:cs="宋体"/>
            </w:rPr>
            <w:t xml:space="preserve">（五） </w:t>
          </w:r>
          <w:r>
            <w:rPr>
              <w:rFonts w:hint="eastAsia"/>
            </w:rPr>
            <w:t>答疑及答疑公告</w:t>
          </w:r>
          <w:r>
            <w:tab/>
          </w:r>
          <w:r>
            <w:fldChar w:fldCharType="begin"/>
          </w:r>
          <w:r>
            <w:instrText xml:space="preserve"> PAGEREF _Toc23026 \h </w:instrText>
          </w:r>
          <w:r>
            <w:fldChar w:fldCharType="separate"/>
          </w:r>
          <w:r>
            <w:t>28</w:t>
          </w:r>
          <w:r>
            <w:fldChar w:fldCharType="end"/>
          </w:r>
          <w:r>
            <w:rPr>
              <w:rFonts w:hint="eastAsia" w:eastAsia="黑体"/>
              <w:bCs/>
            </w:rPr>
            <w:fldChar w:fldCharType="end"/>
          </w:r>
        </w:p>
        <w:p w14:paraId="3EBCBBFB">
          <w:pPr>
            <w:pStyle w:val="14"/>
            <w:tabs>
              <w:tab w:val="right" w:leader="dot" w:pos="8306"/>
            </w:tabs>
          </w:pPr>
          <w:r>
            <w:rPr>
              <w:rFonts w:hint="eastAsia" w:eastAsia="黑体"/>
              <w:bCs/>
            </w:rPr>
            <w:fldChar w:fldCharType="begin"/>
          </w:r>
          <w:r>
            <w:rPr>
              <w:rFonts w:hint="eastAsia" w:eastAsia="黑体"/>
              <w:bCs/>
            </w:rPr>
            <w:instrText xml:space="preserve"> HYPERLINK \l _Toc26658 </w:instrText>
          </w:r>
          <w:r>
            <w:rPr>
              <w:rFonts w:hint="eastAsia" w:eastAsia="黑体"/>
              <w:bCs/>
            </w:rPr>
            <w:fldChar w:fldCharType="separate"/>
          </w:r>
          <w:r>
            <w:rPr>
              <w:rFonts w:hint="eastAsia" w:ascii="宋体" w:hAnsi="宋体" w:eastAsia="宋体" w:cs="宋体"/>
            </w:rPr>
            <w:t xml:space="preserve">1. </w:t>
          </w:r>
          <w:r>
            <w:rPr>
              <w:rFonts w:hint="eastAsia"/>
            </w:rPr>
            <w:t>答疑</w:t>
          </w:r>
          <w:r>
            <w:tab/>
          </w:r>
          <w:r>
            <w:fldChar w:fldCharType="begin"/>
          </w:r>
          <w:r>
            <w:instrText xml:space="preserve"> PAGEREF _Toc26658 \h </w:instrText>
          </w:r>
          <w:r>
            <w:fldChar w:fldCharType="separate"/>
          </w:r>
          <w:r>
            <w:t>28</w:t>
          </w:r>
          <w:r>
            <w:fldChar w:fldCharType="end"/>
          </w:r>
          <w:r>
            <w:rPr>
              <w:rFonts w:hint="eastAsia" w:eastAsia="黑体"/>
              <w:bCs/>
            </w:rPr>
            <w:fldChar w:fldCharType="end"/>
          </w:r>
        </w:p>
        <w:p w14:paraId="02B836BF">
          <w:pPr>
            <w:pStyle w:val="14"/>
            <w:tabs>
              <w:tab w:val="right" w:leader="dot" w:pos="8306"/>
            </w:tabs>
          </w:pPr>
          <w:r>
            <w:rPr>
              <w:rFonts w:hint="eastAsia" w:eastAsia="黑体"/>
              <w:bCs/>
            </w:rPr>
            <w:fldChar w:fldCharType="begin"/>
          </w:r>
          <w:r>
            <w:rPr>
              <w:rFonts w:hint="eastAsia" w:eastAsia="黑体"/>
              <w:bCs/>
            </w:rPr>
            <w:instrText xml:space="preserve"> HYPERLINK \l _Toc29720 </w:instrText>
          </w:r>
          <w:r>
            <w:rPr>
              <w:rFonts w:hint="eastAsia" w:eastAsia="黑体"/>
              <w:bCs/>
            </w:rPr>
            <w:fldChar w:fldCharType="separate"/>
          </w:r>
          <w:r>
            <w:rPr>
              <w:rFonts w:hint="eastAsia" w:ascii="宋体" w:hAnsi="宋体" w:eastAsia="宋体" w:cs="宋体"/>
            </w:rPr>
            <w:t xml:space="preserve">2. </w:t>
          </w:r>
          <w:r>
            <w:rPr>
              <w:rFonts w:hint="eastAsia"/>
            </w:rPr>
            <w:t>发布答疑公告</w:t>
          </w:r>
          <w:r>
            <w:tab/>
          </w:r>
          <w:r>
            <w:fldChar w:fldCharType="begin"/>
          </w:r>
          <w:r>
            <w:instrText xml:space="preserve"> PAGEREF _Toc29720 \h </w:instrText>
          </w:r>
          <w:r>
            <w:fldChar w:fldCharType="separate"/>
          </w:r>
          <w:r>
            <w:t>29</w:t>
          </w:r>
          <w:r>
            <w:fldChar w:fldCharType="end"/>
          </w:r>
          <w:r>
            <w:rPr>
              <w:rFonts w:hint="eastAsia" w:eastAsia="黑体"/>
              <w:bCs/>
            </w:rPr>
            <w:fldChar w:fldCharType="end"/>
          </w:r>
        </w:p>
        <w:p w14:paraId="41D8ECB0">
          <w:pPr>
            <w:pStyle w:val="2"/>
            <w:tabs>
              <w:tab w:val="right" w:leader="dot" w:pos="8306"/>
            </w:tabs>
          </w:pPr>
          <w:r>
            <w:rPr>
              <w:rFonts w:hint="eastAsia" w:eastAsia="黑体"/>
              <w:bCs/>
            </w:rPr>
            <w:fldChar w:fldCharType="begin"/>
          </w:r>
          <w:r>
            <w:rPr>
              <w:rFonts w:hint="eastAsia" w:eastAsia="黑体"/>
              <w:bCs/>
            </w:rPr>
            <w:instrText xml:space="preserve"> HYPERLINK \l _Toc22875 </w:instrText>
          </w:r>
          <w:r>
            <w:rPr>
              <w:rFonts w:hint="eastAsia" w:eastAsia="黑体"/>
              <w:bCs/>
            </w:rPr>
            <w:fldChar w:fldCharType="separate"/>
          </w:r>
          <w:r>
            <w:rPr>
              <w:rFonts w:hint="eastAsia" w:ascii="宋体" w:hAnsi="宋体" w:eastAsia="宋体" w:cs="宋体"/>
            </w:rPr>
            <w:t xml:space="preserve">（六） </w:t>
          </w:r>
          <w:r>
            <w:rPr>
              <w:rFonts w:hint="eastAsia"/>
            </w:rPr>
            <w:t>更正公告</w:t>
          </w:r>
          <w:r>
            <w:tab/>
          </w:r>
          <w:r>
            <w:fldChar w:fldCharType="begin"/>
          </w:r>
          <w:r>
            <w:instrText xml:space="preserve"> PAGEREF _Toc22875 \h </w:instrText>
          </w:r>
          <w:r>
            <w:fldChar w:fldCharType="separate"/>
          </w:r>
          <w:r>
            <w:t>30</w:t>
          </w:r>
          <w:r>
            <w:fldChar w:fldCharType="end"/>
          </w:r>
          <w:r>
            <w:rPr>
              <w:rFonts w:hint="eastAsia" w:eastAsia="黑体"/>
              <w:bCs/>
            </w:rPr>
            <w:fldChar w:fldCharType="end"/>
          </w:r>
        </w:p>
        <w:p w14:paraId="2DBB16D0">
          <w:pPr>
            <w:pStyle w:val="2"/>
            <w:tabs>
              <w:tab w:val="right" w:leader="dot" w:pos="8306"/>
            </w:tabs>
          </w:pPr>
          <w:r>
            <w:rPr>
              <w:rFonts w:hint="eastAsia" w:eastAsia="黑体"/>
              <w:bCs/>
            </w:rPr>
            <w:fldChar w:fldCharType="begin"/>
          </w:r>
          <w:r>
            <w:rPr>
              <w:rFonts w:hint="eastAsia" w:eastAsia="黑体"/>
              <w:bCs/>
            </w:rPr>
            <w:instrText xml:space="preserve"> HYPERLINK \l _Toc18448 </w:instrText>
          </w:r>
          <w:r>
            <w:rPr>
              <w:rFonts w:hint="eastAsia" w:eastAsia="黑体"/>
              <w:bCs/>
            </w:rPr>
            <w:fldChar w:fldCharType="separate"/>
          </w:r>
          <w:r>
            <w:rPr>
              <w:rFonts w:hint="eastAsia" w:ascii="宋体" w:hAnsi="宋体" w:eastAsia="宋体" w:cs="宋体"/>
            </w:rPr>
            <w:t xml:space="preserve">（七） </w:t>
          </w:r>
          <w:r>
            <w:rPr>
              <w:rFonts w:hint="eastAsia"/>
            </w:rPr>
            <w:t>暂停及恢复公告</w:t>
          </w:r>
          <w:r>
            <w:tab/>
          </w:r>
          <w:r>
            <w:fldChar w:fldCharType="begin"/>
          </w:r>
          <w:r>
            <w:instrText xml:space="preserve"> PAGEREF _Toc18448 \h </w:instrText>
          </w:r>
          <w:r>
            <w:fldChar w:fldCharType="separate"/>
          </w:r>
          <w:r>
            <w:t>33</w:t>
          </w:r>
          <w:r>
            <w:fldChar w:fldCharType="end"/>
          </w:r>
          <w:r>
            <w:rPr>
              <w:rFonts w:hint="eastAsia" w:eastAsia="黑体"/>
              <w:bCs/>
            </w:rPr>
            <w:fldChar w:fldCharType="end"/>
          </w:r>
        </w:p>
        <w:p w14:paraId="6923A57F">
          <w:pPr>
            <w:pStyle w:val="14"/>
            <w:tabs>
              <w:tab w:val="right" w:leader="dot" w:pos="8306"/>
            </w:tabs>
          </w:pPr>
          <w:r>
            <w:rPr>
              <w:rFonts w:hint="eastAsia" w:eastAsia="黑体"/>
              <w:bCs/>
            </w:rPr>
            <w:fldChar w:fldCharType="begin"/>
          </w:r>
          <w:r>
            <w:rPr>
              <w:rFonts w:hint="eastAsia" w:eastAsia="黑体"/>
              <w:bCs/>
            </w:rPr>
            <w:instrText xml:space="preserve"> HYPERLINK \l _Toc12963 </w:instrText>
          </w:r>
          <w:r>
            <w:rPr>
              <w:rFonts w:hint="eastAsia" w:eastAsia="黑体"/>
              <w:bCs/>
            </w:rPr>
            <w:fldChar w:fldCharType="separate"/>
          </w:r>
          <w:r>
            <w:rPr>
              <w:rFonts w:hint="eastAsia" w:ascii="宋体" w:hAnsi="宋体" w:eastAsia="宋体" w:cs="宋体"/>
            </w:rPr>
            <w:t xml:space="preserve">1. </w:t>
          </w:r>
          <w:r>
            <w:rPr>
              <w:rFonts w:hint="eastAsia"/>
            </w:rPr>
            <w:t>暂停公告</w:t>
          </w:r>
          <w:r>
            <w:tab/>
          </w:r>
          <w:r>
            <w:fldChar w:fldCharType="begin"/>
          </w:r>
          <w:r>
            <w:instrText xml:space="preserve"> PAGEREF _Toc12963 \h </w:instrText>
          </w:r>
          <w:r>
            <w:fldChar w:fldCharType="separate"/>
          </w:r>
          <w:r>
            <w:t>33</w:t>
          </w:r>
          <w:r>
            <w:fldChar w:fldCharType="end"/>
          </w:r>
          <w:r>
            <w:rPr>
              <w:rFonts w:hint="eastAsia" w:eastAsia="黑体"/>
              <w:bCs/>
            </w:rPr>
            <w:fldChar w:fldCharType="end"/>
          </w:r>
        </w:p>
        <w:p w14:paraId="708857D0">
          <w:pPr>
            <w:pStyle w:val="14"/>
            <w:tabs>
              <w:tab w:val="right" w:leader="dot" w:pos="8306"/>
            </w:tabs>
          </w:pPr>
          <w:r>
            <w:rPr>
              <w:rFonts w:hint="eastAsia" w:eastAsia="黑体"/>
              <w:bCs/>
            </w:rPr>
            <w:fldChar w:fldCharType="begin"/>
          </w:r>
          <w:r>
            <w:rPr>
              <w:rFonts w:hint="eastAsia" w:eastAsia="黑体"/>
              <w:bCs/>
            </w:rPr>
            <w:instrText xml:space="preserve"> HYPERLINK \l _Toc22591 </w:instrText>
          </w:r>
          <w:r>
            <w:rPr>
              <w:rFonts w:hint="eastAsia" w:eastAsia="黑体"/>
              <w:bCs/>
            </w:rPr>
            <w:fldChar w:fldCharType="separate"/>
          </w:r>
          <w:r>
            <w:rPr>
              <w:rFonts w:hint="eastAsia" w:ascii="宋体" w:hAnsi="宋体" w:eastAsia="宋体" w:cs="宋体"/>
            </w:rPr>
            <w:t xml:space="preserve">2. </w:t>
          </w:r>
          <w:r>
            <w:rPr>
              <w:rFonts w:hint="eastAsia"/>
            </w:rPr>
            <w:t>恢复公告</w:t>
          </w:r>
          <w:r>
            <w:tab/>
          </w:r>
          <w:r>
            <w:fldChar w:fldCharType="begin"/>
          </w:r>
          <w:r>
            <w:instrText xml:space="preserve"> PAGEREF _Toc22591 \h </w:instrText>
          </w:r>
          <w:r>
            <w:fldChar w:fldCharType="separate"/>
          </w:r>
          <w:r>
            <w:t>34</w:t>
          </w:r>
          <w:r>
            <w:fldChar w:fldCharType="end"/>
          </w:r>
          <w:r>
            <w:rPr>
              <w:rFonts w:hint="eastAsia" w:eastAsia="黑体"/>
              <w:bCs/>
            </w:rPr>
            <w:fldChar w:fldCharType="end"/>
          </w:r>
        </w:p>
        <w:p w14:paraId="180F254D">
          <w:pPr>
            <w:pStyle w:val="2"/>
            <w:tabs>
              <w:tab w:val="right" w:leader="dot" w:pos="8306"/>
            </w:tabs>
          </w:pPr>
          <w:r>
            <w:rPr>
              <w:rFonts w:hint="eastAsia" w:eastAsia="黑体"/>
              <w:bCs/>
            </w:rPr>
            <w:fldChar w:fldCharType="begin"/>
          </w:r>
          <w:r>
            <w:rPr>
              <w:rFonts w:hint="eastAsia" w:eastAsia="黑体"/>
              <w:bCs/>
            </w:rPr>
            <w:instrText xml:space="preserve"> HYPERLINK \l _Toc23324 </w:instrText>
          </w:r>
          <w:r>
            <w:rPr>
              <w:rFonts w:hint="eastAsia" w:eastAsia="黑体"/>
              <w:bCs/>
            </w:rPr>
            <w:fldChar w:fldCharType="separate"/>
          </w:r>
          <w:r>
            <w:rPr>
              <w:rFonts w:hint="eastAsia" w:ascii="宋体" w:hAnsi="宋体" w:eastAsia="宋体" w:cs="宋体"/>
            </w:rPr>
            <w:t xml:space="preserve">（八） </w:t>
          </w:r>
          <w:r>
            <w:rPr>
              <w:rFonts w:hint="eastAsia"/>
            </w:rPr>
            <w:t>终止公告</w:t>
          </w:r>
          <w:r>
            <w:tab/>
          </w:r>
          <w:r>
            <w:fldChar w:fldCharType="begin"/>
          </w:r>
          <w:r>
            <w:instrText xml:space="preserve"> PAGEREF _Toc23324 \h </w:instrText>
          </w:r>
          <w:r>
            <w:fldChar w:fldCharType="separate"/>
          </w:r>
          <w:r>
            <w:t>36</w:t>
          </w:r>
          <w:r>
            <w:fldChar w:fldCharType="end"/>
          </w:r>
          <w:r>
            <w:rPr>
              <w:rFonts w:hint="eastAsia" w:eastAsia="黑体"/>
              <w:bCs/>
            </w:rPr>
            <w:fldChar w:fldCharType="end"/>
          </w:r>
        </w:p>
        <w:p w14:paraId="709878AA">
          <w:pPr>
            <w:pStyle w:val="19"/>
            <w:tabs>
              <w:tab w:val="right" w:leader="dot" w:pos="8306"/>
            </w:tabs>
          </w:pPr>
          <w:r>
            <w:rPr>
              <w:rFonts w:hint="eastAsia" w:eastAsia="黑体"/>
              <w:bCs/>
            </w:rPr>
            <w:fldChar w:fldCharType="begin"/>
          </w:r>
          <w:r>
            <w:rPr>
              <w:rFonts w:hint="eastAsia" w:eastAsia="黑体"/>
              <w:bCs/>
            </w:rPr>
            <w:instrText xml:space="preserve"> HYPERLINK \l _Toc19556 </w:instrText>
          </w:r>
          <w:r>
            <w:rPr>
              <w:rFonts w:hint="eastAsia" w:eastAsia="黑体"/>
              <w:bCs/>
            </w:rPr>
            <w:fldChar w:fldCharType="separate"/>
          </w:r>
          <w:r>
            <w:rPr>
              <w:rFonts w:hint="eastAsia" w:ascii="宋体" w:hAnsi="宋体" w:eastAsia="宋体" w:cs="宋体"/>
            </w:rPr>
            <w:t xml:space="preserve">三. </w:t>
          </w:r>
          <w:r>
            <w:rPr>
              <w:rFonts w:hint="eastAsia" w:ascii="黑体" w:hAnsi="Calibri" w:eastAsia="黑体" w:cs="Times New Roman"/>
            </w:rPr>
            <w:t>技术支持</w:t>
          </w:r>
          <w:r>
            <w:tab/>
          </w:r>
          <w:r>
            <w:fldChar w:fldCharType="begin"/>
          </w:r>
          <w:r>
            <w:instrText xml:space="preserve"> PAGEREF _Toc19556 \h </w:instrText>
          </w:r>
          <w:r>
            <w:fldChar w:fldCharType="separate"/>
          </w:r>
          <w:r>
            <w:t>37</w:t>
          </w:r>
          <w:r>
            <w:fldChar w:fldCharType="end"/>
          </w:r>
          <w:r>
            <w:rPr>
              <w:rFonts w:hint="eastAsia" w:eastAsia="黑体"/>
              <w:bCs/>
            </w:rPr>
            <w:fldChar w:fldCharType="end"/>
          </w:r>
        </w:p>
        <w:p w14:paraId="373737DD">
          <w:pPr>
            <w:pStyle w:val="2"/>
            <w:tabs>
              <w:tab w:val="right" w:leader="dot" w:pos="8306"/>
            </w:tabs>
          </w:pPr>
          <w:r>
            <w:rPr>
              <w:rFonts w:hint="eastAsia" w:eastAsia="黑体"/>
              <w:bCs/>
            </w:rPr>
            <w:fldChar w:fldCharType="begin"/>
          </w:r>
          <w:r>
            <w:rPr>
              <w:rFonts w:hint="eastAsia" w:eastAsia="黑体"/>
              <w:bCs/>
            </w:rPr>
            <w:instrText xml:space="preserve"> HYPERLINK \l _Toc19489 </w:instrText>
          </w:r>
          <w:r>
            <w:rPr>
              <w:rFonts w:hint="eastAsia" w:eastAsia="黑体"/>
              <w:bCs/>
            </w:rPr>
            <w:fldChar w:fldCharType="separate"/>
          </w:r>
          <w:r>
            <w:rPr>
              <w:rFonts w:hint="eastAsia"/>
              <w:lang w:val="en-US" w:eastAsia="zh-CN"/>
            </w:rPr>
            <w:t>附件一：汕尾市交易服务平台建设工程电子评标配置</w:t>
          </w:r>
          <w:r>
            <w:tab/>
          </w:r>
          <w:r>
            <w:fldChar w:fldCharType="begin"/>
          </w:r>
          <w:r>
            <w:instrText xml:space="preserve"> PAGEREF _Toc19489 \h </w:instrText>
          </w:r>
          <w:r>
            <w:fldChar w:fldCharType="separate"/>
          </w:r>
          <w:r>
            <w:t>38</w:t>
          </w:r>
          <w:r>
            <w:fldChar w:fldCharType="end"/>
          </w:r>
          <w:r>
            <w:rPr>
              <w:rFonts w:hint="eastAsia" w:eastAsia="黑体"/>
              <w:bCs/>
            </w:rPr>
            <w:fldChar w:fldCharType="end"/>
          </w:r>
        </w:p>
        <w:p w14:paraId="6D98D20C">
          <w:pPr>
            <w:jc w:val="center"/>
            <w:rPr>
              <w:rFonts w:eastAsia="黑体"/>
              <w:b/>
              <w:bCs/>
              <w:sz w:val="28"/>
            </w:rPr>
            <w:sectPr>
              <w:footerReference r:id="rId6" w:type="default"/>
              <w:pgSz w:w="11906" w:h="16838"/>
              <w:pgMar w:top="1440" w:right="1800" w:bottom="1440" w:left="1800" w:header="851" w:footer="992" w:gutter="0"/>
              <w:pgNumType w:start="1"/>
              <w:cols w:space="425" w:num="1"/>
              <w:docGrid w:type="lines" w:linePitch="312" w:charSpace="0"/>
            </w:sectPr>
          </w:pPr>
          <w:r>
            <w:rPr>
              <w:rFonts w:hint="eastAsia" w:eastAsia="黑体"/>
              <w:bCs/>
            </w:rPr>
            <w:fldChar w:fldCharType="end"/>
          </w:r>
        </w:p>
      </w:sdtContent>
    </w:sdt>
    <w:p w14:paraId="138C3739">
      <w:pPr>
        <w:pStyle w:val="3"/>
        <w:widowControl w:val="0"/>
        <w:numPr>
          <w:ilvl w:val="0"/>
          <w:numId w:val="2"/>
        </w:numPr>
        <w:adjustRightInd/>
        <w:snapToGrid/>
        <w:ind w:left="420" w:leftChars="0" w:hanging="420" w:firstLineChars="0"/>
        <w:jc w:val="both"/>
        <w:rPr>
          <w:rFonts w:ascii="黑体" w:hAnsi="Calibri" w:eastAsia="黑体" w:cs="Times New Roman"/>
        </w:rPr>
      </w:pPr>
      <w:bookmarkStart w:id="0" w:name="_Toc407200889"/>
      <w:bookmarkStart w:id="1" w:name="_Toc290881815"/>
      <w:bookmarkStart w:id="2" w:name="_Toc8508"/>
      <w:bookmarkStart w:id="3" w:name="_Toc11344"/>
      <w:r>
        <w:rPr>
          <w:rFonts w:hint="eastAsia" w:ascii="黑体" w:hAnsi="Calibri" w:eastAsia="黑体" w:cs="Times New Roman"/>
        </w:rPr>
        <w:t>登录</w:t>
      </w:r>
      <w:bookmarkEnd w:id="0"/>
      <w:bookmarkEnd w:id="1"/>
      <w:bookmarkEnd w:id="2"/>
      <w:bookmarkEnd w:id="3"/>
    </w:p>
    <w:p w14:paraId="0CA7EFD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登录地址：</w:t>
      </w:r>
      <w:r>
        <w:rPr>
          <w:rFonts w:hint="eastAsia"/>
          <w:u w:val="single"/>
        </w:rPr>
        <w:t>https://jy.swggzy.cn/login</w:t>
      </w:r>
    </w:p>
    <w:p w14:paraId="67296F9C">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门户地址：</w:t>
      </w:r>
      <w:r>
        <w:rPr>
          <w:rFonts w:hint="eastAsia"/>
        </w:rPr>
        <w:t>http://www.shanwei.gov.cn/swggzy/</w:t>
      </w:r>
    </w:p>
    <w:p w14:paraId="706A27C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建议使用360浏览器</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版本12.0或以上，极速模式</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w:t>
      </w:r>
    </w:p>
    <w:p w14:paraId="784FF87D">
      <w:pPr>
        <w:widowControl w:val="0"/>
        <w:adjustRightInd/>
        <w:snapToGrid/>
        <w:spacing w:before="62" w:beforeLines="20" w:after="62" w:afterLines="20" w:line="360" w:lineRule="auto"/>
        <w:jc w:val="both"/>
        <w:rPr>
          <w:rFonts w:ascii="宋体" w:hAnsi="宋体" w:eastAsia="宋体" w:cs="Times New Roman"/>
          <w:color w:val="0000FF"/>
          <w:kern w:val="2"/>
          <w:sz w:val="24"/>
          <w:szCs w:val="24"/>
        </w:rPr>
      </w:pPr>
      <w:r>
        <w:drawing>
          <wp:inline distT="0" distB="0" distL="114300" distR="114300">
            <wp:extent cx="5266690" cy="2510155"/>
            <wp:effectExtent l="0" t="0" r="6350" b="444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8"/>
                    <a:stretch>
                      <a:fillRect/>
                    </a:stretch>
                  </pic:blipFill>
                  <pic:spPr>
                    <a:xfrm>
                      <a:off x="0" y="0"/>
                      <a:ext cx="5266690" cy="2510155"/>
                    </a:xfrm>
                    <a:prstGeom prst="rect">
                      <a:avLst/>
                    </a:prstGeom>
                    <a:noFill/>
                    <a:ln>
                      <a:noFill/>
                    </a:ln>
                  </pic:spPr>
                </pic:pic>
              </a:graphicData>
            </a:graphic>
          </wp:inline>
        </w:drawing>
      </w:r>
    </w:p>
    <w:p w14:paraId="0D6F121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进入登录界面，输入正确的用户名和密码，然后点击【登录】，即可进入系统。</w:t>
      </w:r>
    </w:p>
    <w:p w14:paraId="22DF2FF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登录系统后，在首页面板可以看到待处理的待办事项。点击其中一个待办事项可以快速进行业务办理。</w:t>
      </w:r>
    </w:p>
    <w:p w14:paraId="47FF8B20">
      <w:pPr>
        <w:pStyle w:val="3"/>
        <w:widowControl w:val="0"/>
        <w:numPr>
          <w:ilvl w:val="0"/>
          <w:numId w:val="2"/>
        </w:numPr>
        <w:adjustRightInd/>
        <w:snapToGrid/>
        <w:ind w:left="420" w:leftChars="0" w:hanging="420" w:firstLineChars="0"/>
        <w:jc w:val="both"/>
        <w:rPr>
          <w:rFonts w:ascii="黑体" w:hAnsi="Calibri" w:eastAsia="黑体" w:cs="Times New Roman"/>
        </w:rPr>
      </w:pPr>
      <w:bookmarkStart w:id="4" w:name="_Toc14441"/>
      <w:bookmarkStart w:id="5" w:name="_Toc14521"/>
      <w:r>
        <w:rPr>
          <w:rFonts w:hint="eastAsia" w:ascii="黑体" w:hAnsi="Calibri" w:eastAsia="黑体" w:cs="Times New Roman"/>
        </w:rPr>
        <w:t>业务操作说明</w:t>
      </w:r>
      <w:bookmarkEnd w:id="4"/>
      <w:bookmarkEnd w:id="5"/>
    </w:p>
    <w:p w14:paraId="06964932">
      <w:pPr>
        <w:jc w:val="center"/>
        <w:rPr>
          <w:rFonts w:hint="eastAsia" w:eastAsia="微软雅黑"/>
          <w:lang w:eastAsia="zh-CN"/>
        </w:rPr>
      </w:pPr>
    </w:p>
    <w:p w14:paraId="71D892DC">
      <w:pPr>
        <w:pStyle w:val="4"/>
        <w:bidi w:val="0"/>
        <w:ind w:left="575" w:leftChars="0" w:hanging="575" w:firstLineChars="0"/>
      </w:pPr>
      <w:bookmarkStart w:id="6" w:name="_Toc3575"/>
      <w:r>
        <w:rPr>
          <w:rFonts w:hint="eastAsia"/>
        </w:rPr>
        <w:t>交易发布</w:t>
      </w:r>
      <w:bookmarkEnd w:id="6"/>
    </w:p>
    <w:p w14:paraId="7650C704">
      <w:pPr>
        <w:pStyle w:val="5"/>
        <w:bidi w:val="0"/>
        <w:ind w:left="720" w:leftChars="0" w:hanging="720" w:firstLineChars="0"/>
      </w:pPr>
      <w:bookmarkStart w:id="7" w:name="_Toc27599"/>
      <w:r>
        <w:rPr>
          <w:rFonts w:hint="eastAsia"/>
        </w:rPr>
        <w:t>项目</w:t>
      </w:r>
      <w:r>
        <w:rPr>
          <w:rFonts w:hint="eastAsia"/>
          <w:lang w:val="en-US" w:eastAsia="zh-CN"/>
        </w:rPr>
        <w:t>进场申请</w:t>
      </w:r>
      <w:bookmarkEnd w:id="7"/>
    </w:p>
    <w:p w14:paraId="4E187738">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”，可以对需要进场交易的项目进行</w:t>
      </w:r>
      <w:r>
        <w:rPr>
          <w:rFonts w:hint="eastAsia" w:ascii="宋体" w:hAnsi="宋体" w:eastAsia="宋体" w:cs="Times New Roman"/>
          <w:kern w:val="2"/>
          <w:sz w:val="24"/>
          <w:szCs w:val="24"/>
          <w:lang w:val="en-US" w:eastAsia="zh-CN"/>
        </w:rPr>
        <w:t>申请</w:t>
      </w:r>
      <w:r>
        <w:rPr>
          <w:rFonts w:hint="eastAsia" w:ascii="宋体" w:hAnsi="宋体" w:eastAsia="宋体" w:cs="Times New Roman"/>
          <w:kern w:val="2"/>
          <w:sz w:val="24"/>
          <w:szCs w:val="24"/>
        </w:rPr>
        <w:t>。</w:t>
      </w:r>
    </w:p>
    <w:p w14:paraId="175D5886">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点击按钮“申请进场</w:t>
      </w:r>
      <w:r>
        <w:rPr>
          <w:rFonts w:hint="eastAsia" w:ascii="宋体" w:hAnsi="宋体" w:eastAsia="宋体" w:cs="Times New Roman"/>
          <w:kern w:val="2"/>
          <w:sz w:val="24"/>
          <w:szCs w:val="24"/>
          <w:lang w:val="en-US" w:eastAsia="zh-CN"/>
        </w:rPr>
        <w:t>交易</w:t>
      </w:r>
      <w:r>
        <w:rPr>
          <w:rFonts w:hint="eastAsia" w:ascii="宋体" w:hAnsi="宋体" w:eastAsia="宋体" w:cs="Times New Roman"/>
          <w:kern w:val="2"/>
          <w:sz w:val="24"/>
          <w:szCs w:val="24"/>
        </w:rPr>
        <w:t>”，可以进入建设工程交易</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申请页面</w:t>
      </w:r>
      <w:r>
        <w:rPr>
          <w:rFonts w:hint="eastAsia" w:ascii="宋体" w:hAnsi="宋体" w:eastAsia="宋体" w:cs="Times New Roman"/>
          <w:kern w:val="2"/>
          <w:sz w:val="24"/>
          <w:szCs w:val="24"/>
          <w:lang w:val="en-US" w:eastAsia="zh-CN"/>
        </w:rPr>
        <w:t>填写进场</w:t>
      </w:r>
      <w:r>
        <w:rPr>
          <w:rFonts w:hint="eastAsia" w:ascii="宋体" w:hAnsi="宋体" w:eastAsia="宋体" w:cs="Times New Roman"/>
          <w:kern w:val="2"/>
          <w:sz w:val="24"/>
          <w:szCs w:val="24"/>
        </w:rPr>
        <w:t>交易项目</w:t>
      </w:r>
      <w:r>
        <w:rPr>
          <w:rFonts w:hint="eastAsia" w:ascii="宋体" w:hAnsi="宋体" w:eastAsia="宋体" w:cs="Times New Roman"/>
          <w:kern w:val="2"/>
          <w:sz w:val="24"/>
          <w:szCs w:val="24"/>
          <w:lang w:val="en-US" w:eastAsia="zh-CN"/>
        </w:rPr>
        <w:t>信息</w:t>
      </w:r>
      <w:r>
        <w:rPr>
          <w:rFonts w:hint="eastAsia" w:ascii="宋体" w:hAnsi="宋体" w:eastAsia="宋体" w:cs="Times New Roman"/>
          <w:kern w:val="2"/>
          <w:sz w:val="24"/>
          <w:szCs w:val="24"/>
        </w:rPr>
        <w:t>。点击列表操作栏的“编辑”链接，可以对一个</w:t>
      </w:r>
      <w:r>
        <w:rPr>
          <w:rFonts w:hint="eastAsia" w:ascii="宋体" w:hAnsi="宋体" w:eastAsia="宋体" w:cs="Times New Roman"/>
          <w:kern w:val="2"/>
          <w:sz w:val="24"/>
          <w:szCs w:val="24"/>
          <w:lang w:val="en-US" w:eastAsia="zh-CN"/>
        </w:rPr>
        <w:t>进场申请</w:t>
      </w:r>
      <w:r>
        <w:rPr>
          <w:rFonts w:hint="eastAsia" w:ascii="宋体" w:hAnsi="宋体" w:eastAsia="宋体" w:cs="Times New Roman"/>
          <w:kern w:val="2"/>
          <w:sz w:val="24"/>
          <w:szCs w:val="24"/>
        </w:rPr>
        <w:t>进行编辑。</w:t>
      </w:r>
    </w:p>
    <w:p w14:paraId="5AD0F8D0">
      <w:r>
        <w:drawing>
          <wp:inline distT="0" distB="0" distL="114300" distR="114300">
            <wp:extent cx="5266690" cy="2285365"/>
            <wp:effectExtent l="0" t="0" r="6350" b="635"/>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9"/>
                    <a:stretch>
                      <a:fillRect/>
                    </a:stretch>
                  </pic:blipFill>
                  <pic:spPr>
                    <a:xfrm>
                      <a:off x="0" y="0"/>
                      <a:ext cx="5266690" cy="2285365"/>
                    </a:xfrm>
                    <a:prstGeom prst="rect">
                      <a:avLst/>
                    </a:prstGeom>
                    <a:noFill/>
                    <a:ln>
                      <a:noFill/>
                    </a:ln>
                  </pic:spPr>
                </pic:pic>
              </a:graphicData>
            </a:graphic>
          </wp:inline>
        </w:drawing>
      </w:r>
    </w:p>
    <w:p w14:paraId="2265D150">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rPr>
        <w:t>新增和编辑项目</w:t>
      </w:r>
      <w:r>
        <w:rPr>
          <w:rFonts w:hint="eastAsia" w:ascii="宋体" w:hAnsi="宋体" w:eastAsia="宋体" w:cs="Times New Roman"/>
          <w:kern w:val="2"/>
          <w:sz w:val="24"/>
          <w:szCs w:val="24"/>
          <w:lang w:val="en-US" w:eastAsia="zh-CN"/>
        </w:rPr>
        <w:t>进场</w:t>
      </w:r>
      <w:r>
        <w:rPr>
          <w:rFonts w:hint="eastAsia" w:ascii="宋体" w:hAnsi="宋体" w:eastAsia="宋体" w:cs="Times New Roman"/>
          <w:kern w:val="2"/>
          <w:sz w:val="24"/>
          <w:szCs w:val="24"/>
        </w:rPr>
        <w:t>时，</w:t>
      </w:r>
      <w:r>
        <w:rPr>
          <w:rFonts w:hint="eastAsia" w:ascii="宋体" w:hAnsi="宋体" w:eastAsia="宋体" w:cs="Times New Roman"/>
          <w:kern w:val="2"/>
          <w:sz w:val="24"/>
          <w:szCs w:val="24"/>
          <w:lang w:val="en-US" w:eastAsia="zh-CN"/>
        </w:rPr>
        <w:t>填写相关项目信息。</w:t>
      </w:r>
    </w:p>
    <w:p w14:paraId="23A18EDF">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“招标项目类型”以及“招标类型”</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必须选择准确，如果选择错误，可能会对后续填写的内容以及评标方法造成影响。</w:t>
      </w:r>
    </w:p>
    <w:p w14:paraId="22202A84">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选择“交易场所”，是指由市中心还是由区县分中心进行交易处理。</w:t>
      </w:r>
    </w:p>
    <w:p w14:paraId="5D4C45D5">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选择评标</w:t>
      </w:r>
      <w:r>
        <w:rPr>
          <w:rFonts w:hint="eastAsia" w:ascii="宋体" w:hAnsi="宋体" w:eastAsia="宋体" w:cs="Times New Roman"/>
          <w:kern w:val="2"/>
          <w:sz w:val="24"/>
          <w:szCs w:val="24"/>
          <w:lang w:val="en-US" w:eastAsia="zh-CN"/>
        </w:rPr>
        <w:t>方式</w:t>
      </w:r>
      <w:r>
        <w:rPr>
          <w:rFonts w:hint="eastAsia" w:ascii="宋体" w:hAnsi="宋体" w:eastAsia="宋体" w:cs="Times New Roman"/>
          <w:kern w:val="2"/>
          <w:sz w:val="24"/>
          <w:szCs w:val="24"/>
        </w:rPr>
        <w:t>：电子评标或非电子评标。电子评标是指投标人投标时需要上传电子投标文件，评标专家在评标时使用系统进行评标。</w:t>
      </w:r>
      <w:r>
        <w:rPr>
          <w:rFonts w:hint="eastAsia" w:ascii="宋体" w:hAnsi="宋体" w:eastAsia="宋体" w:cs="Times New Roman"/>
          <w:kern w:val="2"/>
          <w:sz w:val="24"/>
          <w:szCs w:val="24"/>
          <w:lang w:eastAsia="zh-CN"/>
        </w:rPr>
        <w:t>（</w:t>
      </w:r>
      <w:r>
        <w:rPr>
          <w:rFonts w:hint="eastAsia" w:ascii="宋体" w:hAnsi="宋体" w:eastAsia="宋体" w:cs="Times New Roman"/>
          <w:color w:val="FF0000"/>
          <w:kern w:val="2"/>
          <w:sz w:val="24"/>
          <w:szCs w:val="24"/>
          <w:lang w:val="en-US" w:eastAsia="zh-CN"/>
        </w:rPr>
        <w:t>目前电子评标支持房建市政类、水利类、公路类项目</w:t>
      </w:r>
      <w:r>
        <w:rPr>
          <w:rFonts w:hint="eastAsia" w:ascii="宋体" w:hAnsi="宋体" w:eastAsia="宋体" w:cs="Times New Roman"/>
          <w:kern w:val="2"/>
          <w:sz w:val="24"/>
          <w:szCs w:val="24"/>
          <w:lang w:eastAsia="zh-CN"/>
        </w:rPr>
        <w:t>）</w:t>
      </w:r>
    </w:p>
    <w:p w14:paraId="35341772">
      <w:r>
        <w:drawing>
          <wp:inline distT="0" distB="0" distL="114300" distR="114300">
            <wp:extent cx="5266690" cy="2949575"/>
            <wp:effectExtent l="0" t="0" r="6350" b="6985"/>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10"/>
                    <a:stretch>
                      <a:fillRect/>
                    </a:stretch>
                  </pic:blipFill>
                  <pic:spPr>
                    <a:xfrm>
                      <a:off x="0" y="0"/>
                      <a:ext cx="5266690" cy="2949575"/>
                    </a:xfrm>
                    <a:prstGeom prst="rect">
                      <a:avLst/>
                    </a:prstGeom>
                    <a:noFill/>
                    <a:ln>
                      <a:noFill/>
                    </a:ln>
                  </pic:spPr>
                </pic:pic>
              </a:graphicData>
            </a:graphic>
          </wp:inline>
        </w:drawing>
      </w:r>
    </w:p>
    <w:p w14:paraId="4E2F116D">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选择</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项目招标人</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如果招标人还没有注册入库，需提醒招标人在交易平台注册账号</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填写招标人、代理机构相关信息。</w:t>
      </w:r>
    </w:p>
    <w:p w14:paraId="4F92E4B7">
      <w:pPr>
        <w:widowControl w:val="0"/>
        <w:adjustRightInd/>
        <w:snapToGrid/>
        <w:spacing w:before="62" w:beforeLines="20" w:after="62" w:afterLines="20" w:line="360" w:lineRule="auto"/>
        <w:ind w:firstLine="439" w:firstLineChars="183"/>
        <w:jc w:val="both"/>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点击“初始化相关审批附件”，生成需要上传的审批附件记录，然后点击“上传附件”上传相关文件。如果一类文件有多个的，可以点击“追加上传”增加一个上传记录。</w:t>
      </w:r>
    </w:p>
    <w:p w14:paraId="0EBAC235">
      <w:pPr>
        <w:widowControl w:val="0"/>
        <w:adjustRightInd/>
        <w:snapToGrid/>
        <w:spacing w:before="62" w:beforeLines="20" w:after="62" w:afterLines="20" w:line="360" w:lineRule="auto"/>
        <w:ind w:firstLine="439" w:firstLineChars="183"/>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也可以直接点击“新增”来添加需要上传的审批附件类型。</w:t>
      </w:r>
    </w:p>
    <w:p w14:paraId="194F13E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1"/>
                    <a:stretch>
                      <a:fillRect/>
                    </a:stretch>
                  </pic:blipFill>
                  <pic:spPr>
                    <a:xfrm>
                      <a:off x="0" y="0"/>
                      <a:ext cx="5266690" cy="2510155"/>
                    </a:xfrm>
                    <a:prstGeom prst="rect">
                      <a:avLst/>
                    </a:prstGeom>
                    <a:noFill/>
                    <a:ln>
                      <a:noFill/>
                    </a:ln>
                  </pic:spPr>
                </pic:pic>
              </a:graphicData>
            </a:graphic>
          </wp:inline>
        </w:drawing>
      </w:r>
    </w:p>
    <w:p w14:paraId="3525C8E7">
      <w:pPr>
        <w:widowControl w:val="0"/>
        <w:adjustRightInd/>
        <w:snapToGrid/>
        <w:spacing w:before="62" w:beforeLines="20" w:after="62" w:afterLines="20" w:line="360" w:lineRule="auto"/>
        <w:jc w:val="both"/>
        <w:rPr>
          <w:rFonts w:hint="default" w:eastAsia="微软雅黑"/>
          <w:lang w:val="en-US" w:eastAsia="zh-CN"/>
        </w:rPr>
      </w:pPr>
      <w:r>
        <w:rPr>
          <w:rFonts w:hint="eastAsia"/>
          <w:lang w:val="en-US" w:eastAsia="zh-CN"/>
        </w:rPr>
        <w:t xml:space="preserve">    在进场其他附件右侧点击“上次”进行上传其他的附件文件。</w:t>
      </w:r>
    </w:p>
    <w:p w14:paraId="0A46B57C">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lang w:val="en-US" w:eastAsia="zh-CN"/>
        </w:rPr>
        <w:t>信息都填写完成，相关文件上传完成后，点击“提交进场申请”，提交到招标人进行交易进场确认。</w:t>
      </w:r>
    </w:p>
    <w:p w14:paraId="223F629E">
      <w:r>
        <w:drawing>
          <wp:inline distT="0" distB="0" distL="114300" distR="114300">
            <wp:extent cx="5264785" cy="1198880"/>
            <wp:effectExtent l="0" t="0" r="8255" b="508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2"/>
                    <a:stretch>
                      <a:fillRect/>
                    </a:stretch>
                  </pic:blipFill>
                  <pic:spPr>
                    <a:xfrm>
                      <a:off x="0" y="0"/>
                      <a:ext cx="5264785" cy="1198880"/>
                    </a:xfrm>
                    <a:prstGeom prst="rect">
                      <a:avLst/>
                    </a:prstGeom>
                    <a:noFill/>
                    <a:ln>
                      <a:noFill/>
                    </a:ln>
                  </pic:spPr>
                </pic:pic>
              </a:graphicData>
            </a:graphic>
          </wp:inline>
        </w:drawing>
      </w:r>
    </w:p>
    <w:p w14:paraId="2854AEED">
      <w:pPr>
        <w:pStyle w:val="5"/>
        <w:bidi w:val="0"/>
        <w:ind w:left="720" w:leftChars="0" w:hanging="720" w:firstLineChars="0"/>
      </w:pPr>
      <w:bookmarkStart w:id="8" w:name="_Toc26496"/>
      <w:r>
        <w:rPr>
          <w:rFonts w:hint="eastAsia"/>
        </w:rPr>
        <w:t>项目录入</w:t>
      </w:r>
      <w:bookmarkEnd w:id="8"/>
    </w:p>
    <w:p w14:paraId="01391B26">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代理机构点击菜单“交易发布 &gt; 交易项目录入”，可以对</w:t>
      </w:r>
      <w:r>
        <w:rPr>
          <w:rFonts w:hint="eastAsia" w:ascii="宋体" w:hAnsi="宋体" w:eastAsia="宋体" w:cs="Times New Roman"/>
          <w:kern w:val="2"/>
          <w:sz w:val="24"/>
          <w:szCs w:val="24"/>
          <w:lang w:val="en-US" w:eastAsia="zh-CN"/>
        </w:rPr>
        <w:t>已经进场受理通过的项目</w:t>
      </w:r>
      <w:r>
        <w:rPr>
          <w:rFonts w:hint="eastAsia" w:ascii="宋体" w:hAnsi="宋体" w:eastAsia="宋体" w:cs="Times New Roman"/>
          <w:kern w:val="2"/>
          <w:sz w:val="24"/>
          <w:szCs w:val="24"/>
        </w:rPr>
        <w:t>进行录入处理。</w:t>
      </w:r>
    </w:p>
    <w:p w14:paraId="6647BD9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点击列表操作栏的“编辑”链接，可以对一个交易项目进行编辑。</w:t>
      </w:r>
    </w:p>
    <w:p w14:paraId="3AB84FCF">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4831715" cy="2101215"/>
            <wp:effectExtent l="0" t="0" r="14605" b="1905"/>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
                    <pic:cNvPicPr>
                      <a:picLocks noChangeAspect="1"/>
                    </pic:cNvPicPr>
                  </pic:nvPicPr>
                  <pic:blipFill>
                    <a:blip r:embed="rId13"/>
                    <a:stretch>
                      <a:fillRect/>
                    </a:stretch>
                  </pic:blipFill>
                  <pic:spPr>
                    <a:xfrm>
                      <a:off x="0" y="0"/>
                      <a:ext cx="4831715" cy="2101215"/>
                    </a:xfrm>
                    <a:prstGeom prst="rect">
                      <a:avLst/>
                    </a:prstGeom>
                    <a:noFill/>
                    <a:ln>
                      <a:noFill/>
                    </a:ln>
                  </pic:spPr>
                </pic:pic>
              </a:graphicData>
            </a:graphic>
          </wp:inline>
        </w:drawing>
      </w:r>
    </w:p>
    <w:p w14:paraId="5F69FB53">
      <w:pPr>
        <w:widowControl w:val="0"/>
        <w:adjustRightInd/>
        <w:snapToGrid/>
        <w:spacing w:before="62" w:beforeLines="20" w:after="62" w:afterLines="20" w:line="360" w:lineRule="auto"/>
        <w:ind w:firstLine="439" w:firstLineChars="183"/>
        <w:jc w:val="both"/>
        <w:rPr>
          <w:rFonts w:hint="default" w:eastAsia="宋体"/>
          <w:lang w:val="en-US" w:eastAsia="zh-CN"/>
        </w:rPr>
      </w:pPr>
      <w:r>
        <w:rPr>
          <w:rFonts w:hint="eastAsia" w:ascii="宋体" w:hAnsi="宋体" w:eastAsia="宋体" w:cs="Times New Roman"/>
          <w:kern w:val="2"/>
          <w:sz w:val="24"/>
          <w:szCs w:val="24"/>
        </w:rPr>
        <w:t>然后填写项目</w:t>
      </w:r>
      <w:r>
        <w:rPr>
          <w:rFonts w:hint="eastAsia" w:ascii="宋体" w:hAnsi="宋体" w:eastAsia="宋体" w:cs="Times New Roman"/>
          <w:kern w:val="2"/>
          <w:sz w:val="24"/>
          <w:szCs w:val="24"/>
          <w:lang w:val="en-US" w:eastAsia="zh-CN"/>
        </w:rPr>
        <w:t>相关</w:t>
      </w:r>
      <w:r>
        <w:rPr>
          <w:rFonts w:hint="eastAsia" w:ascii="宋体" w:hAnsi="宋体" w:eastAsia="宋体" w:cs="Times New Roman"/>
          <w:kern w:val="2"/>
          <w:sz w:val="24"/>
          <w:szCs w:val="24"/>
        </w:rPr>
        <w:t>信息，包括招标条件以及工程信息。</w:t>
      </w:r>
      <w:r>
        <w:rPr>
          <w:rFonts w:hint="eastAsia" w:ascii="宋体" w:hAnsi="宋体" w:eastAsia="宋体" w:cs="Times New Roman"/>
          <w:kern w:val="2"/>
          <w:sz w:val="24"/>
          <w:szCs w:val="24"/>
          <w:lang w:val="en-US" w:eastAsia="zh-CN"/>
        </w:rPr>
        <w:t>备案监督部门，需要选择正确的监管部门，如果监管部门没有开通相关账号，请联系交易中心。</w:t>
      </w:r>
    </w:p>
    <w:p w14:paraId="0AEB08D4">
      <w:pPr>
        <w:widowControl w:val="0"/>
        <w:adjustRightInd/>
        <w:snapToGrid/>
        <w:spacing w:before="62" w:beforeLines="20" w:after="62" w:afterLines="20" w:line="360" w:lineRule="auto"/>
        <w:jc w:val="both"/>
      </w:pPr>
      <w:r>
        <w:drawing>
          <wp:inline distT="0" distB="0" distL="114300" distR="114300">
            <wp:extent cx="4883785" cy="2931160"/>
            <wp:effectExtent l="0" t="0" r="8255" b="10160"/>
            <wp:docPr id="6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
                    <pic:cNvPicPr>
                      <a:picLocks noChangeAspect="1"/>
                    </pic:cNvPicPr>
                  </pic:nvPicPr>
                  <pic:blipFill>
                    <a:blip r:embed="rId14"/>
                    <a:stretch>
                      <a:fillRect/>
                    </a:stretch>
                  </pic:blipFill>
                  <pic:spPr>
                    <a:xfrm>
                      <a:off x="0" y="0"/>
                      <a:ext cx="4883785" cy="2931160"/>
                    </a:xfrm>
                    <a:prstGeom prst="rect">
                      <a:avLst/>
                    </a:prstGeom>
                    <a:noFill/>
                    <a:ln>
                      <a:noFill/>
                    </a:ln>
                  </pic:spPr>
                </pic:pic>
              </a:graphicData>
            </a:graphic>
          </wp:inline>
        </w:drawing>
      </w:r>
      <w:r>
        <w:rPr>
          <w:rFonts w:hint="eastAsia"/>
        </w:rPr>
        <w:t xml:space="preserve"> </w:t>
      </w:r>
    </w:p>
    <w:p w14:paraId="2CF753D4">
      <w:pPr>
        <w:widowControl w:val="0"/>
        <w:adjustRightInd/>
        <w:snapToGrid/>
        <w:spacing w:before="62" w:beforeLines="20" w:after="62" w:afterLines="20" w:line="360" w:lineRule="auto"/>
        <w:ind w:firstLine="439" w:firstLineChars="183"/>
        <w:jc w:val="both"/>
      </w:pPr>
      <w:r>
        <w:rPr>
          <w:rFonts w:hint="eastAsia" w:ascii="宋体" w:hAnsi="宋体" w:eastAsia="宋体" w:cs="Times New Roman"/>
          <w:kern w:val="2"/>
          <w:sz w:val="24"/>
          <w:szCs w:val="24"/>
        </w:rPr>
        <w:t>“招标项目类型”以及“招标类型”必须选择准确，如果选择错误，可能会对后续填写的内容以及评标方法造成影响。</w:t>
      </w:r>
    </w:p>
    <w:p w14:paraId="59732EE3">
      <w:pPr>
        <w:widowControl w:val="0"/>
        <w:adjustRightInd/>
        <w:snapToGrid/>
        <w:spacing w:before="62" w:beforeLines="20" w:after="62" w:afterLines="20" w:line="360" w:lineRule="auto"/>
        <w:jc w:val="both"/>
      </w:pPr>
      <w:r>
        <w:drawing>
          <wp:inline distT="0" distB="0" distL="114300" distR="114300">
            <wp:extent cx="5273675" cy="3143885"/>
            <wp:effectExtent l="0" t="0" r="14605" b="10795"/>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15"/>
                    <a:stretch>
                      <a:fillRect/>
                    </a:stretch>
                  </pic:blipFill>
                  <pic:spPr>
                    <a:xfrm>
                      <a:off x="0" y="0"/>
                      <a:ext cx="5273675" cy="3143885"/>
                    </a:xfrm>
                    <a:prstGeom prst="rect">
                      <a:avLst/>
                    </a:prstGeom>
                    <a:noFill/>
                    <a:ln>
                      <a:noFill/>
                    </a:ln>
                  </pic:spPr>
                </pic:pic>
              </a:graphicData>
            </a:graphic>
          </wp:inline>
        </w:drawing>
      </w:r>
    </w:p>
    <w:p w14:paraId="663E9071">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7E8FB1F9">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招标方式可以选择“公开招标”，如果允许联合投标，“是否允许联合投标”选“是”，并且填写联合体成员数。</w:t>
      </w:r>
    </w:p>
    <w:p w14:paraId="2425D872">
      <w:pPr>
        <w:rPr>
          <w:rFonts w:ascii="宋体" w:hAnsi="宋体" w:eastAsia="宋体" w:cs="Times New Roman"/>
          <w:kern w:val="2"/>
          <w:sz w:val="24"/>
          <w:szCs w:val="24"/>
        </w:rPr>
      </w:pPr>
      <w:r>
        <w:drawing>
          <wp:inline distT="0" distB="0" distL="114300" distR="114300">
            <wp:extent cx="5272405" cy="692785"/>
            <wp:effectExtent l="0" t="0" r="635" b="8255"/>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6"/>
                    <a:stretch>
                      <a:fillRect/>
                    </a:stretch>
                  </pic:blipFill>
                  <pic:spPr>
                    <a:xfrm>
                      <a:off x="0" y="0"/>
                      <a:ext cx="5272405" cy="692785"/>
                    </a:xfrm>
                    <a:prstGeom prst="rect">
                      <a:avLst/>
                    </a:prstGeom>
                    <a:noFill/>
                    <a:ln>
                      <a:noFill/>
                    </a:ln>
                  </pic:spPr>
                </pic:pic>
              </a:graphicData>
            </a:graphic>
          </wp:inline>
        </w:drawing>
      </w:r>
    </w:p>
    <w:p w14:paraId="5F8C2492">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点击按钮“新建”，可以进入建设工程招标项目标段编辑页面。点击列表操作栏的“编辑”链接，可以编辑一个项目标段。</w:t>
      </w:r>
    </w:p>
    <w:p w14:paraId="251005CB">
      <w:pPr>
        <w:rPr>
          <w:rFonts w:ascii="宋体" w:hAnsi="宋体" w:eastAsia="宋体" w:cs="Times New Roman"/>
          <w:kern w:val="2"/>
          <w:sz w:val="24"/>
          <w:szCs w:val="24"/>
        </w:rPr>
      </w:pPr>
      <w:r>
        <w:drawing>
          <wp:inline distT="0" distB="0" distL="114300" distR="114300">
            <wp:extent cx="5267960" cy="1346835"/>
            <wp:effectExtent l="0" t="0" r="5080" b="9525"/>
            <wp:docPr id="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pic:cNvPicPr>
                      <a:picLocks noChangeAspect="1"/>
                    </pic:cNvPicPr>
                  </pic:nvPicPr>
                  <pic:blipFill>
                    <a:blip r:embed="rId17"/>
                    <a:stretch>
                      <a:fillRect/>
                    </a:stretch>
                  </pic:blipFill>
                  <pic:spPr>
                    <a:xfrm>
                      <a:off x="0" y="0"/>
                      <a:ext cx="5267960" cy="1346835"/>
                    </a:xfrm>
                    <a:prstGeom prst="rect">
                      <a:avLst/>
                    </a:prstGeom>
                    <a:noFill/>
                    <a:ln>
                      <a:noFill/>
                    </a:ln>
                  </pic:spPr>
                </pic:pic>
              </a:graphicData>
            </a:graphic>
          </wp:inline>
        </w:drawing>
      </w:r>
    </w:p>
    <w:p w14:paraId="36D4D74C">
      <w:pPr>
        <w:spacing w:before="62" w:beforeLines="20" w:after="12" w:afterLines="4" w:line="360" w:lineRule="auto"/>
        <w:ind w:firstLine="420"/>
      </w:pPr>
      <w:r>
        <w:rPr>
          <w:rFonts w:hint="eastAsia" w:ascii="宋体" w:hAnsi="宋体" w:eastAsia="宋体" w:cs="Times New Roman"/>
          <w:kern w:val="2"/>
          <w:sz w:val="24"/>
          <w:szCs w:val="24"/>
        </w:rPr>
        <w:t>新增和编辑项目标段时，需要填写标段信息、标段价格等信息</w:t>
      </w:r>
      <w:r>
        <w:rPr>
          <w:rFonts w:hint="eastAsia"/>
        </w:rPr>
        <w:t>。</w:t>
      </w:r>
    </w:p>
    <w:p w14:paraId="7634E138">
      <w:pPr>
        <w:rPr>
          <w:rFonts w:ascii="宋体" w:hAnsi="宋体" w:eastAsia="宋体" w:cs="Times New Roman"/>
          <w:kern w:val="2"/>
          <w:sz w:val="24"/>
          <w:szCs w:val="24"/>
        </w:rPr>
      </w:pPr>
      <w:r>
        <w:drawing>
          <wp:inline distT="0" distB="0" distL="114300" distR="114300">
            <wp:extent cx="5273675" cy="2771775"/>
            <wp:effectExtent l="0" t="0" r="14605" b="1905"/>
            <wp:docPr id="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5"/>
                    <pic:cNvPicPr>
                      <a:picLocks noChangeAspect="1"/>
                    </pic:cNvPicPr>
                  </pic:nvPicPr>
                  <pic:blipFill>
                    <a:blip r:embed="rId18"/>
                    <a:stretch>
                      <a:fillRect/>
                    </a:stretch>
                  </pic:blipFill>
                  <pic:spPr>
                    <a:xfrm>
                      <a:off x="0" y="0"/>
                      <a:ext cx="5273675" cy="2771775"/>
                    </a:xfrm>
                    <a:prstGeom prst="rect">
                      <a:avLst/>
                    </a:prstGeom>
                    <a:noFill/>
                    <a:ln>
                      <a:noFill/>
                    </a:ln>
                  </pic:spPr>
                </pic:pic>
              </a:graphicData>
            </a:graphic>
          </wp:inline>
        </w:drawing>
      </w:r>
    </w:p>
    <w:p w14:paraId="46F29EDF">
      <w:pPr>
        <w:rPr>
          <w:rFonts w:ascii="宋体" w:hAnsi="宋体" w:eastAsia="宋体" w:cs="Times New Roman"/>
          <w:kern w:val="2"/>
          <w:sz w:val="24"/>
          <w:szCs w:val="24"/>
        </w:rPr>
      </w:pPr>
      <w:r>
        <w:drawing>
          <wp:inline distT="0" distB="0" distL="114300" distR="114300">
            <wp:extent cx="5266690" cy="1213485"/>
            <wp:effectExtent l="0" t="0" r="6350" b="5715"/>
            <wp:docPr id="7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6"/>
                    <pic:cNvPicPr>
                      <a:picLocks noChangeAspect="1"/>
                    </pic:cNvPicPr>
                  </pic:nvPicPr>
                  <pic:blipFill>
                    <a:blip r:embed="rId19"/>
                    <a:stretch>
                      <a:fillRect/>
                    </a:stretch>
                  </pic:blipFill>
                  <pic:spPr>
                    <a:xfrm>
                      <a:off x="0" y="0"/>
                      <a:ext cx="5266690" cy="1213485"/>
                    </a:xfrm>
                    <a:prstGeom prst="rect">
                      <a:avLst/>
                    </a:prstGeom>
                    <a:noFill/>
                    <a:ln>
                      <a:noFill/>
                    </a:ln>
                  </pic:spPr>
                </pic:pic>
              </a:graphicData>
            </a:graphic>
          </wp:inline>
        </w:drawing>
      </w:r>
    </w:p>
    <w:p w14:paraId="7D5E10F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企业资质要求在标段这里设置，不同的标段可以设置不同的资质要求。点击“编辑”进行资质要求编辑。（注意：编辑之前，请先暂存标段）</w:t>
      </w:r>
    </w:p>
    <w:p w14:paraId="792CC548">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69230" cy="494665"/>
            <wp:effectExtent l="0" t="0" r="3810" b="8255"/>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0"/>
                    <a:stretch>
                      <a:fillRect/>
                    </a:stretch>
                  </pic:blipFill>
                  <pic:spPr>
                    <a:xfrm>
                      <a:off x="0" y="0"/>
                      <a:ext cx="5269230" cy="494665"/>
                    </a:xfrm>
                    <a:prstGeom prst="rect">
                      <a:avLst/>
                    </a:prstGeom>
                    <a:noFill/>
                    <a:ln>
                      <a:noFill/>
                    </a:ln>
                  </pic:spPr>
                </pic:pic>
              </a:graphicData>
            </a:graphic>
          </wp:inline>
        </w:drawing>
      </w:r>
    </w:p>
    <w:p w14:paraId="790DA4C0">
      <w:pPr>
        <w:spacing w:before="62" w:beforeLines="20" w:after="12" w:afterLines="4" w:line="360" w:lineRule="auto"/>
        <w:ind w:firstLine="420"/>
        <w:rPr>
          <w:rFonts w:hint="default" w:ascii="宋体" w:hAnsi="宋体" w:eastAsia="宋体" w:cs="Times New Roman"/>
          <w:kern w:val="2"/>
          <w:sz w:val="24"/>
          <w:szCs w:val="24"/>
          <w:lang w:val="en-US"/>
        </w:rPr>
      </w:pPr>
      <w:r>
        <w:rPr>
          <w:rFonts w:hint="eastAsia" w:ascii="宋体" w:hAnsi="宋体" w:eastAsia="宋体" w:cs="Times New Roman"/>
          <w:kern w:val="2"/>
          <w:sz w:val="24"/>
          <w:szCs w:val="24"/>
          <w:lang w:val="en-US" w:eastAsia="zh-CN"/>
        </w:rPr>
        <w:t>在弹出来的资质编辑页面，点击“新增”可以增加企业资质要求，在“资质等级”这里设置该资质的等级要求。所用到的企业资质都添加之后，点击“初始化资质公式”，然后再“资质判断公式”中对资质逻辑关系进行录入。录入后点击“验证资质公式”，确认逻辑关系公式无误之后，点击“保存”按钮可以保存资质。</w:t>
      </w:r>
    </w:p>
    <w:p w14:paraId="1CB58193">
      <w:pPr>
        <w:spacing w:before="62" w:beforeLines="20" w:after="12" w:afterLines="4" w:line="360" w:lineRule="auto"/>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lang w:eastAsia="zh-CN"/>
        </w:rPr>
        <w:drawing>
          <wp:inline distT="0" distB="0" distL="114300" distR="114300">
            <wp:extent cx="5262880" cy="2295525"/>
            <wp:effectExtent l="0" t="0" r="10160" b="5715"/>
            <wp:docPr id="42" name="图片 42" descr="499765abdb3de1305efcfa81033d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499765abdb3de1305efcfa81033de61"/>
                    <pic:cNvPicPr>
                      <a:picLocks noChangeAspect="1"/>
                    </pic:cNvPicPr>
                  </pic:nvPicPr>
                  <pic:blipFill>
                    <a:blip r:embed="rId21"/>
                    <a:stretch>
                      <a:fillRect/>
                    </a:stretch>
                  </pic:blipFill>
                  <pic:spPr>
                    <a:xfrm>
                      <a:off x="0" y="0"/>
                      <a:ext cx="5262880" cy="2295525"/>
                    </a:xfrm>
                    <a:prstGeom prst="rect">
                      <a:avLst/>
                    </a:prstGeom>
                  </pic:spPr>
                </pic:pic>
              </a:graphicData>
            </a:graphic>
          </wp:inline>
        </w:drawing>
      </w:r>
    </w:p>
    <w:p w14:paraId="01AE6276">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在“人员资质要求”栏目点击按钮“新增”，可以添加项目</w:t>
      </w:r>
      <w:r>
        <w:rPr>
          <w:rFonts w:hint="eastAsia" w:ascii="宋体" w:hAnsi="宋体" w:eastAsia="宋体" w:cs="Times New Roman"/>
          <w:kern w:val="2"/>
          <w:sz w:val="24"/>
          <w:szCs w:val="24"/>
          <w:lang w:val="en-US" w:eastAsia="zh-CN"/>
        </w:rPr>
        <w:t>管理</w:t>
      </w:r>
      <w:r>
        <w:rPr>
          <w:rFonts w:hint="eastAsia" w:ascii="宋体" w:hAnsi="宋体" w:eastAsia="宋体" w:cs="Times New Roman"/>
          <w:kern w:val="2"/>
          <w:sz w:val="24"/>
          <w:szCs w:val="24"/>
        </w:rPr>
        <w:t>人员要求。</w:t>
      </w:r>
    </w:p>
    <w:p w14:paraId="62FF7E5F">
      <w:r>
        <w:drawing>
          <wp:inline distT="0" distB="0" distL="114300" distR="114300">
            <wp:extent cx="5270500" cy="734060"/>
            <wp:effectExtent l="0" t="0" r="2540" b="12700"/>
            <wp:docPr id="7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7"/>
                    <pic:cNvPicPr>
                      <a:picLocks noChangeAspect="1"/>
                    </pic:cNvPicPr>
                  </pic:nvPicPr>
                  <pic:blipFill>
                    <a:blip r:embed="rId22"/>
                    <a:stretch>
                      <a:fillRect/>
                    </a:stretch>
                  </pic:blipFill>
                  <pic:spPr>
                    <a:xfrm>
                      <a:off x="0" y="0"/>
                      <a:ext cx="5270500" cy="734060"/>
                    </a:xfrm>
                    <a:prstGeom prst="rect">
                      <a:avLst/>
                    </a:prstGeom>
                    <a:noFill/>
                    <a:ln>
                      <a:noFill/>
                    </a:ln>
                  </pic:spPr>
                </pic:pic>
              </a:graphicData>
            </a:graphic>
          </wp:inline>
        </w:drawing>
      </w:r>
    </w:p>
    <w:p w14:paraId="51B702CE">
      <w:pPr>
        <w:rPr>
          <w:rFonts w:ascii="宋体" w:hAnsi="宋体" w:eastAsia="宋体" w:cs="Times New Roman"/>
          <w:kern w:val="2"/>
          <w:sz w:val="24"/>
          <w:szCs w:val="24"/>
        </w:rPr>
      </w:pPr>
    </w:p>
    <w:p w14:paraId="3D2E1B31">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在招标文件栏目，点击“上传”可以上传招标文件。</w:t>
      </w:r>
    </w:p>
    <w:p w14:paraId="42D2DCA5">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在标段附件栏目，点击按钮“上传附件”，可以上传施工图、招标工程量清单等文件。</w:t>
      </w:r>
    </w:p>
    <w:p w14:paraId="639CD24D">
      <w:pPr>
        <w:rPr>
          <w:rFonts w:ascii="宋体" w:hAnsi="宋体" w:eastAsia="宋体" w:cs="Times New Roman"/>
          <w:kern w:val="2"/>
          <w:sz w:val="24"/>
          <w:szCs w:val="24"/>
        </w:rPr>
      </w:pPr>
      <w:r>
        <w:drawing>
          <wp:inline distT="0" distB="0" distL="114300" distR="114300">
            <wp:extent cx="5266055" cy="1289050"/>
            <wp:effectExtent l="0" t="0" r="6985" b="6350"/>
            <wp:docPr id="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8"/>
                    <pic:cNvPicPr>
                      <a:picLocks noChangeAspect="1"/>
                    </pic:cNvPicPr>
                  </pic:nvPicPr>
                  <pic:blipFill>
                    <a:blip r:embed="rId23"/>
                    <a:stretch>
                      <a:fillRect/>
                    </a:stretch>
                  </pic:blipFill>
                  <pic:spPr>
                    <a:xfrm>
                      <a:off x="0" y="0"/>
                      <a:ext cx="5266055" cy="1289050"/>
                    </a:xfrm>
                    <a:prstGeom prst="rect">
                      <a:avLst/>
                    </a:prstGeom>
                    <a:noFill/>
                    <a:ln>
                      <a:noFill/>
                    </a:ln>
                  </pic:spPr>
                </pic:pic>
              </a:graphicData>
            </a:graphic>
          </wp:inline>
        </w:drawing>
      </w:r>
    </w:p>
    <w:p w14:paraId="72B64066">
      <w:pPr>
        <w:spacing w:before="62" w:beforeLines="20" w:after="12" w:afterLines="4" w:line="360" w:lineRule="auto"/>
        <w:ind w:firstLine="420"/>
        <w:rPr>
          <w:rFonts w:ascii="宋体" w:hAnsi="宋体" w:eastAsia="宋体" w:cs="Times New Roman"/>
          <w:kern w:val="2"/>
          <w:sz w:val="24"/>
          <w:szCs w:val="24"/>
        </w:rPr>
      </w:pPr>
    </w:p>
    <w:p w14:paraId="5A49AE98">
      <w:pPr>
        <w:spacing w:before="62" w:beforeLines="20" w:after="12" w:afterLines="4"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标段的“资格条件”、“形式评审、响应性评审”、“详细评审”这几个栏目的内容，在“电子评标”类项目，是电子评标的依据</w:t>
      </w:r>
      <w:r>
        <w:rPr>
          <w:rFonts w:hint="eastAsia" w:ascii="宋体" w:hAnsi="宋体" w:eastAsia="宋体" w:cs="Times New Roman"/>
          <w:kern w:val="2"/>
          <w:sz w:val="24"/>
          <w:szCs w:val="24"/>
          <w:lang w:eastAsia="zh-CN"/>
        </w:rPr>
        <w:t>。</w:t>
      </w:r>
    </w:p>
    <w:p w14:paraId="0B367F33">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资格条件”，点击按钮“新增”，可以新增投标人资格评审项目。资格条件可以录入多条，点击“新增”可以新增一条资格条件，点击“删除”可以删除一条资格条件。编辑资格条件记录时，需要填写：</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录入的内容，都会成为电子评标的资格评审项目。</w:t>
      </w:r>
    </w:p>
    <w:p w14:paraId="2022CF5C">
      <w:pPr>
        <w:rPr>
          <w:rFonts w:ascii="宋体" w:hAnsi="宋体" w:eastAsia="宋体" w:cs="Times New Roman"/>
          <w:kern w:val="2"/>
          <w:sz w:val="24"/>
          <w:szCs w:val="24"/>
        </w:rPr>
      </w:pPr>
      <w:r>
        <w:drawing>
          <wp:inline distT="0" distB="0" distL="114300" distR="114300">
            <wp:extent cx="5269865" cy="2581275"/>
            <wp:effectExtent l="0" t="0" r="3175" b="9525"/>
            <wp:docPr id="8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9"/>
                    <pic:cNvPicPr>
                      <a:picLocks noChangeAspect="1"/>
                    </pic:cNvPicPr>
                  </pic:nvPicPr>
                  <pic:blipFill>
                    <a:blip r:embed="rId24"/>
                    <a:stretch>
                      <a:fillRect/>
                    </a:stretch>
                  </pic:blipFill>
                  <pic:spPr>
                    <a:xfrm>
                      <a:off x="0" y="0"/>
                      <a:ext cx="5269865" cy="2581275"/>
                    </a:xfrm>
                    <a:prstGeom prst="rect">
                      <a:avLst/>
                    </a:prstGeom>
                    <a:noFill/>
                    <a:ln>
                      <a:noFill/>
                    </a:ln>
                  </pic:spPr>
                </pic:pic>
              </a:graphicData>
            </a:graphic>
          </wp:inline>
        </w:drawing>
      </w:r>
    </w:p>
    <w:p w14:paraId="08E6ADDF">
      <w:pPr>
        <w:spacing w:before="62" w:beforeLines="20" w:after="12" w:afterLines="4"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rPr>
        <w:t>点击标签页“</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评审”，点击按钮“新增”，可以新增审查项目。</w:t>
      </w:r>
      <w:r>
        <w:rPr>
          <w:rFonts w:hint="eastAsia" w:ascii="宋体" w:hAnsi="宋体" w:eastAsia="宋体" w:cs="Times New Roman"/>
          <w:kern w:val="2"/>
          <w:sz w:val="24"/>
          <w:szCs w:val="24"/>
          <w:lang w:val="en-US" w:eastAsia="zh-CN"/>
        </w:rPr>
        <w:t>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r>
        <w:rPr>
          <w:rFonts w:hint="eastAsia" w:ascii="宋体" w:hAnsi="宋体" w:eastAsia="宋体" w:cs="Times New Roman"/>
          <w:kern w:val="2"/>
          <w:sz w:val="24"/>
          <w:szCs w:val="24"/>
        </w:rPr>
        <w:t>可以录入多条，点击“新增”可以新增</w:t>
      </w:r>
      <w:r>
        <w:rPr>
          <w:rFonts w:hint="eastAsia" w:ascii="宋体" w:hAnsi="宋体" w:eastAsia="宋体" w:cs="Times New Roman"/>
          <w:kern w:val="2"/>
          <w:sz w:val="24"/>
          <w:szCs w:val="24"/>
          <w:lang w:val="en-US" w:eastAsia="zh-CN"/>
        </w:rPr>
        <w:t>一条</w:t>
      </w:r>
      <w:r>
        <w:rPr>
          <w:rFonts w:hint="eastAsia" w:ascii="宋体" w:hAnsi="宋体" w:eastAsia="宋体" w:cs="Times New Roman"/>
          <w:kern w:val="2"/>
          <w:sz w:val="24"/>
          <w:szCs w:val="24"/>
        </w:rPr>
        <w:t>条件，点击“删除”可以删除一条条件。编辑时，需要填写：序号、</w:t>
      </w:r>
      <w:r>
        <w:rPr>
          <w:rFonts w:hint="eastAsia" w:ascii="宋体" w:hAnsi="宋体" w:eastAsia="宋体" w:cs="Times New Roman"/>
          <w:kern w:val="2"/>
          <w:sz w:val="24"/>
          <w:szCs w:val="24"/>
          <w:lang w:val="en-US" w:eastAsia="zh-CN"/>
        </w:rPr>
        <w:t>项目名称、</w:t>
      </w:r>
      <w:r>
        <w:rPr>
          <w:rFonts w:hint="eastAsia" w:ascii="宋体" w:hAnsi="宋体" w:eastAsia="宋体" w:cs="Times New Roman"/>
          <w:kern w:val="2"/>
          <w:sz w:val="24"/>
          <w:szCs w:val="24"/>
        </w:rPr>
        <w:t>内容</w:t>
      </w:r>
      <w:r>
        <w:rPr>
          <w:rFonts w:hint="eastAsia" w:ascii="宋体" w:hAnsi="宋体" w:eastAsia="宋体" w:cs="Times New Roman"/>
          <w:kern w:val="2"/>
          <w:sz w:val="24"/>
          <w:szCs w:val="24"/>
          <w:lang w:val="en-US" w:eastAsia="zh-CN"/>
        </w:rPr>
        <w:t>要求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录入的内容，都会成为电子评标的形式评审、响应性</w:t>
      </w:r>
      <w:r>
        <w:rPr>
          <w:rFonts w:hint="eastAsia" w:ascii="宋体" w:hAnsi="宋体" w:eastAsia="宋体" w:cs="Times New Roman"/>
          <w:kern w:val="2"/>
          <w:sz w:val="24"/>
          <w:szCs w:val="24"/>
        </w:rPr>
        <w:t>评审</w:t>
      </w:r>
      <w:r>
        <w:rPr>
          <w:rFonts w:hint="eastAsia" w:ascii="宋体" w:hAnsi="宋体" w:eastAsia="宋体" w:cs="Times New Roman"/>
          <w:kern w:val="2"/>
          <w:sz w:val="24"/>
          <w:szCs w:val="24"/>
          <w:lang w:val="en-US" w:eastAsia="zh-CN"/>
        </w:rPr>
        <w:t>项目。</w:t>
      </w:r>
    </w:p>
    <w:p w14:paraId="3392B447">
      <w:pPr>
        <w:rPr>
          <w:rFonts w:ascii="宋体" w:hAnsi="宋体" w:eastAsia="宋体" w:cs="Times New Roman"/>
          <w:kern w:val="2"/>
          <w:sz w:val="24"/>
          <w:szCs w:val="24"/>
        </w:rPr>
      </w:pPr>
      <w:r>
        <w:drawing>
          <wp:inline distT="0" distB="0" distL="114300" distR="114300">
            <wp:extent cx="5266690" cy="2256790"/>
            <wp:effectExtent l="0" t="0" r="6350" b="13970"/>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25"/>
                    <a:stretch>
                      <a:fillRect/>
                    </a:stretch>
                  </pic:blipFill>
                  <pic:spPr>
                    <a:xfrm>
                      <a:off x="0" y="0"/>
                      <a:ext cx="5266690" cy="2256790"/>
                    </a:xfrm>
                    <a:prstGeom prst="rect">
                      <a:avLst/>
                    </a:prstGeom>
                    <a:noFill/>
                    <a:ln>
                      <a:noFill/>
                    </a:ln>
                  </pic:spPr>
                </pic:pic>
              </a:graphicData>
            </a:graphic>
          </wp:inline>
        </w:drawing>
      </w:r>
    </w:p>
    <w:p w14:paraId="3511D3D6">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点击标签页“详细评审”，可以编辑评标方法、评标委员会。</w:t>
      </w:r>
      <w:r>
        <w:rPr>
          <w:rFonts w:hint="eastAsia" w:ascii="宋体" w:hAnsi="宋体" w:eastAsia="宋体" w:cs="Times New Roman"/>
          <w:kern w:val="2"/>
          <w:sz w:val="24"/>
          <w:szCs w:val="24"/>
          <w:lang w:val="en-US" w:eastAsia="zh-CN"/>
        </w:rPr>
        <w:t>不同评标方法，配置的评审参数不一样，请按要求填写。</w:t>
      </w:r>
    </w:p>
    <w:p w14:paraId="0C8F63F1">
      <w:pPr>
        <w:rPr>
          <w:rFonts w:ascii="宋体" w:hAnsi="宋体" w:eastAsia="宋体" w:cs="Times New Roman"/>
          <w:kern w:val="2"/>
          <w:sz w:val="24"/>
          <w:szCs w:val="24"/>
        </w:rPr>
      </w:pPr>
      <w:r>
        <w:drawing>
          <wp:inline distT="0" distB="0" distL="114300" distR="114300">
            <wp:extent cx="5273675" cy="2860675"/>
            <wp:effectExtent l="0" t="0" r="14605" b="4445"/>
            <wp:docPr id="8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1"/>
                    <pic:cNvPicPr>
                      <a:picLocks noChangeAspect="1"/>
                    </pic:cNvPicPr>
                  </pic:nvPicPr>
                  <pic:blipFill>
                    <a:blip r:embed="rId26"/>
                    <a:stretch>
                      <a:fillRect/>
                    </a:stretch>
                  </pic:blipFill>
                  <pic:spPr>
                    <a:xfrm>
                      <a:off x="0" y="0"/>
                      <a:ext cx="5273675" cy="2860675"/>
                    </a:xfrm>
                    <a:prstGeom prst="rect">
                      <a:avLst/>
                    </a:prstGeom>
                    <a:noFill/>
                    <a:ln>
                      <a:noFill/>
                    </a:ln>
                  </pic:spPr>
                </pic:pic>
              </a:graphicData>
            </a:graphic>
          </wp:inline>
        </w:drawing>
      </w:r>
    </w:p>
    <w:p w14:paraId="57CF5FD5">
      <w:pPr>
        <w:spacing w:before="62" w:beforeLines="20" w:after="12" w:afterLines="4" w:line="360" w:lineRule="auto"/>
        <w:rPr>
          <w:rFonts w:ascii="宋体" w:hAnsi="宋体" w:eastAsia="宋体" w:cs="Times New Roman"/>
          <w:kern w:val="2"/>
          <w:sz w:val="24"/>
          <w:szCs w:val="24"/>
        </w:rPr>
      </w:pPr>
      <w:r>
        <w:rPr>
          <w:rFonts w:ascii="宋体" w:hAnsi="宋体" w:eastAsia="宋体" w:cs="Times New Roman"/>
          <w:kern w:val="2"/>
          <w:sz w:val="24"/>
          <w:szCs w:val="24"/>
        </w:rPr>
        <w:tab/>
      </w:r>
      <w:r>
        <w:rPr>
          <w:rFonts w:hint="eastAsia" w:ascii="宋体" w:hAnsi="宋体" w:eastAsia="宋体" w:cs="Times New Roman"/>
          <w:kern w:val="2"/>
          <w:sz w:val="24"/>
          <w:szCs w:val="24"/>
          <w:lang w:val="en-US" w:eastAsia="zh-CN"/>
        </w:rPr>
        <w:t>如果是综合评分法，需要录入“技术评审”以及“商务评审”的内容。</w:t>
      </w:r>
      <w:r>
        <w:rPr>
          <w:rFonts w:hint="eastAsia" w:ascii="宋体" w:hAnsi="宋体" w:eastAsia="宋体" w:cs="Times New Roman"/>
          <w:kern w:val="2"/>
          <w:sz w:val="24"/>
          <w:szCs w:val="24"/>
        </w:rPr>
        <w:t>点击按钮“新增”，可新增技术评审项目、商务评审项目。编辑时，需要填写：评分项目名称、分值、评分标准</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可选分值（注意：这里是指只有等级分值可以选择时，这里需要配置可选的分值）</w:t>
      </w:r>
      <w:r>
        <w:rPr>
          <w:rFonts w:hint="eastAsia" w:ascii="宋体" w:hAnsi="宋体" w:eastAsia="宋体" w:cs="Times New Roman"/>
          <w:kern w:val="2"/>
          <w:sz w:val="24"/>
          <w:szCs w:val="24"/>
        </w:rPr>
        <w:t>。</w:t>
      </w:r>
    </w:p>
    <w:p w14:paraId="6C485282">
      <w:r>
        <w:drawing>
          <wp:inline distT="0" distB="0" distL="114300" distR="114300">
            <wp:extent cx="5266690" cy="2705100"/>
            <wp:effectExtent l="0" t="0" r="6350" b="762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27"/>
                    <a:stretch>
                      <a:fillRect/>
                    </a:stretch>
                  </pic:blipFill>
                  <pic:spPr>
                    <a:xfrm>
                      <a:off x="0" y="0"/>
                      <a:ext cx="5266690" cy="2705100"/>
                    </a:xfrm>
                    <a:prstGeom prst="rect">
                      <a:avLst/>
                    </a:prstGeom>
                    <a:noFill/>
                    <a:ln>
                      <a:noFill/>
                    </a:ln>
                  </pic:spPr>
                </pic:pic>
              </a:graphicData>
            </a:graphic>
          </wp:inline>
        </w:drawing>
      </w:r>
    </w:p>
    <w:p w14:paraId="5643EB0B">
      <w:pPr>
        <w:bidi w:val="0"/>
        <w:rPr>
          <w:rFonts w:hint="default"/>
          <w:lang w:val="en-US" w:eastAsia="zh-CN"/>
        </w:rPr>
      </w:pPr>
      <w:r>
        <w:rPr>
          <w:rFonts w:hint="eastAsia"/>
          <w:lang w:val="en-US" w:eastAsia="zh-CN"/>
        </w:rPr>
        <w:t>代理机构如果要进一步了解相关评标办法配置，请参考本文档</w:t>
      </w:r>
    </w:p>
    <w:p w14:paraId="7F958E99">
      <w:pPr>
        <w:bidi w:val="0"/>
        <w:rPr>
          <w:rFonts w:hint="default"/>
          <w:lang w:val="en-US" w:eastAsia="zh-CN"/>
        </w:rPr>
      </w:pPr>
      <w:r>
        <w:rPr>
          <w:rFonts w:hint="eastAsia"/>
          <w:lang w:val="en-US" w:eastAsia="zh-CN"/>
        </w:rPr>
        <w:t>【附件一：汕尾市交易服务平台建设工程电子评标配置方法】</w:t>
      </w:r>
    </w:p>
    <w:p w14:paraId="430B3E63">
      <w:pPr>
        <w:spacing w:before="62" w:beforeLines="20" w:after="12" w:afterLines="4" w:line="360" w:lineRule="auto"/>
        <w:ind w:firstLine="420"/>
      </w:pPr>
    </w:p>
    <w:p w14:paraId="0521E73A">
      <w:pPr>
        <w:rPr>
          <w:rFonts w:hint="eastAsia" w:eastAsia="微软雅黑"/>
          <w:lang w:eastAsia="zh-CN"/>
        </w:rPr>
      </w:pPr>
    </w:p>
    <w:p w14:paraId="709B7213">
      <w:pPr>
        <w:spacing w:before="62" w:beforeLines="20" w:after="12" w:afterLines="4" w:line="360" w:lineRule="auto"/>
      </w:pPr>
    </w:p>
    <w:p w14:paraId="72768F6A">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是“房屋建筑、市政、水利”的“总承包、勘察设计”类项目，项目可以配置多个报价，例如：勘察报价、设计报价、施工报价等。如果要配置多个报价，在评标办法这里，“是否多个报价”要勾选为“是”。</w:t>
      </w:r>
    </w:p>
    <w:p w14:paraId="76972390">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68595" cy="2320290"/>
            <wp:effectExtent l="0" t="0" r="4445" b="1143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28"/>
                    <a:stretch>
                      <a:fillRect/>
                    </a:stretch>
                  </pic:blipFill>
                  <pic:spPr>
                    <a:xfrm>
                      <a:off x="0" y="0"/>
                      <a:ext cx="5268595" cy="2320290"/>
                    </a:xfrm>
                    <a:prstGeom prst="rect">
                      <a:avLst/>
                    </a:prstGeom>
                    <a:noFill/>
                    <a:ln>
                      <a:noFill/>
                    </a:ln>
                  </pic:spPr>
                </pic:pic>
              </a:graphicData>
            </a:graphic>
          </wp:inline>
        </w:drawing>
      </w:r>
    </w:p>
    <w:p w14:paraId="43634B4E">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最下方的“多报价配置”，点击“新增”可以新增报价，填写“报价名称”、“招标控制价”、“价格分”、“价格分计算公式”。各个报价的“招标控制价”相加要等于整个标段的招标控制价；各个报价的“价格分”相加要等于标段的总价格分。</w:t>
      </w:r>
    </w:p>
    <w:p w14:paraId="3E373567">
      <w:pPr>
        <w:spacing w:before="62" w:beforeLines="20" w:after="12" w:afterLines="4" w:line="360" w:lineRule="auto"/>
        <w:rPr>
          <w:rFonts w:hint="default" w:ascii="宋体" w:hAnsi="宋体" w:eastAsia="宋体" w:cs="Times New Roman"/>
          <w:kern w:val="2"/>
          <w:sz w:val="24"/>
          <w:szCs w:val="24"/>
          <w:lang w:val="en-US" w:eastAsia="zh-CN"/>
        </w:rPr>
      </w:pPr>
      <w:r>
        <w:drawing>
          <wp:inline distT="0" distB="0" distL="114300" distR="114300">
            <wp:extent cx="5272405" cy="970915"/>
            <wp:effectExtent l="0" t="0" r="635" b="44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9"/>
                    <a:stretch>
                      <a:fillRect/>
                    </a:stretch>
                  </pic:blipFill>
                  <pic:spPr>
                    <a:xfrm>
                      <a:off x="0" y="0"/>
                      <a:ext cx="5272405" cy="970915"/>
                    </a:xfrm>
                    <a:prstGeom prst="rect">
                      <a:avLst/>
                    </a:prstGeom>
                    <a:noFill/>
                    <a:ln>
                      <a:noFill/>
                    </a:ln>
                  </pic:spPr>
                </pic:pic>
              </a:graphicData>
            </a:graphic>
          </wp:inline>
        </w:drawing>
      </w:r>
    </w:p>
    <w:p w14:paraId="590F380C">
      <w:pPr>
        <w:spacing w:before="62" w:beforeLines="20" w:after="12" w:afterLines="4"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注意：多价格报价的价格分系统试算，只支持自定义计算方式。</w:t>
      </w:r>
    </w:p>
    <w:p w14:paraId="0AE1BA0C">
      <w:pPr>
        <w:spacing w:before="62" w:beforeLines="20" w:after="12" w:afterLines="4" w:line="360" w:lineRule="auto"/>
        <w:ind w:firstLine="420"/>
      </w:pPr>
      <w:r>
        <w:rPr>
          <w:rFonts w:hint="eastAsia" w:ascii="宋体" w:hAnsi="宋体" w:eastAsia="宋体" w:cs="Times New Roman"/>
          <w:kern w:val="2"/>
          <w:sz w:val="24"/>
          <w:szCs w:val="24"/>
        </w:rPr>
        <w:t>为方便代理机构进行一些项目模板的制作，系统提供了“Excel导出”以及“Excel导入”功能，可以把标段信息导出为Excel文件，也可以从Excel文件中导入标段。</w:t>
      </w:r>
    </w:p>
    <w:p w14:paraId="79F4126B">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编辑过程中，</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暂存</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保存；点击</w:t>
      </w:r>
      <w:r>
        <w:rPr>
          <w:rFonts w:hint="eastAsia" w:ascii="宋体" w:hAnsi="宋体" w:eastAsia="宋体" w:cs="Times New Roman"/>
          <w:kern w:val="2"/>
          <w:sz w:val="24"/>
          <w:szCs w:val="24"/>
        </w:rPr>
        <w:t>“保存”按钮，保存标段信息。</w:t>
      </w:r>
    </w:p>
    <w:p w14:paraId="6D0CDB90">
      <w:pPr>
        <w:spacing w:before="62" w:beforeLines="20" w:after="12" w:afterLines="4" w:line="360" w:lineRule="auto"/>
        <w:ind w:firstLine="420"/>
        <w:rPr>
          <w:rFonts w:hint="eastAsia" w:ascii="宋体" w:hAnsi="宋体" w:eastAsia="宋体" w:cs="Times New Roman"/>
          <w:kern w:val="2"/>
          <w:sz w:val="24"/>
          <w:szCs w:val="24"/>
        </w:rPr>
      </w:pPr>
      <w:r>
        <w:rPr>
          <w:rFonts w:hint="eastAsia" w:ascii="宋体" w:hAnsi="宋体" w:eastAsia="宋体" w:cs="Times New Roman"/>
          <w:kern w:val="2"/>
          <w:sz w:val="24"/>
          <w:szCs w:val="24"/>
        </w:rPr>
        <w:t>在交易项目编辑页面中，点击“保存并提交”按钮，</w:t>
      </w:r>
      <w:r>
        <w:rPr>
          <w:rFonts w:hint="eastAsia" w:ascii="宋体" w:hAnsi="宋体" w:eastAsia="宋体" w:cs="Times New Roman"/>
          <w:kern w:val="2"/>
          <w:sz w:val="24"/>
          <w:szCs w:val="24"/>
          <w:lang w:val="en-US" w:eastAsia="zh-CN"/>
        </w:rPr>
        <w:t>跳转到议程安排环节</w:t>
      </w:r>
      <w:r>
        <w:rPr>
          <w:rFonts w:hint="eastAsia" w:ascii="宋体" w:hAnsi="宋体" w:eastAsia="宋体" w:cs="Times New Roman"/>
          <w:kern w:val="2"/>
          <w:sz w:val="24"/>
          <w:szCs w:val="24"/>
        </w:rPr>
        <w:t>。</w:t>
      </w:r>
    </w:p>
    <w:p w14:paraId="1BCD81A2">
      <w:pPr>
        <w:spacing w:before="62" w:beforeLines="20" w:after="12" w:afterLines="4" w:line="360" w:lineRule="auto"/>
        <w:rPr>
          <w:rFonts w:hint="eastAsia" w:ascii="宋体" w:hAnsi="宋体" w:eastAsia="宋体" w:cs="Times New Roman"/>
          <w:kern w:val="2"/>
          <w:sz w:val="24"/>
          <w:szCs w:val="24"/>
        </w:rPr>
      </w:pPr>
      <w:r>
        <w:drawing>
          <wp:inline distT="0" distB="0" distL="114300" distR="114300">
            <wp:extent cx="5273040" cy="1803400"/>
            <wp:effectExtent l="0" t="0" r="0" b="10160"/>
            <wp:docPr id="1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3"/>
                    <pic:cNvPicPr>
                      <a:picLocks noChangeAspect="1"/>
                    </pic:cNvPicPr>
                  </pic:nvPicPr>
                  <pic:blipFill>
                    <a:blip r:embed="rId30"/>
                    <a:stretch>
                      <a:fillRect/>
                    </a:stretch>
                  </pic:blipFill>
                  <pic:spPr>
                    <a:xfrm>
                      <a:off x="0" y="0"/>
                      <a:ext cx="5273040" cy="1803400"/>
                    </a:xfrm>
                    <a:prstGeom prst="rect">
                      <a:avLst/>
                    </a:prstGeom>
                    <a:noFill/>
                    <a:ln>
                      <a:noFill/>
                    </a:ln>
                  </pic:spPr>
                </pic:pic>
              </a:graphicData>
            </a:graphic>
          </wp:inline>
        </w:drawing>
      </w:r>
    </w:p>
    <w:p w14:paraId="48B055EE">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w:t>
      </w:r>
      <w:r>
        <w:rPr>
          <w:rFonts w:hint="eastAsia" w:ascii="宋体" w:hAnsi="宋体" w:cs="Times New Roman"/>
          <w:kern w:val="2"/>
          <w:sz w:val="24"/>
          <w:szCs w:val="24"/>
          <w:lang w:val="en-US" w:eastAsia="zh-CN"/>
        </w:rPr>
        <w:t>在项目录入页面点击“活动安排”进行切换页签页面</w:t>
      </w:r>
      <w:r>
        <w:rPr>
          <w:rFonts w:hint="eastAsia" w:ascii="宋体" w:hAnsi="宋体" w:eastAsia="宋体" w:cs="Times New Roman"/>
          <w:kern w:val="2"/>
          <w:sz w:val="24"/>
          <w:szCs w:val="24"/>
        </w:rPr>
        <w:t>，可以对需要进场交易的项目进行</w:t>
      </w:r>
      <w:r>
        <w:rPr>
          <w:rFonts w:hint="eastAsia" w:ascii="宋体" w:hAnsi="宋体" w:cs="Times New Roman"/>
          <w:kern w:val="2"/>
          <w:sz w:val="24"/>
          <w:szCs w:val="24"/>
          <w:lang w:val="en-US" w:eastAsia="zh-CN"/>
        </w:rPr>
        <w:t>活动</w:t>
      </w:r>
      <w:r>
        <w:rPr>
          <w:rFonts w:hint="eastAsia" w:ascii="宋体" w:hAnsi="宋体" w:eastAsia="宋体" w:cs="Times New Roman"/>
          <w:kern w:val="2"/>
          <w:sz w:val="24"/>
          <w:szCs w:val="24"/>
        </w:rPr>
        <w:t>安排。</w:t>
      </w:r>
    </w:p>
    <w:p w14:paraId="53C25AFF">
      <w:pPr>
        <w:widowControl w:val="0"/>
        <w:adjustRightInd/>
        <w:snapToGrid/>
        <w:spacing w:before="62" w:beforeLines="20" w:after="62" w:afterLines="20" w:line="360" w:lineRule="auto"/>
        <w:jc w:val="both"/>
      </w:pPr>
      <w:r>
        <w:drawing>
          <wp:inline distT="0" distB="0" distL="114300" distR="114300">
            <wp:extent cx="5266690" cy="2510155"/>
            <wp:effectExtent l="0" t="0" r="6350" b="444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31"/>
                    <a:stretch>
                      <a:fillRect/>
                    </a:stretch>
                  </pic:blipFill>
                  <pic:spPr>
                    <a:xfrm>
                      <a:off x="0" y="0"/>
                      <a:ext cx="5266690" cy="2510155"/>
                    </a:xfrm>
                    <a:prstGeom prst="rect">
                      <a:avLst/>
                    </a:prstGeom>
                    <a:noFill/>
                    <a:ln>
                      <a:noFill/>
                    </a:ln>
                  </pic:spPr>
                </pic:pic>
              </a:graphicData>
            </a:graphic>
          </wp:inline>
        </w:drawing>
      </w:r>
    </w:p>
    <w:p w14:paraId="492FAFD4">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eastAsia="宋体" w:cs="Times New Roman"/>
          <w:color w:val="000000" w:themeColor="text1"/>
          <w:kern w:val="2"/>
          <w:sz w:val="24"/>
          <w:szCs w:val="24"/>
          <w14:textFill>
            <w14:solidFill>
              <w14:schemeClr w14:val="tx1"/>
            </w14:solidFill>
          </w14:textFill>
        </w:rPr>
        <w:t>填写公告起始时间、公告截至时间、网上报名开始时间、开标时间、开标地点等。填写完成后点击“保存议程”及时保存</w:t>
      </w:r>
      <w:r>
        <w:rPr>
          <w:rFonts w:hint="eastAsia" w:ascii="宋体" w:hAnsi="宋体" w:cs="Times New Roman"/>
          <w:color w:val="000000" w:themeColor="text1"/>
          <w:kern w:val="2"/>
          <w:sz w:val="24"/>
          <w:szCs w:val="24"/>
          <w:lang w:eastAsia="zh-CN"/>
          <w14:textFill>
            <w14:solidFill>
              <w14:schemeClr w14:val="tx1"/>
            </w14:solidFill>
          </w14:textFill>
        </w:rPr>
        <w:t>，</w:t>
      </w:r>
      <w:r>
        <w:rPr>
          <w:rFonts w:hint="eastAsia" w:ascii="宋体" w:hAnsi="宋体" w:cs="Times New Roman"/>
          <w:color w:val="000000" w:themeColor="text1"/>
          <w:kern w:val="2"/>
          <w:sz w:val="24"/>
          <w:szCs w:val="24"/>
          <w:lang w:val="en-US" w:eastAsia="zh-CN"/>
          <w14:textFill>
            <w14:solidFill>
              <w14:schemeClr w14:val="tx1"/>
            </w14:solidFill>
          </w14:textFill>
        </w:rPr>
        <w:t>会生成一个“日程安排文件”，需要对改文件进行“签章”操作。</w:t>
      </w:r>
    </w:p>
    <w:p w14:paraId="65B4EE12">
      <w:pPr>
        <w:spacing w:before="62" w:beforeLines="20" w:after="12" w:afterLines="4" w:line="360" w:lineRule="auto"/>
        <w:ind w:firstLine="420"/>
        <w:rPr>
          <w:rFonts w:hint="default" w:ascii="宋体" w:hAnsi="宋体" w:eastAsia="宋体" w:cs="Times New Roman"/>
          <w:color w:val="000000" w:themeColor="text1"/>
          <w:kern w:val="2"/>
          <w:sz w:val="24"/>
          <w:szCs w:val="24"/>
          <w:lang w:val="en-US" w:eastAsia="zh-CN"/>
          <w14:textFill>
            <w14:solidFill>
              <w14:schemeClr w14:val="tx1"/>
            </w14:solidFill>
          </w14:textFill>
        </w:rPr>
      </w:pPr>
      <w:r>
        <w:rPr>
          <w:rFonts w:hint="eastAsia" w:ascii="宋体" w:hAnsi="宋体" w:eastAsia="宋体" w:cs="Times New Roman"/>
          <w:color w:val="000000" w:themeColor="text1"/>
          <w:kern w:val="2"/>
          <w:sz w:val="24"/>
          <w:szCs w:val="24"/>
          <w:lang w:val="en-US" w:eastAsia="zh-CN"/>
          <w14:textFill>
            <w14:solidFill>
              <w14:schemeClr w14:val="tx1"/>
            </w14:solidFill>
          </w14:textFill>
        </w:rPr>
        <w:t>开标、评标场地安排，点击“安排开标场地”可以选择开标场地，点击“安排评标场地”可以选择评标场地。</w:t>
      </w:r>
    </w:p>
    <w:p w14:paraId="068F2AC0">
      <w:pPr>
        <w:spacing w:before="62" w:beforeLines="20" w:after="12" w:afterLines="4" w:line="360" w:lineRule="auto"/>
      </w:pPr>
      <w:r>
        <w:drawing>
          <wp:inline distT="0" distB="0" distL="114300" distR="114300">
            <wp:extent cx="5269230" cy="981710"/>
            <wp:effectExtent l="0" t="0" r="3810" b="8890"/>
            <wp:docPr id="1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7"/>
                    <pic:cNvPicPr>
                      <a:picLocks noChangeAspect="1"/>
                    </pic:cNvPicPr>
                  </pic:nvPicPr>
                  <pic:blipFill>
                    <a:blip r:embed="rId32"/>
                    <a:stretch>
                      <a:fillRect/>
                    </a:stretch>
                  </pic:blipFill>
                  <pic:spPr>
                    <a:xfrm>
                      <a:off x="0" y="0"/>
                      <a:ext cx="5269230" cy="981710"/>
                    </a:xfrm>
                    <a:prstGeom prst="rect">
                      <a:avLst/>
                    </a:prstGeom>
                    <a:noFill/>
                    <a:ln>
                      <a:noFill/>
                    </a:ln>
                  </pic:spPr>
                </pic:pic>
              </a:graphicData>
            </a:graphic>
          </wp:inline>
        </w:drawing>
      </w:r>
    </w:p>
    <w:p w14:paraId="4E443EF9">
      <w:pPr>
        <w:spacing w:before="62" w:beforeLines="20" w:after="12" w:afterLines="4" w:line="360" w:lineRule="auto"/>
      </w:pPr>
      <w:r>
        <w:drawing>
          <wp:inline distT="0" distB="0" distL="114300" distR="114300">
            <wp:extent cx="5266690" cy="2262505"/>
            <wp:effectExtent l="0" t="0" r="6350" b="8255"/>
            <wp:docPr id="1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8"/>
                    <pic:cNvPicPr>
                      <a:picLocks noChangeAspect="1"/>
                    </pic:cNvPicPr>
                  </pic:nvPicPr>
                  <pic:blipFill>
                    <a:blip r:embed="rId33"/>
                    <a:stretch>
                      <a:fillRect/>
                    </a:stretch>
                  </pic:blipFill>
                  <pic:spPr>
                    <a:xfrm>
                      <a:off x="0" y="0"/>
                      <a:ext cx="5266690" cy="2262505"/>
                    </a:xfrm>
                    <a:prstGeom prst="rect">
                      <a:avLst/>
                    </a:prstGeom>
                    <a:noFill/>
                    <a:ln>
                      <a:noFill/>
                    </a:ln>
                  </pic:spPr>
                </pic:pic>
              </a:graphicData>
            </a:graphic>
          </wp:inline>
        </w:drawing>
      </w:r>
    </w:p>
    <w:p w14:paraId="7892203C">
      <w:pPr>
        <w:spacing w:before="62" w:beforeLines="20" w:after="12" w:afterLines="4" w:line="360" w:lineRule="auto"/>
        <w:ind w:firstLine="420"/>
        <w:rPr>
          <w:rFonts w:hint="default" w:ascii="宋体" w:hAnsi="宋体" w:eastAsia="宋体" w:cs="Times New Roman"/>
          <w:color w:val="auto"/>
          <w:kern w:val="2"/>
          <w:sz w:val="24"/>
          <w:szCs w:val="24"/>
          <w:lang w:val="en-US" w:eastAsia="zh-CN"/>
        </w:rPr>
      </w:pPr>
      <w:r>
        <w:rPr>
          <w:rFonts w:hint="eastAsia" w:ascii="宋体" w:hAnsi="宋体" w:cs="Times New Roman"/>
          <w:color w:val="auto"/>
          <w:kern w:val="2"/>
          <w:sz w:val="24"/>
          <w:szCs w:val="24"/>
          <w:lang w:val="en-US" w:eastAsia="zh-CN"/>
        </w:rPr>
        <w:t>招标公告，</w:t>
      </w:r>
      <w:r>
        <w:rPr>
          <w:rFonts w:hint="eastAsia" w:ascii="宋体" w:hAnsi="宋体" w:eastAsia="宋体" w:cs="Times New Roman"/>
          <w:color w:val="auto"/>
          <w:kern w:val="2"/>
          <w:sz w:val="24"/>
          <w:szCs w:val="24"/>
        </w:rPr>
        <w:t>点击</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招标公告</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切换到招标公告拟稿页签页面，点击</w:t>
      </w:r>
      <w:r>
        <w:rPr>
          <w:rFonts w:hint="eastAsia" w:ascii="宋体" w:hAnsi="宋体" w:eastAsia="宋体" w:cs="Times New Roman"/>
          <w:color w:val="auto"/>
          <w:kern w:val="2"/>
          <w:sz w:val="24"/>
          <w:szCs w:val="24"/>
        </w:rPr>
        <w:t>按钮“生成公告”，可以生成对应公告。目前只针对房建市政</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lang w:val="en-US" w:eastAsia="zh-CN"/>
        </w:rPr>
        <w:t>水利</w:t>
      </w:r>
      <w:r>
        <w:rPr>
          <w:rFonts w:hint="eastAsia" w:ascii="宋体" w:hAnsi="宋体" w:eastAsia="宋体" w:cs="Times New Roman"/>
          <w:color w:val="auto"/>
          <w:kern w:val="2"/>
          <w:sz w:val="24"/>
          <w:szCs w:val="24"/>
        </w:rPr>
        <w:t>类的施工、监理项目生成了公告，</w:t>
      </w:r>
      <w:r>
        <w:rPr>
          <w:rFonts w:hint="eastAsia" w:ascii="宋体" w:hAnsi="宋体" w:eastAsia="宋体" w:cs="Times New Roman"/>
          <w:color w:val="auto"/>
          <w:kern w:val="2"/>
          <w:sz w:val="24"/>
          <w:szCs w:val="24"/>
          <w:lang w:val="en-US" w:eastAsia="zh-CN"/>
        </w:rPr>
        <w:t>生成的</w:t>
      </w:r>
      <w:r>
        <w:rPr>
          <w:rFonts w:hint="eastAsia" w:ascii="宋体" w:hAnsi="宋体" w:eastAsia="宋体" w:cs="Times New Roman"/>
          <w:color w:val="auto"/>
          <w:kern w:val="2"/>
          <w:sz w:val="24"/>
          <w:szCs w:val="24"/>
        </w:rPr>
        <w:t>公告可</w:t>
      </w:r>
      <w:r>
        <w:rPr>
          <w:rFonts w:hint="eastAsia" w:ascii="宋体" w:hAnsi="宋体" w:eastAsia="宋体" w:cs="Times New Roman"/>
          <w:color w:val="auto"/>
          <w:kern w:val="2"/>
          <w:sz w:val="24"/>
          <w:szCs w:val="24"/>
          <w:lang w:val="en-US" w:eastAsia="zh-CN"/>
        </w:rPr>
        <w:t>进一步修改</w:t>
      </w:r>
      <w:r>
        <w:rPr>
          <w:rFonts w:hint="eastAsia" w:ascii="宋体" w:hAnsi="宋体" w:eastAsia="宋体" w:cs="Times New Roman"/>
          <w:color w:val="auto"/>
          <w:kern w:val="2"/>
          <w:sz w:val="24"/>
          <w:szCs w:val="24"/>
        </w:rPr>
        <w:t>编辑</w:t>
      </w:r>
      <w:r>
        <w:rPr>
          <w:rFonts w:hint="eastAsia" w:ascii="宋体" w:hAnsi="宋体" w:eastAsia="宋体" w:cs="Times New Roman"/>
          <w:color w:val="auto"/>
          <w:kern w:val="2"/>
          <w:sz w:val="24"/>
          <w:szCs w:val="24"/>
          <w:lang w:eastAsia="zh-CN"/>
        </w:rPr>
        <w:t>。</w:t>
      </w:r>
      <w:r>
        <w:rPr>
          <w:rFonts w:hint="eastAsia" w:ascii="宋体" w:hAnsi="宋体" w:eastAsia="宋体" w:cs="Times New Roman"/>
          <w:color w:val="auto"/>
          <w:kern w:val="2"/>
          <w:sz w:val="24"/>
          <w:szCs w:val="24"/>
        </w:rPr>
        <w:t>其他类别的公告需自行录入。生成或录入公告后，可以点击“保存公告”及时保存</w:t>
      </w:r>
      <w:r>
        <w:rPr>
          <w:rFonts w:hint="eastAsia" w:ascii="宋体" w:hAnsi="宋体" w:cs="Times New Roman"/>
          <w:color w:val="auto"/>
          <w:kern w:val="2"/>
          <w:sz w:val="24"/>
          <w:szCs w:val="24"/>
          <w:lang w:eastAsia="zh-CN"/>
        </w:rPr>
        <w:t>，</w:t>
      </w:r>
      <w:r>
        <w:rPr>
          <w:rFonts w:hint="eastAsia" w:ascii="宋体" w:hAnsi="宋体" w:cs="Times New Roman"/>
          <w:color w:val="auto"/>
          <w:kern w:val="2"/>
          <w:sz w:val="24"/>
          <w:szCs w:val="24"/>
          <w:lang w:val="en-US" w:eastAsia="zh-CN"/>
        </w:rPr>
        <w:t>保存后会生成公告文件，需要点击“签章”按钮对公告文件进行盖章。</w:t>
      </w:r>
    </w:p>
    <w:p w14:paraId="5D138675">
      <w:pPr>
        <w:pStyle w:val="12"/>
      </w:pPr>
      <w:r>
        <w:drawing>
          <wp:inline distT="0" distB="0" distL="114300" distR="114300">
            <wp:extent cx="5266690" cy="2510155"/>
            <wp:effectExtent l="0" t="0" r="6350" b="4445"/>
            <wp:docPr id="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
                    <pic:cNvPicPr>
                      <a:picLocks noChangeAspect="1"/>
                    </pic:cNvPicPr>
                  </pic:nvPicPr>
                  <pic:blipFill>
                    <a:blip r:embed="rId34"/>
                    <a:stretch>
                      <a:fillRect/>
                    </a:stretch>
                  </pic:blipFill>
                  <pic:spPr>
                    <a:xfrm>
                      <a:off x="0" y="0"/>
                      <a:ext cx="5266690" cy="2510155"/>
                    </a:xfrm>
                    <a:prstGeom prst="rect">
                      <a:avLst/>
                    </a:prstGeom>
                    <a:noFill/>
                    <a:ln>
                      <a:noFill/>
                    </a:ln>
                  </pic:spPr>
                </pic:pic>
              </a:graphicData>
            </a:graphic>
          </wp:inline>
        </w:drawing>
      </w:r>
    </w:p>
    <w:p w14:paraId="309D1436">
      <w:pPr>
        <w:spacing w:before="62" w:beforeLines="20" w:after="12" w:afterLines="4" w:line="360" w:lineRule="auto"/>
        <w:ind w:firstLine="420"/>
        <w:rPr>
          <w:rFonts w:ascii="宋体" w:hAnsi="宋体" w:eastAsia="宋体" w:cs="Times New Roman"/>
          <w:color w:val="000000" w:themeColor="text1"/>
          <w:kern w:val="2"/>
          <w:sz w:val="24"/>
          <w:szCs w:val="24"/>
          <w14:textFill>
            <w14:solidFill>
              <w14:schemeClr w14:val="tx1"/>
            </w14:solidFill>
          </w14:textFill>
        </w:rPr>
      </w:pPr>
      <w:r>
        <w:rPr>
          <w:rFonts w:hint="eastAsia" w:ascii="宋体" w:hAnsi="宋体" w:cs="Times New Roman"/>
          <w:color w:val="000000" w:themeColor="text1"/>
          <w:kern w:val="2"/>
          <w:sz w:val="24"/>
          <w:szCs w:val="24"/>
          <w:lang w:val="en-US" w:eastAsia="zh-CN"/>
          <w14:textFill>
            <w14:solidFill>
              <w14:schemeClr w14:val="tx1"/>
            </w14:solidFill>
          </w14:textFill>
        </w:rPr>
        <w:t>所有内容</w:t>
      </w:r>
      <w:r>
        <w:rPr>
          <w:rFonts w:hint="eastAsia" w:ascii="宋体" w:hAnsi="宋体" w:eastAsia="宋体" w:cs="Times New Roman"/>
          <w:color w:val="000000" w:themeColor="text1"/>
          <w:kern w:val="2"/>
          <w:sz w:val="24"/>
          <w:szCs w:val="24"/>
          <w14:textFill>
            <w14:solidFill>
              <w14:schemeClr w14:val="tx1"/>
            </w14:solidFill>
          </w14:textFill>
        </w:rPr>
        <w:t>编辑完毕后，点击按钮“暂存”，可以保存已编辑的信息。点击按钮“保存并提交”，可以提交</w:t>
      </w:r>
      <w:r>
        <w:rPr>
          <w:rFonts w:hint="eastAsia" w:ascii="宋体" w:hAnsi="宋体" w:eastAsia="宋体" w:cs="Times New Roman"/>
          <w:color w:val="000000" w:themeColor="text1"/>
          <w:kern w:val="2"/>
          <w:sz w:val="24"/>
          <w:szCs w:val="24"/>
          <w:lang w:val="en-US" w:eastAsia="zh-CN"/>
          <w14:textFill>
            <w14:solidFill>
              <w14:schemeClr w14:val="tx1"/>
            </w14:solidFill>
          </w14:textFill>
        </w:rPr>
        <w:t>把项目提交给招标人进行确认</w:t>
      </w:r>
      <w:r>
        <w:rPr>
          <w:rFonts w:hint="eastAsia" w:ascii="宋体" w:hAnsi="宋体" w:eastAsia="宋体" w:cs="Times New Roman"/>
          <w:color w:val="000000" w:themeColor="text1"/>
          <w:kern w:val="2"/>
          <w:sz w:val="24"/>
          <w:szCs w:val="24"/>
          <w14:textFill>
            <w14:solidFill>
              <w14:schemeClr w14:val="tx1"/>
            </w14:solidFill>
          </w14:textFill>
        </w:rPr>
        <w:t>，并关闭当前页面。</w:t>
      </w:r>
    </w:p>
    <w:p w14:paraId="68EAA6E3">
      <w:pPr>
        <w:rPr>
          <w:rFonts w:ascii="宋体" w:hAnsi="宋体" w:eastAsia="宋体" w:cs="Times New Roman"/>
          <w:kern w:val="2"/>
          <w:sz w:val="24"/>
          <w:szCs w:val="24"/>
        </w:rPr>
      </w:pPr>
      <w:r>
        <w:drawing>
          <wp:inline distT="0" distB="0" distL="114300" distR="114300">
            <wp:extent cx="5266690" cy="2510155"/>
            <wp:effectExtent l="0" t="0" r="6350" b="4445"/>
            <wp:docPr id="9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
                    <pic:cNvPicPr>
                      <a:picLocks noChangeAspect="1"/>
                    </pic:cNvPicPr>
                  </pic:nvPicPr>
                  <pic:blipFill>
                    <a:blip r:embed="rId35"/>
                    <a:stretch>
                      <a:fillRect/>
                    </a:stretch>
                  </pic:blipFill>
                  <pic:spPr>
                    <a:xfrm>
                      <a:off x="0" y="0"/>
                      <a:ext cx="5266690" cy="2510155"/>
                    </a:xfrm>
                    <a:prstGeom prst="rect">
                      <a:avLst/>
                    </a:prstGeom>
                    <a:noFill/>
                    <a:ln>
                      <a:noFill/>
                    </a:ln>
                  </pic:spPr>
                </pic:pic>
              </a:graphicData>
            </a:graphic>
          </wp:inline>
        </w:drawing>
      </w:r>
    </w:p>
    <w:p w14:paraId="40562216">
      <w:pPr>
        <w:pStyle w:val="5"/>
        <w:bidi w:val="0"/>
        <w:ind w:left="720" w:leftChars="0" w:hanging="720" w:firstLineChars="0"/>
      </w:pPr>
      <w:bookmarkStart w:id="9" w:name="_Toc27380"/>
      <w:r>
        <w:rPr>
          <w:rFonts w:hint="eastAsia"/>
        </w:rPr>
        <w:t>项目查询</w:t>
      </w:r>
      <w:bookmarkEnd w:id="9"/>
    </w:p>
    <w:p w14:paraId="1C32FD8B">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w:t>
      </w:r>
      <w:r>
        <w:rPr>
          <w:rFonts w:hint="eastAsia" w:ascii="宋体" w:hAnsi="宋体" w:cs="Times New Roman"/>
          <w:kern w:val="2"/>
          <w:sz w:val="24"/>
          <w:szCs w:val="24"/>
          <w:lang w:val="en-US" w:eastAsia="zh-CN"/>
        </w:rPr>
        <w:t>启动</w:t>
      </w:r>
      <w:r>
        <w:rPr>
          <w:rFonts w:hint="eastAsia" w:ascii="宋体" w:hAnsi="宋体" w:eastAsia="宋体" w:cs="Times New Roman"/>
          <w:kern w:val="2"/>
          <w:sz w:val="24"/>
          <w:szCs w:val="24"/>
        </w:rPr>
        <w:t xml:space="preserve"> &gt; </w:t>
      </w:r>
      <w:r>
        <w:rPr>
          <w:rFonts w:hint="eastAsia" w:ascii="宋体" w:hAnsi="宋体" w:cs="Times New Roman"/>
          <w:kern w:val="2"/>
          <w:sz w:val="24"/>
          <w:szCs w:val="24"/>
          <w:lang w:val="en-US" w:eastAsia="zh-CN"/>
        </w:rPr>
        <w:t>交易</w:t>
      </w:r>
      <w:r>
        <w:rPr>
          <w:rFonts w:hint="eastAsia" w:ascii="宋体" w:hAnsi="宋体" w:eastAsia="宋体" w:cs="Times New Roman"/>
          <w:kern w:val="2"/>
          <w:sz w:val="24"/>
          <w:szCs w:val="24"/>
        </w:rPr>
        <w:t>查询”，可以查询代理机构已发布的所有项目信息。</w:t>
      </w:r>
    </w:p>
    <w:p w14:paraId="6B04D361">
      <w:pPr>
        <w:widowControl w:val="0"/>
        <w:adjustRightInd/>
        <w:snapToGrid/>
        <w:spacing w:before="62" w:beforeLines="20" w:after="62" w:afterLines="20" w:line="360" w:lineRule="auto"/>
        <w:jc w:val="both"/>
      </w:pPr>
      <w:r>
        <w:drawing>
          <wp:inline distT="0" distB="0" distL="114300" distR="114300">
            <wp:extent cx="5266690" cy="2202815"/>
            <wp:effectExtent l="0" t="0" r="6350" b="6985"/>
            <wp:docPr id="9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1"/>
                    <pic:cNvPicPr>
                      <a:picLocks noChangeAspect="1"/>
                    </pic:cNvPicPr>
                  </pic:nvPicPr>
                  <pic:blipFill>
                    <a:blip r:embed="rId36"/>
                    <a:stretch>
                      <a:fillRect/>
                    </a:stretch>
                  </pic:blipFill>
                  <pic:spPr>
                    <a:xfrm>
                      <a:off x="0" y="0"/>
                      <a:ext cx="5266690" cy="2202815"/>
                    </a:xfrm>
                    <a:prstGeom prst="rect">
                      <a:avLst/>
                    </a:prstGeom>
                    <a:noFill/>
                    <a:ln>
                      <a:noFill/>
                    </a:ln>
                  </pic:spPr>
                </pic:pic>
              </a:graphicData>
            </a:graphic>
          </wp:inline>
        </w:drawing>
      </w:r>
    </w:p>
    <w:p w14:paraId="2CCD4B59">
      <w:pPr>
        <w:widowControl w:val="0"/>
        <w:adjustRightInd/>
        <w:snapToGrid/>
        <w:spacing w:before="62" w:beforeLines="20" w:after="62" w:afterLines="20" w:line="360" w:lineRule="auto"/>
        <w:ind w:firstLine="439" w:firstLineChars="183"/>
        <w:jc w:val="both"/>
        <w:rPr>
          <w:rFonts w:ascii="宋体" w:hAnsi="宋体" w:eastAsia="宋体" w:cs="Times New Roman"/>
          <w:kern w:val="2"/>
          <w:sz w:val="24"/>
          <w:szCs w:val="24"/>
        </w:rPr>
      </w:pPr>
      <w:r>
        <w:rPr>
          <w:rFonts w:hint="eastAsia" w:ascii="宋体" w:hAnsi="宋体" w:eastAsia="宋体" w:cs="Times New Roman"/>
          <w:kern w:val="2"/>
          <w:sz w:val="24"/>
          <w:szCs w:val="24"/>
        </w:rPr>
        <w:t>点击项目列表中的“查看”链接，可以查看项目信息。</w:t>
      </w:r>
    </w:p>
    <w:p w14:paraId="63352F9F">
      <w:pPr>
        <w:widowControl w:val="0"/>
        <w:adjustRightInd/>
        <w:snapToGrid/>
        <w:spacing w:before="62" w:beforeLines="20" w:after="62" w:afterLines="20" w:line="360" w:lineRule="auto"/>
        <w:jc w:val="both"/>
      </w:pPr>
      <w:r>
        <w:drawing>
          <wp:inline distT="0" distB="0" distL="114300" distR="114300">
            <wp:extent cx="5269865" cy="2600960"/>
            <wp:effectExtent l="0" t="0" r="3175" b="508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1"/>
                    <pic:cNvPicPr>
                      <a:picLocks noChangeAspect="1"/>
                    </pic:cNvPicPr>
                  </pic:nvPicPr>
                  <pic:blipFill>
                    <a:blip r:embed="rId37"/>
                    <a:stretch>
                      <a:fillRect/>
                    </a:stretch>
                  </pic:blipFill>
                  <pic:spPr>
                    <a:xfrm>
                      <a:off x="0" y="0"/>
                      <a:ext cx="5269865" cy="2600960"/>
                    </a:xfrm>
                    <a:prstGeom prst="rect">
                      <a:avLst/>
                    </a:prstGeom>
                    <a:noFill/>
                    <a:ln>
                      <a:noFill/>
                    </a:ln>
                  </pic:spPr>
                </pic:pic>
              </a:graphicData>
            </a:graphic>
          </wp:inline>
        </w:drawing>
      </w:r>
    </w:p>
    <w:p w14:paraId="0AD4F122">
      <w:pPr>
        <w:widowControl w:val="0"/>
        <w:adjustRightInd/>
        <w:snapToGrid/>
        <w:spacing w:before="62" w:beforeLines="20" w:after="62" w:afterLines="20" w:line="360" w:lineRule="auto"/>
        <w:jc w:val="both"/>
      </w:pPr>
      <w:r>
        <w:drawing>
          <wp:inline distT="0" distB="0" distL="114300" distR="114300">
            <wp:extent cx="5266690" cy="2672080"/>
            <wp:effectExtent l="0" t="0" r="6350" b="10160"/>
            <wp:docPr id="1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2"/>
                    <pic:cNvPicPr>
                      <a:picLocks noChangeAspect="1"/>
                    </pic:cNvPicPr>
                  </pic:nvPicPr>
                  <pic:blipFill>
                    <a:blip r:embed="rId38"/>
                    <a:stretch>
                      <a:fillRect/>
                    </a:stretch>
                  </pic:blipFill>
                  <pic:spPr>
                    <a:xfrm>
                      <a:off x="0" y="0"/>
                      <a:ext cx="5266690" cy="2672080"/>
                    </a:xfrm>
                    <a:prstGeom prst="rect">
                      <a:avLst/>
                    </a:prstGeom>
                    <a:noFill/>
                    <a:ln>
                      <a:noFill/>
                    </a:ln>
                  </pic:spPr>
                </pic:pic>
              </a:graphicData>
            </a:graphic>
          </wp:inline>
        </w:drawing>
      </w:r>
    </w:p>
    <w:p w14:paraId="54100DD0">
      <w:pPr>
        <w:widowControl w:val="0"/>
        <w:adjustRightInd/>
        <w:snapToGrid/>
        <w:spacing w:before="62" w:beforeLines="20" w:after="62" w:afterLines="20" w:line="360" w:lineRule="auto"/>
        <w:jc w:val="both"/>
        <w:rPr>
          <w:rFonts w:ascii="宋体" w:hAnsi="宋体" w:eastAsia="宋体" w:cs="Times New Roman"/>
          <w:kern w:val="2"/>
          <w:sz w:val="24"/>
          <w:szCs w:val="24"/>
        </w:rPr>
      </w:pPr>
    </w:p>
    <w:p w14:paraId="51C610A1">
      <w:pPr>
        <w:pStyle w:val="4"/>
        <w:bidi w:val="0"/>
        <w:ind w:left="575" w:leftChars="0" w:hanging="575" w:firstLineChars="0"/>
      </w:pPr>
      <w:bookmarkStart w:id="10" w:name="_Toc6766"/>
      <w:bookmarkStart w:id="11" w:name="_Toc22870"/>
      <w:r>
        <w:rPr>
          <w:rFonts w:hint="eastAsia"/>
        </w:rPr>
        <w:t>项目开评标设置</w:t>
      </w:r>
      <w:bookmarkEnd w:id="10"/>
      <w:bookmarkEnd w:id="11"/>
    </w:p>
    <w:p w14:paraId="57E225BF">
      <w:pPr>
        <w:pStyle w:val="5"/>
        <w:bidi w:val="0"/>
        <w:ind w:left="720" w:leftChars="0" w:hanging="720" w:firstLineChars="0"/>
      </w:pPr>
      <w:bookmarkStart w:id="12" w:name="_Toc17967"/>
      <w:bookmarkStart w:id="13" w:name="_Toc28866"/>
      <w:r>
        <w:rPr>
          <w:rFonts w:hint="eastAsia"/>
        </w:rPr>
        <w:t>开标主持人设置</w:t>
      </w:r>
      <w:bookmarkEnd w:id="12"/>
      <w:bookmarkEnd w:id="13"/>
    </w:p>
    <w:p w14:paraId="3489D12D">
      <w:pPr>
        <w:widowControl w:val="0"/>
        <w:adjustRightInd/>
        <w:snapToGrid/>
        <w:spacing w:before="62" w:beforeLines="20" w:after="62" w:afterLines="20" w:line="360" w:lineRule="auto"/>
        <w:ind w:firstLine="480" w:firstLineChars="200"/>
        <w:jc w:val="both"/>
        <w:rPr>
          <w:rFonts w:hint="default" w:ascii="宋体" w:hAnsi="宋体" w:cs="Times New Roman"/>
          <w:kern w:val="2"/>
          <w:sz w:val="24"/>
          <w:szCs w:val="24"/>
          <w:lang w:val="en-US" w:eastAsia="zh-CN"/>
        </w:rPr>
      </w:pPr>
      <w:r>
        <w:rPr>
          <w:rFonts w:hint="eastAsia" w:ascii="宋体" w:hAnsi="宋体" w:cs="Times New Roman"/>
          <w:kern w:val="2"/>
          <w:sz w:val="24"/>
          <w:szCs w:val="24"/>
          <w:lang w:val="en-US" w:eastAsia="zh-CN"/>
        </w:rPr>
        <w:t>开标主持人：可以操作开标的用户，系统默认交易进场时的操作用户为开标主持人。</w:t>
      </w:r>
    </w:p>
    <w:p w14:paraId="5D9A8296">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rPr>
        <w:t>点击</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开标评标&gt;交易配置</w:t>
      </w:r>
      <w:r>
        <w:rPr>
          <w:rFonts w:hint="eastAsia" w:ascii="宋体" w:hAnsi="宋体" w:cs="Times New Roman"/>
          <w:kern w:val="2"/>
          <w:sz w:val="24"/>
          <w:szCs w:val="24"/>
          <w:lang w:eastAsia="zh-CN"/>
        </w:rPr>
        <w:t>”</w:t>
      </w:r>
      <w:r>
        <w:rPr>
          <w:rFonts w:hint="eastAsia" w:ascii="宋体" w:hAnsi="宋体" w:cs="Times New Roman"/>
          <w:kern w:val="2"/>
          <w:sz w:val="24"/>
          <w:szCs w:val="24"/>
          <w:lang w:val="en-US" w:eastAsia="zh-CN"/>
        </w:rPr>
        <w:t>菜单中的</w:t>
      </w:r>
      <w:r>
        <w:rPr>
          <w:rFonts w:hint="eastAsia" w:ascii="宋体" w:hAnsi="宋体" w:eastAsia="宋体" w:cs="Times New Roman"/>
          <w:kern w:val="2"/>
          <w:sz w:val="24"/>
          <w:szCs w:val="24"/>
        </w:rPr>
        <w:t>按钮“</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”，进入</w:t>
      </w:r>
      <w:r>
        <w:rPr>
          <w:rFonts w:hint="eastAsia" w:ascii="宋体" w:hAnsi="宋体" w:cs="Times New Roman"/>
          <w:kern w:val="2"/>
          <w:sz w:val="24"/>
          <w:szCs w:val="24"/>
          <w:lang w:val="en-US" w:eastAsia="zh-CN"/>
        </w:rPr>
        <w:t>配置</w:t>
      </w:r>
      <w:r>
        <w:rPr>
          <w:rFonts w:hint="eastAsia" w:ascii="宋体" w:hAnsi="宋体" w:eastAsia="宋体" w:cs="Times New Roman"/>
          <w:kern w:val="2"/>
          <w:sz w:val="24"/>
          <w:szCs w:val="24"/>
        </w:rPr>
        <w:t>页面，</w:t>
      </w:r>
      <w:r>
        <w:rPr>
          <w:rFonts w:hint="eastAsia" w:ascii="宋体" w:hAnsi="宋体" w:cs="Times New Roman"/>
          <w:kern w:val="2"/>
          <w:sz w:val="24"/>
          <w:szCs w:val="24"/>
          <w:lang w:val="en-US" w:eastAsia="zh-CN"/>
        </w:rPr>
        <w:t>点击“设置开标主持人”</w:t>
      </w:r>
      <w:r>
        <w:rPr>
          <w:rFonts w:hint="eastAsia" w:ascii="宋体" w:hAnsi="宋体" w:eastAsia="宋体" w:cs="Times New Roman"/>
          <w:kern w:val="2"/>
          <w:sz w:val="24"/>
          <w:szCs w:val="24"/>
        </w:rPr>
        <w:t>选择代理机构中的某个操作员作为主持人，设置主持人成功。</w:t>
      </w:r>
      <w:r>
        <w:rPr>
          <w:rFonts w:hint="eastAsia" w:ascii="宋体" w:hAnsi="宋体" w:cs="Times New Roman"/>
          <w:kern w:val="2"/>
          <w:sz w:val="24"/>
          <w:szCs w:val="24"/>
          <w:lang w:val="en-US" w:eastAsia="zh-CN"/>
        </w:rPr>
        <w:t xml:space="preserve">        </w:t>
      </w:r>
      <w:r>
        <w:rPr>
          <w:rFonts w:hint="eastAsia" w:ascii="宋体" w:hAnsi="宋体" w:eastAsia="宋体" w:cs="Times New Roman"/>
          <w:kern w:val="2"/>
          <w:sz w:val="24"/>
          <w:szCs w:val="24"/>
          <w:lang w:val="en-US" w:eastAsia="zh-CN"/>
        </w:rPr>
        <w:t>注意：只有主持人才能进入开标界面</w:t>
      </w:r>
      <w:r>
        <w:rPr>
          <w:rFonts w:hint="eastAsia" w:ascii="宋体" w:hAnsi="宋体" w:cs="Times New Roman"/>
          <w:kern w:val="2"/>
          <w:sz w:val="24"/>
          <w:szCs w:val="24"/>
          <w:lang w:val="en-US" w:eastAsia="zh-CN"/>
        </w:rPr>
        <w:t>操作开标</w:t>
      </w:r>
      <w:r>
        <w:rPr>
          <w:rFonts w:hint="eastAsia" w:ascii="宋体" w:hAnsi="宋体" w:eastAsia="宋体" w:cs="Times New Roman"/>
          <w:kern w:val="2"/>
          <w:sz w:val="24"/>
          <w:szCs w:val="24"/>
          <w:lang w:val="en-US" w:eastAsia="zh-CN"/>
        </w:rPr>
        <w:t>。</w:t>
      </w:r>
    </w:p>
    <w:p w14:paraId="0FE5EFC2">
      <w:pPr>
        <w:widowControl w:val="0"/>
        <w:adjustRightInd/>
        <w:snapToGrid/>
        <w:spacing w:before="62" w:beforeLines="20" w:after="62" w:afterLines="20" w:line="360" w:lineRule="auto"/>
      </w:pPr>
      <w:r>
        <w:drawing>
          <wp:inline distT="0" distB="0" distL="114300" distR="114300">
            <wp:extent cx="5266690" cy="2208530"/>
            <wp:effectExtent l="0" t="0" r="6350" b="1270"/>
            <wp:docPr id="10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2"/>
                    <pic:cNvPicPr>
                      <a:picLocks noChangeAspect="1"/>
                    </pic:cNvPicPr>
                  </pic:nvPicPr>
                  <pic:blipFill>
                    <a:blip r:embed="rId39"/>
                    <a:stretch>
                      <a:fillRect/>
                    </a:stretch>
                  </pic:blipFill>
                  <pic:spPr>
                    <a:xfrm>
                      <a:off x="0" y="0"/>
                      <a:ext cx="5266690" cy="2208530"/>
                    </a:xfrm>
                    <a:prstGeom prst="rect">
                      <a:avLst/>
                    </a:prstGeom>
                    <a:noFill/>
                    <a:ln>
                      <a:noFill/>
                    </a:ln>
                  </pic:spPr>
                </pic:pic>
              </a:graphicData>
            </a:graphic>
          </wp:inline>
        </w:drawing>
      </w:r>
    </w:p>
    <w:p w14:paraId="04BA2889">
      <w:pPr>
        <w:pStyle w:val="12"/>
      </w:pPr>
      <w:r>
        <w:drawing>
          <wp:inline distT="0" distB="0" distL="114300" distR="114300">
            <wp:extent cx="5266690" cy="2510155"/>
            <wp:effectExtent l="0" t="0" r="6350" b="4445"/>
            <wp:docPr id="1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3"/>
                    <pic:cNvPicPr>
                      <a:picLocks noChangeAspect="1"/>
                    </pic:cNvPicPr>
                  </pic:nvPicPr>
                  <pic:blipFill>
                    <a:blip r:embed="rId40"/>
                    <a:stretch>
                      <a:fillRect/>
                    </a:stretch>
                  </pic:blipFill>
                  <pic:spPr>
                    <a:xfrm>
                      <a:off x="0" y="0"/>
                      <a:ext cx="5266690" cy="2510155"/>
                    </a:xfrm>
                    <a:prstGeom prst="rect">
                      <a:avLst/>
                    </a:prstGeom>
                    <a:noFill/>
                    <a:ln>
                      <a:noFill/>
                    </a:ln>
                  </pic:spPr>
                </pic:pic>
              </a:graphicData>
            </a:graphic>
          </wp:inline>
        </w:drawing>
      </w:r>
    </w:p>
    <w:p w14:paraId="777E3006">
      <w:pPr>
        <w:pStyle w:val="4"/>
        <w:bidi w:val="0"/>
        <w:ind w:left="575" w:leftChars="0" w:hanging="575" w:firstLineChars="0"/>
      </w:pPr>
      <w:bookmarkStart w:id="14" w:name="_Toc20014"/>
      <w:bookmarkStart w:id="15" w:name="_Toc7506"/>
      <w:r>
        <w:rPr>
          <w:rFonts w:hint="eastAsia"/>
        </w:rPr>
        <w:t>电子评标项目：开标</w:t>
      </w:r>
      <w:bookmarkEnd w:id="14"/>
      <w:r>
        <w:rPr>
          <w:rFonts w:hint="eastAsia"/>
        </w:rPr>
        <w:t>及评标</w:t>
      </w:r>
      <w:bookmarkEnd w:id="15"/>
    </w:p>
    <w:p w14:paraId="43F6AB6E">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主持人可以进行开标操作和</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评标操作。点击菜单“开标评标 &gt; 开标会议”，可以进入“开标会议”以及“评标环节”。</w:t>
      </w:r>
    </w:p>
    <w:p w14:paraId="055E47CE">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5420" cy="2488565"/>
            <wp:effectExtent l="0" t="0" r="7620" b="10795"/>
            <wp:docPr id="14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5"/>
                    <pic:cNvPicPr>
                      <a:picLocks noChangeAspect="1"/>
                    </pic:cNvPicPr>
                  </pic:nvPicPr>
                  <pic:blipFill>
                    <a:blip r:embed="rId41"/>
                    <a:stretch>
                      <a:fillRect/>
                    </a:stretch>
                  </pic:blipFill>
                  <pic:spPr>
                    <a:xfrm>
                      <a:off x="0" y="0"/>
                      <a:ext cx="5265420" cy="2488565"/>
                    </a:xfrm>
                    <a:prstGeom prst="rect">
                      <a:avLst/>
                    </a:prstGeom>
                    <a:noFill/>
                    <a:ln>
                      <a:noFill/>
                    </a:ln>
                  </pic:spPr>
                </pic:pic>
              </a:graphicData>
            </a:graphic>
          </wp:inline>
        </w:drawing>
      </w:r>
    </w:p>
    <w:p w14:paraId="3C2A3F09">
      <w:pPr>
        <w:pStyle w:val="5"/>
        <w:bidi w:val="0"/>
        <w:ind w:left="720" w:leftChars="0" w:hanging="720" w:firstLineChars="0"/>
      </w:pPr>
      <w:bookmarkStart w:id="16" w:name="_Toc11746"/>
      <w:bookmarkStart w:id="17" w:name="_Toc26504"/>
      <w:r>
        <w:rPr>
          <w:rFonts w:hint="eastAsia"/>
        </w:rPr>
        <w:t>开标会议</w:t>
      </w:r>
      <w:bookmarkEnd w:id="16"/>
      <w:bookmarkEnd w:id="17"/>
    </w:p>
    <w:p w14:paraId="144E9B8B">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主持人进入开标会议后，页面上将进行开标倒计时。到达开标时间后，</w:t>
      </w:r>
      <w:r>
        <w:rPr>
          <w:rFonts w:hint="eastAsia" w:ascii="宋体" w:hAnsi="宋体" w:eastAsia="宋体" w:cs="Times New Roman"/>
          <w:kern w:val="2"/>
          <w:sz w:val="24"/>
          <w:szCs w:val="24"/>
          <w:lang w:val="en-US" w:eastAsia="zh-CN"/>
        </w:rPr>
        <w:t>点击“下一步”按钮，</w:t>
      </w:r>
      <w:r>
        <w:rPr>
          <w:rFonts w:hint="eastAsia" w:ascii="宋体" w:hAnsi="宋体" w:eastAsia="宋体" w:cs="Times New Roman"/>
          <w:kern w:val="2"/>
          <w:sz w:val="24"/>
          <w:szCs w:val="24"/>
        </w:rPr>
        <w:t>可以</w:t>
      </w:r>
      <w:r>
        <w:rPr>
          <w:rFonts w:hint="eastAsia" w:ascii="宋体" w:hAnsi="宋体" w:eastAsia="宋体" w:cs="Times New Roman"/>
          <w:kern w:val="2"/>
          <w:sz w:val="24"/>
          <w:szCs w:val="24"/>
          <w:lang w:val="en-US" w:eastAsia="zh-CN"/>
        </w:rPr>
        <w:t>进入开标文件解密</w:t>
      </w:r>
      <w:r>
        <w:rPr>
          <w:rFonts w:hint="eastAsia" w:ascii="宋体" w:hAnsi="宋体" w:eastAsia="宋体" w:cs="Times New Roman"/>
          <w:kern w:val="2"/>
          <w:sz w:val="24"/>
          <w:szCs w:val="24"/>
        </w:rPr>
        <w:t>。</w:t>
      </w:r>
    </w:p>
    <w:p w14:paraId="44AD8834">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3152140"/>
            <wp:effectExtent l="0" t="0" r="635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2"/>
                    <a:stretch>
                      <a:fillRect/>
                    </a:stretch>
                  </pic:blipFill>
                  <pic:spPr>
                    <a:xfrm>
                      <a:off x="0" y="0"/>
                      <a:ext cx="5266690" cy="3152140"/>
                    </a:xfrm>
                    <a:prstGeom prst="rect">
                      <a:avLst/>
                    </a:prstGeom>
                    <a:noFill/>
                    <a:ln>
                      <a:noFill/>
                    </a:ln>
                  </pic:spPr>
                </pic:pic>
              </a:graphicData>
            </a:graphic>
          </wp:inline>
        </w:drawing>
      </w:r>
    </w:p>
    <w:p w14:paraId="72D5BACB">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lang w:val="en-US" w:eastAsia="zh-CN"/>
        </w:rPr>
        <w:t>在</w:t>
      </w:r>
      <w:r>
        <w:rPr>
          <w:rFonts w:hint="eastAsia" w:ascii="宋体" w:hAnsi="宋体" w:eastAsia="宋体" w:cs="Times New Roman"/>
          <w:kern w:val="2"/>
          <w:sz w:val="24"/>
          <w:szCs w:val="24"/>
        </w:rPr>
        <w:t>“文件解密”环节</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主持人点击“主持人解密”</w:t>
      </w:r>
      <w:r>
        <w:rPr>
          <w:rFonts w:hint="eastAsia" w:ascii="宋体" w:hAnsi="宋体" w:eastAsia="宋体" w:cs="Times New Roman"/>
          <w:kern w:val="2"/>
          <w:sz w:val="24"/>
          <w:szCs w:val="24"/>
          <w:lang w:val="en-US" w:eastAsia="zh-CN"/>
        </w:rPr>
        <w:t>按钮</w:t>
      </w:r>
      <w:r>
        <w:rPr>
          <w:rFonts w:hint="eastAsia" w:ascii="宋体" w:hAnsi="宋体" w:eastAsia="宋体" w:cs="Times New Roman"/>
          <w:kern w:val="2"/>
          <w:sz w:val="24"/>
          <w:szCs w:val="24"/>
        </w:rPr>
        <w:t>，可以对投标企业、投标报价、投标电子标书进行解密操作。</w:t>
      </w:r>
    </w:p>
    <w:p w14:paraId="5386F27A">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66690" cy="3160395"/>
            <wp:effectExtent l="0" t="0" r="6350" b="952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5266690" cy="3160395"/>
                    </a:xfrm>
                    <a:prstGeom prst="rect">
                      <a:avLst/>
                    </a:prstGeom>
                    <a:noFill/>
                    <a:ln>
                      <a:noFill/>
                    </a:ln>
                  </pic:spPr>
                </pic:pic>
              </a:graphicData>
            </a:graphic>
          </wp:inline>
        </w:drawing>
      </w:r>
    </w:p>
    <w:p w14:paraId="1F86F88B">
      <w:pPr>
        <w:widowControl w:val="0"/>
        <w:adjustRightInd/>
        <w:snapToGrid/>
        <w:spacing w:before="62" w:beforeLines="20" w:after="62" w:afterLines="20" w:line="360" w:lineRule="auto"/>
        <w:ind w:firstLine="480" w:firstLineChars="200"/>
        <w:jc w:val="center"/>
        <w:rPr>
          <w:rFonts w:ascii="宋体" w:hAnsi="宋体" w:eastAsia="宋体" w:cs="Times New Roman"/>
          <w:kern w:val="2"/>
          <w:sz w:val="24"/>
          <w:szCs w:val="24"/>
        </w:rPr>
      </w:pPr>
    </w:p>
    <w:p w14:paraId="2ECC0188">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4310" cy="3187065"/>
            <wp:effectExtent l="0" t="0" r="13970" b="133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44"/>
                    <a:stretch>
                      <a:fillRect/>
                    </a:stretch>
                  </pic:blipFill>
                  <pic:spPr>
                    <a:xfrm>
                      <a:off x="0" y="0"/>
                      <a:ext cx="5274310" cy="3187065"/>
                    </a:xfrm>
                    <a:prstGeom prst="rect">
                      <a:avLst/>
                    </a:prstGeom>
                    <a:noFill/>
                    <a:ln>
                      <a:noFill/>
                    </a:ln>
                  </pic:spPr>
                </pic:pic>
              </a:graphicData>
            </a:graphic>
          </wp:inline>
        </w:drawing>
      </w:r>
    </w:p>
    <w:p w14:paraId="194608A9">
      <w:pPr>
        <w:widowControl w:val="0"/>
        <w:adjustRightInd/>
        <w:snapToGrid/>
        <w:spacing w:before="62" w:beforeLines="20" w:after="62" w:afterLines="20" w:line="360" w:lineRule="auto"/>
        <w:rPr>
          <w:rFonts w:hint="default" w:ascii="宋体" w:hAnsi="宋体" w:eastAsia="宋体" w:cs="Times New Roman"/>
          <w:kern w:val="2"/>
          <w:sz w:val="24"/>
          <w:szCs w:val="24"/>
          <w:lang w:val="en-US" w:eastAsia="zh-CN"/>
        </w:rPr>
      </w:pPr>
      <w:r>
        <w:rPr>
          <w:rFonts w:ascii="宋体" w:hAnsi="宋体" w:eastAsia="宋体" w:cs="Times New Roman"/>
          <w:kern w:val="2"/>
          <w:sz w:val="24"/>
          <w:szCs w:val="24"/>
        </w:rPr>
        <w:tab/>
      </w:r>
      <w:r>
        <w:rPr>
          <w:rFonts w:hint="eastAsia" w:ascii="宋体" w:hAnsi="宋体" w:eastAsia="宋体" w:cs="Times New Roman"/>
          <w:kern w:val="2"/>
          <w:sz w:val="24"/>
          <w:szCs w:val="24"/>
        </w:rPr>
        <w:t>文件解密完成后，点击“文件解密完成，下一步”，进入“开标一览表”环节。可以查看所有投标人的报价情况。并</w:t>
      </w:r>
      <w:r>
        <w:rPr>
          <w:rFonts w:hint="eastAsia" w:ascii="宋体" w:hAnsi="宋体" w:eastAsia="宋体" w:cs="Times New Roman"/>
          <w:kern w:val="2"/>
          <w:sz w:val="24"/>
          <w:szCs w:val="24"/>
          <w:lang w:val="en-US" w:eastAsia="zh-CN"/>
        </w:rPr>
        <w:t>对投标人进行编辑，</w:t>
      </w:r>
      <w:r>
        <w:rPr>
          <w:rFonts w:hint="eastAsia" w:ascii="宋体" w:hAnsi="宋体" w:eastAsia="宋体" w:cs="Times New Roman"/>
          <w:kern w:val="2"/>
          <w:sz w:val="24"/>
          <w:szCs w:val="24"/>
        </w:rPr>
        <w:t>选择投标文件封装情况、是否</w:t>
      </w:r>
      <w:r>
        <w:rPr>
          <w:rFonts w:hint="eastAsia" w:ascii="宋体" w:hAnsi="宋体" w:eastAsia="宋体" w:cs="Times New Roman"/>
          <w:kern w:val="2"/>
          <w:sz w:val="24"/>
          <w:szCs w:val="24"/>
          <w:lang w:val="en-US" w:eastAsia="zh-CN"/>
        </w:rPr>
        <w:t>能</w:t>
      </w:r>
      <w:r>
        <w:rPr>
          <w:rFonts w:hint="eastAsia" w:ascii="宋体" w:hAnsi="宋体" w:eastAsia="宋体" w:cs="Times New Roman"/>
          <w:kern w:val="2"/>
          <w:sz w:val="24"/>
          <w:szCs w:val="24"/>
        </w:rPr>
        <w:t>进入评标环节。</w:t>
      </w:r>
    </w:p>
    <w:p w14:paraId="4006B660">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66690" cy="2007870"/>
            <wp:effectExtent l="0" t="0" r="6350" b="38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45"/>
                    <a:stretch>
                      <a:fillRect/>
                    </a:stretch>
                  </pic:blipFill>
                  <pic:spPr>
                    <a:xfrm>
                      <a:off x="0" y="0"/>
                      <a:ext cx="5266690" cy="2007870"/>
                    </a:xfrm>
                    <a:prstGeom prst="rect">
                      <a:avLst/>
                    </a:prstGeom>
                    <a:noFill/>
                    <a:ln>
                      <a:noFill/>
                    </a:ln>
                  </pic:spPr>
                </pic:pic>
              </a:graphicData>
            </a:graphic>
          </wp:inline>
        </w:drawing>
      </w:r>
    </w:p>
    <w:p w14:paraId="747A2EFA">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点击操作栏的“编辑”按钮进行配置。确认保证金、投标报价、投标内容等是否正确有效。设置后，点击“提交”保存。</w:t>
      </w:r>
    </w:p>
    <w:p w14:paraId="6A901BDD">
      <w:pPr>
        <w:widowControl w:val="0"/>
        <w:adjustRightInd/>
        <w:snapToGrid/>
        <w:spacing w:before="62" w:beforeLines="20" w:after="62" w:afterLines="20" w:line="360" w:lineRule="auto"/>
        <w:rPr>
          <w:rFonts w:hint="eastAsia" w:ascii="宋体" w:hAnsi="宋体" w:eastAsia="宋体" w:cs="Times New Roman"/>
          <w:kern w:val="2"/>
          <w:sz w:val="24"/>
          <w:szCs w:val="24"/>
          <w:lang w:val="en-US" w:eastAsia="zh-CN"/>
        </w:rPr>
      </w:pPr>
      <w:r>
        <w:drawing>
          <wp:inline distT="0" distB="0" distL="114300" distR="114300">
            <wp:extent cx="5273040" cy="2290445"/>
            <wp:effectExtent l="0" t="0" r="0" b="1079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46"/>
                    <a:stretch>
                      <a:fillRect/>
                    </a:stretch>
                  </pic:blipFill>
                  <pic:spPr>
                    <a:xfrm>
                      <a:off x="0" y="0"/>
                      <a:ext cx="5273040" cy="2290445"/>
                    </a:xfrm>
                    <a:prstGeom prst="rect">
                      <a:avLst/>
                    </a:prstGeom>
                    <a:noFill/>
                    <a:ln>
                      <a:noFill/>
                    </a:ln>
                  </pic:spPr>
                </pic:pic>
              </a:graphicData>
            </a:graphic>
          </wp:inline>
        </w:drawing>
      </w:r>
    </w:p>
    <w:p w14:paraId="44C3011D">
      <w:pPr>
        <w:widowControl w:val="0"/>
        <w:adjustRightInd/>
        <w:snapToGrid/>
        <w:spacing w:before="62" w:beforeLines="20" w:after="62" w:afterLines="20" w:line="360" w:lineRule="auto"/>
        <w:ind w:firstLine="420"/>
        <w:rPr>
          <w:rFonts w:hint="eastAsia" w:ascii="宋体" w:hAnsi="宋体" w:eastAsia="宋体" w:cs="Times New Roman"/>
          <w:kern w:val="2"/>
          <w:sz w:val="24"/>
          <w:szCs w:val="24"/>
          <w:lang w:eastAsia="zh-CN"/>
        </w:rPr>
      </w:pPr>
      <w:r>
        <w:rPr>
          <w:rFonts w:hint="eastAsia" w:ascii="宋体" w:hAnsi="宋体" w:eastAsia="宋体" w:cs="Times New Roman"/>
          <w:kern w:val="2"/>
          <w:sz w:val="24"/>
          <w:szCs w:val="24"/>
        </w:rPr>
        <w:t>确认无误后点击“</w:t>
      </w:r>
      <w:r>
        <w:rPr>
          <w:rFonts w:hint="eastAsia" w:ascii="宋体" w:hAnsi="宋体" w:eastAsia="宋体" w:cs="Times New Roman"/>
          <w:kern w:val="2"/>
          <w:sz w:val="24"/>
          <w:szCs w:val="24"/>
          <w:lang w:val="en-US" w:eastAsia="zh-CN"/>
        </w:rPr>
        <w:t>开标登记完成，进入开标异议环节</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进入“</w:t>
      </w:r>
      <w:r>
        <w:rPr>
          <w:rFonts w:hint="eastAsia" w:ascii="宋体" w:hAnsi="宋体" w:eastAsia="宋体" w:cs="Times New Roman"/>
          <w:kern w:val="2"/>
          <w:sz w:val="24"/>
          <w:szCs w:val="24"/>
          <w:lang w:val="en-US" w:eastAsia="zh-CN"/>
        </w:rPr>
        <w:t>开标异议</w:t>
      </w:r>
      <w:r>
        <w:rPr>
          <w:rFonts w:hint="eastAsia" w:ascii="宋体" w:hAnsi="宋体" w:eastAsia="宋体" w:cs="Times New Roman"/>
          <w:kern w:val="2"/>
          <w:sz w:val="24"/>
          <w:szCs w:val="24"/>
        </w:rPr>
        <w:t>环节”</w:t>
      </w:r>
      <w:r>
        <w:rPr>
          <w:rFonts w:hint="eastAsia" w:ascii="宋体" w:hAnsi="宋体" w:eastAsia="宋体" w:cs="Times New Roman"/>
          <w:kern w:val="2"/>
          <w:sz w:val="24"/>
          <w:szCs w:val="24"/>
          <w:lang w:eastAsia="zh-CN"/>
        </w:rPr>
        <w:t>。</w:t>
      </w:r>
    </w:p>
    <w:p w14:paraId="2EF3B42C">
      <w:pPr>
        <w:widowControl w:val="0"/>
        <w:adjustRightInd/>
        <w:snapToGrid/>
        <w:spacing w:before="62" w:beforeLines="20" w:after="62" w:afterLines="20" w:line="360" w:lineRule="auto"/>
        <w:rPr>
          <w:rFonts w:ascii="宋体" w:hAnsi="宋体" w:eastAsia="宋体" w:cs="Times New Roman"/>
          <w:kern w:val="2"/>
          <w:sz w:val="24"/>
          <w:szCs w:val="24"/>
        </w:rPr>
      </w:pPr>
      <w:r>
        <w:drawing>
          <wp:inline distT="0" distB="0" distL="114300" distR="114300">
            <wp:extent cx="5270500" cy="1854200"/>
            <wp:effectExtent l="0" t="0" r="2540" b="508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47"/>
                    <a:stretch>
                      <a:fillRect/>
                    </a:stretch>
                  </pic:blipFill>
                  <pic:spPr>
                    <a:xfrm>
                      <a:off x="0" y="0"/>
                      <a:ext cx="5270500" cy="1854200"/>
                    </a:xfrm>
                    <a:prstGeom prst="rect">
                      <a:avLst/>
                    </a:prstGeom>
                    <a:noFill/>
                    <a:ln>
                      <a:noFill/>
                    </a:ln>
                  </pic:spPr>
                </pic:pic>
              </a:graphicData>
            </a:graphic>
          </wp:inline>
        </w:drawing>
      </w:r>
    </w:p>
    <w:p w14:paraId="1E7F1AF7">
      <w:pPr>
        <w:widowControl w:val="0"/>
        <w:adjustRightInd/>
        <w:snapToGrid/>
        <w:spacing w:before="62" w:beforeLines="20" w:after="62" w:afterLines="20" w:line="360" w:lineRule="auto"/>
        <w:ind w:firstLine="420"/>
      </w:pPr>
      <w:r>
        <w:rPr>
          <w:rFonts w:hint="eastAsia" w:ascii="宋体" w:hAnsi="宋体" w:eastAsia="宋体" w:cs="Times New Roman"/>
          <w:kern w:val="2"/>
          <w:sz w:val="24"/>
          <w:szCs w:val="24"/>
          <w:lang w:val="en-US" w:eastAsia="zh-CN"/>
        </w:rPr>
        <w:t>在开标异议环节，进行开标异议倒计时。在倒计时期间，企业可以在线提出异议。如果有新的异议，在“操作”栏可以“查看异议”，并进行答复。</w:t>
      </w:r>
    </w:p>
    <w:p w14:paraId="4EB71335">
      <w:pPr>
        <w:widowControl w:val="0"/>
        <w:adjustRightInd/>
        <w:snapToGrid/>
        <w:spacing w:before="62" w:beforeLines="20" w:after="62" w:afterLines="20" w:line="360" w:lineRule="auto"/>
      </w:pPr>
      <w:r>
        <w:drawing>
          <wp:inline distT="0" distB="0" distL="114300" distR="114300">
            <wp:extent cx="5274310" cy="1832610"/>
            <wp:effectExtent l="0" t="0" r="13970" b="1143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48"/>
                    <a:stretch>
                      <a:fillRect/>
                    </a:stretch>
                  </pic:blipFill>
                  <pic:spPr>
                    <a:xfrm>
                      <a:off x="0" y="0"/>
                      <a:ext cx="5274310" cy="1832610"/>
                    </a:xfrm>
                    <a:prstGeom prst="rect">
                      <a:avLst/>
                    </a:prstGeom>
                    <a:noFill/>
                    <a:ln>
                      <a:noFill/>
                    </a:ln>
                  </pic:spPr>
                </pic:pic>
              </a:graphicData>
            </a:graphic>
          </wp:inline>
        </w:drawing>
      </w:r>
    </w:p>
    <w:p w14:paraId="2A36EA1F">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查看异议时，招标代理可以点击“答复”对异议进行答复。</w:t>
      </w:r>
    </w:p>
    <w:p w14:paraId="368DE68A">
      <w:pPr>
        <w:widowControl w:val="0"/>
        <w:adjustRightInd/>
        <w:snapToGrid/>
        <w:spacing w:before="62" w:beforeLines="20" w:after="62" w:afterLines="20" w:line="360" w:lineRule="auto"/>
      </w:pPr>
      <w:r>
        <w:drawing>
          <wp:inline distT="0" distB="0" distL="114300" distR="114300">
            <wp:extent cx="5266690" cy="1139190"/>
            <wp:effectExtent l="0" t="0" r="6350" b="381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49"/>
                    <a:stretch>
                      <a:fillRect/>
                    </a:stretch>
                  </pic:blipFill>
                  <pic:spPr>
                    <a:xfrm>
                      <a:off x="0" y="0"/>
                      <a:ext cx="5266690" cy="1139190"/>
                    </a:xfrm>
                    <a:prstGeom prst="rect">
                      <a:avLst/>
                    </a:prstGeom>
                    <a:noFill/>
                    <a:ln>
                      <a:noFill/>
                    </a:ln>
                  </pic:spPr>
                </pic:pic>
              </a:graphicData>
            </a:graphic>
          </wp:inline>
        </w:drawing>
      </w:r>
    </w:p>
    <w:p w14:paraId="53461E7A">
      <w:pPr>
        <w:widowControl w:val="0"/>
        <w:adjustRightInd/>
        <w:snapToGrid/>
        <w:spacing w:before="62" w:beforeLines="20" w:after="62" w:afterLines="20" w:line="360" w:lineRule="auto"/>
        <w:ind w:firstLine="420" w:firstLineChars="0"/>
      </w:pPr>
      <w:r>
        <w:rPr>
          <w:rFonts w:hint="eastAsia" w:ascii="宋体" w:hAnsi="宋体" w:eastAsia="宋体" w:cs="Times New Roman"/>
          <w:kern w:val="2"/>
          <w:sz w:val="24"/>
          <w:szCs w:val="24"/>
          <w:lang w:val="en-US" w:eastAsia="zh-CN"/>
        </w:rPr>
        <w:t>答复异议时，填写答复内容，也可以上传答复附件，然后点击“提交”按钮进行提交。提交后由招标人进行确认，招标人确认后将发送答复给企业</w:t>
      </w:r>
      <w:r>
        <w:rPr>
          <w:rFonts w:hint="eastAsia" w:ascii="宋体" w:hAnsi="宋体" w:eastAsia="宋体" w:cs="Times New Roman"/>
          <w:kern w:val="2"/>
          <w:sz w:val="24"/>
          <w:szCs w:val="24"/>
        </w:rPr>
        <w:t>。</w:t>
      </w:r>
    </w:p>
    <w:p w14:paraId="6C0ECC3C">
      <w:pPr>
        <w:widowControl w:val="0"/>
        <w:adjustRightInd/>
        <w:snapToGrid/>
        <w:spacing w:before="62" w:beforeLines="20" w:after="62" w:afterLines="20" w:line="360" w:lineRule="auto"/>
        <w:rPr>
          <w:rFonts w:hint="eastAsia"/>
        </w:rPr>
      </w:pPr>
      <w:r>
        <w:drawing>
          <wp:inline distT="0" distB="0" distL="114300" distR="114300">
            <wp:extent cx="5266690" cy="2366010"/>
            <wp:effectExtent l="0" t="0" r="6350" b="1143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50"/>
                    <a:stretch>
                      <a:fillRect/>
                    </a:stretch>
                  </pic:blipFill>
                  <pic:spPr>
                    <a:xfrm>
                      <a:off x="0" y="0"/>
                      <a:ext cx="5266690" cy="2366010"/>
                    </a:xfrm>
                    <a:prstGeom prst="rect">
                      <a:avLst/>
                    </a:prstGeom>
                    <a:noFill/>
                    <a:ln>
                      <a:noFill/>
                    </a:ln>
                  </pic:spPr>
                </pic:pic>
              </a:graphicData>
            </a:graphic>
          </wp:inline>
        </w:drawing>
      </w:r>
    </w:p>
    <w:p w14:paraId="329A85E2">
      <w:pPr>
        <w:widowControl w:val="0"/>
        <w:adjustRightInd/>
        <w:snapToGrid/>
        <w:spacing w:before="62" w:beforeLines="20" w:after="62" w:afterLines="20" w:line="360" w:lineRule="auto"/>
        <w:ind w:firstLine="420"/>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异议环节结束后，</w:t>
      </w:r>
      <w:r>
        <w:rPr>
          <w:rFonts w:hint="eastAsia" w:ascii="宋体" w:hAnsi="宋体" w:eastAsia="宋体" w:cs="Times New Roman"/>
          <w:kern w:val="2"/>
          <w:sz w:val="24"/>
          <w:szCs w:val="24"/>
        </w:rPr>
        <w:t>点击“</w:t>
      </w:r>
      <w:r>
        <w:rPr>
          <w:rFonts w:hint="eastAsia" w:ascii="宋体" w:hAnsi="宋体" w:eastAsia="宋体" w:cs="Times New Roman"/>
          <w:kern w:val="2"/>
          <w:sz w:val="24"/>
          <w:szCs w:val="24"/>
          <w:lang w:val="en-US" w:eastAsia="zh-CN"/>
        </w:rPr>
        <w:t>结束开标，进入下一环节</w:t>
      </w:r>
      <w:r>
        <w:rPr>
          <w:rFonts w:hint="eastAsia" w:ascii="宋体" w:hAnsi="宋体" w:eastAsia="宋体" w:cs="Times New Roman"/>
          <w:kern w:val="2"/>
          <w:sz w:val="24"/>
          <w:szCs w:val="24"/>
        </w:rPr>
        <w:t>”，结束开标，进入评标环节。</w:t>
      </w:r>
    </w:p>
    <w:p w14:paraId="350DF5F2">
      <w:pPr>
        <w:widowControl w:val="0"/>
        <w:adjustRightInd/>
        <w:snapToGrid/>
        <w:spacing w:before="62" w:beforeLines="20" w:after="62" w:afterLines="20" w:line="360" w:lineRule="auto"/>
      </w:pPr>
      <w:r>
        <w:drawing>
          <wp:inline distT="0" distB="0" distL="114300" distR="114300">
            <wp:extent cx="5270500" cy="1840230"/>
            <wp:effectExtent l="0" t="0" r="2540" b="381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51"/>
                    <a:stretch>
                      <a:fillRect/>
                    </a:stretch>
                  </pic:blipFill>
                  <pic:spPr>
                    <a:xfrm>
                      <a:off x="0" y="0"/>
                      <a:ext cx="5270500" cy="1840230"/>
                    </a:xfrm>
                    <a:prstGeom prst="rect">
                      <a:avLst/>
                    </a:prstGeom>
                    <a:noFill/>
                    <a:ln>
                      <a:noFill/>
                    </a:ln>
                  </pic:spPr>
                </pic:pic>
              </a:graphicData>
            </a:graphic>
          </wp:inline>
        </w:drawing>
      </w:r>
    </w:p>
    <w:p w14:paraId="3C2EA611">
      <w:pPr>
        <w:pStyle w:val="5"/>
        <w:bidi w:val="0"/>
        <w:ind w:left="720" w:leftChars="0" w:hanging="720" w:firstLineChars="0"/>
      </w:pPr>
      <w:bookmarkStart w:id="18" w:name="_Toc2742"/>
      <w:r>
        <w:rPr>
          <w:rFonts w:hint="eastAsia"/>
          <w:lang w:val="en-US" w:eastAsia="zh-CN"/>
        </w:rPr>
        <w:t>第二信封开标</w:t>
      </w:r>
      <w:bookmarkEnd w:id="18"/>
    </w:p>
    <w:p w14:paraId="74EAB545">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公路类项目，在第一信封评审完成后，代理机构需要进行第二信封开标</w:t>
      </w:r>
      <w:r>
        <w:rPr>
          <w:rFonts w:hint="eastAsia" w:ascii="宋体" w:hAnsi="宋体" w:eastAsia="宋体" w:cs="Times New Roman"/>
          <w:kern w:val="2"/>
          <w:sz w:val="24"/>
          <w:szCs w:val="24"/>
        </w:rPr>
        <w:t>。</w:t>
      </w:r>
      <w:r>
        <w:rPr>
          <w:rFonts w:hint="eastAsia" w:ascii="宋体" w:hAnsi="宋体" w:eastAsia="宋体" w:cs="Times New Roman"/>
          <w:kern w:val="2"/>
          <w:sz w:val="24"/>
          <w:szCs w:val="24"/>
          <w:lang w:val="en-US" w:eastAsia="zh-CN"/>
        </w:rPr>
        <w:t>点击菜单“开标评标 &gt; 第二信封开标”。</w:t>
      </w:r>
    </w:p>
    <w:p w14:paraId="759B2206">
      <w:pPr>
        <w:widowControl w:val="0"/>
        <w:adjustRightInd/>
        <w:snapToGrid/>
        <w:spacing w:before="62" w:beforeLines="20" w:after="62" w:afterLines="20" w:line="360" w:lineRule="auto"/>
      </w:pPr>
      <w:r>
        <w:drawing>
          <wp:inline distT="0" distB="0" distL="114300" distR="114300">
            <wp:extent cx="5273675" cy="1946275"/>
            <wp:effectExtent l="0" t="0" r="14605" b="444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52"/>
                    <a:stretch>
                      <a:fillRect/>
                    </a:stretch>
                  </pic:blipFill>
                  <pic:spPr>
                    <a:xfrm>
                      <a:off x="0" y="0"/>
                      <a:ext cx="5273675" cy="1946275"/>
                    </a:xfrm>
                    <a:prstGeom prst="rect">
                      <a:avLst/>
                    </a:prstGeom>
                    <a:noFill/>
                    <a:ln>
                      <a:noFill/>
                    </a:ln>
                  </pic:spPr>
                </pic:pic>
              </a:graphicData>
            </a:graphic>
          </wp:inline>
        </w:drawing>
      </w:r>
    </w:p>
    <w:p w14:paraId="506BD8D4">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如果第二信封需要进行下浮率的抽取，需要招标人账号登录系统进行抽取。代理机构等待下浮率抽取完成后，继续进行第二信封开标登记操作。</w:t>
      </w:r>
    </w:p>
    <w:p w14:paraId="306F811D">
      <w:pPr>
        <w:widowControl w:val="0"/>
        <w:adjustRightInd/>
        <w:snapToGrid/>
        <w:spacing w:before="62" w:beforeLines="20" w:after="62" w:afterLines="20" w:line="360" w:lineRule="auto"/>
      </w:pPr>
      <w:r>
        <w:drawing>
          <wp:inline distT="0" distB="0" distL="114300" distR="114300">
            <wp:extent cx="5264785" cy="2525395"/>
            <wp:effectExtent l="0" t="0" r="8255" b="4445"/>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53"/>
                    <a:stretch>
                      <a:fillRect/>
                    </a:stretch>
                  </pic:blipFill>
                  <pic:spPr>
                    <a:xfrm>
                      <a:off x="0" y="0"/>
                      <a:ext cx="5264785" cy="2525395"/>
                    </a:xfrm>
                    <a:prstGeom prst="rect">
                      <a:avLst/>
                    </a:prstGeom>
                    <a:noFill/>
                    <a:ln>
                      <a:noFill/>
                    </a:ln>
                  </pic:spPr>
                </pic:pic>
              </a:graphicData>
            </a:graphic>
          </wp:inline>
        </w:drawing>
      </w:r>
    </w:p>
    <w:p w14:paraId="2788D1F8">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第二信封开标登记，操作与开标会议一样。点“编辑”进行登记。登记完成后，进入第二信封的开标异议环节，过程与开标会议一致。</w:t>
      </w:r>
    </w:p>
    <w:p w14:paraId="6DDDCEBA">
      <w:pPr>
        <w:widowControl w:val="0"/>
        <w:adjustRightInd/>
        <w:snapToGrid/>
        <w:spacing w:before="62" w:beforeLines="20" w:after="62" w:afterLines="20" w:line="360" w:lineRule="auto"/>
      </w:pPr>
      <w:r>
        <w:drawing>
          <wp:inline distT="0" distB="0" distL="114300" distR="114300">
            <wp:extent cx="5264150" cy="2499360"/>
            <wp:effectExtent l="0" t="0" r="8890" b="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54"/>
                    <a:stretch>
                      <a:fillRect/>
                    </a:stretch>
                  </pic:blipFill>
                  <pic:spPr>
                    <a:xfrm>
                      <a:off x="0" y="0"/>
                      <a:ext cx="5264150" cy="2499360"/>
                    </a:xfrm>
                    <a:prstGeom prst="rect">
                      <a:avLst/>
                    </a:prstGeom>
                    <a:noFill/>
                    <a:ln>
                      <a:noFill/>
                    </a:ln>
                  </pic:spPr>
                </pic:pic>
              </a:graphicData>
            </a:graphic>
          </wp:inline>
        </w:drawing>
      </w:r>
    </w:p>
    <w:p w14:paraId="08F560D7">
      <w:pPr>
        <w:widowControl w:val="0"/>
        <w:adjustRightInd/>
        <w:snapToGrid/>
        <w:spacing w:before="62" w:beforeLines="20" w:after="62" w:afterLines="20" w:line="360" w:lineRule="auto"/>
        <w:ind w:firstLine="420"/>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二信封的开标异议完成后，点击“进入招标代理计算评标基准价环节”按钮，确认评标基准价。系统会对基准价进行试算，招标代理对试算出来的基准价进行核对，并且填入核对后的评标基准价，然后单击“提交评标基准价，进入下一环节”，开启第二信封评标。</w:t>
      </w:r>
    </w:p>
    <w:p w14:paraId="5ACF55E2">
      <w:pPr>
        <w:widowControl w:val="0"/>
        <w:adjustRightInd/>
        <w:snapToGrid/>
        <w:spacing w:before="62" w:beforeLines="20" w:after="62" w:afterLines="20" w:line="360" w:lineRule="auto"/>
      </w:pPr>
      <w:r>
        <w:drawing>
          <wp:inline distT="0" distB="0" distL="114300" distR="114300">
            <wp:extent cx="5271770" cy="2731135"/>
            <wp:effectExtent l="0" t="0" r="1270" b="1206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55"/>
                    <a:stretch>
                      <a:fillRect/>
                    </a:stretch>
                  </pic:blipFill>
                  <pic:spPr>
                    <a:xfrm>
                      <a:off x="0" y="0"/>
                      <a:ext cx="5271770" cy="2731135"/>
                    </a:xfrm>
                    <a:prstGeom prst="rect">
                      <a:avLst/>
                    </a:prstGeom>
                    <a:noFill/>
                    <a:ln>
                      <a:noFill/>
                    </a:ln>
                  </pic:spPr>
                </pic:pic>
              </a:graphicData>
            </a:graphic>
          </wp:inline>
        </w:drawing>
      </w:r>
    </w:p>
    <w:p w14:paraId="5F9A386C">
      <w:pPr>
        <w:widowControl w:val="0"/>
        <w:adjustRightInd/>
        <w:snapToGrid/>
        <w:spacing w:before="62" w:beforeLines="20" w:after="62" w:afterLines="20" w:line="360" w:lineRule="auto"/>
      </w:pPr>
    </w:p>
    <w:p w14:paraId="20D0E6F2">
      <w:pPr>
        <w:pStyle w:val="5"/>
        <w:bidi w:val="0"/>
        <w:ind w:left="720" w:leftChars="0" w:hanging="720" w:firstLineChars="0"/>
      </w:pPr>
      <w:bookmarkStart w:id="19" w:name="_Toc5983"/>
      <w:r>
        <w:rPr>
          <w:rFonts w:hint="eastAsia"/>
          <w:lang w:val="en-US" w:eastAsia="zh-CN"/>
        </w:rPr>
        <w:t>中断电子评标</w:t>
      </w:r>
      <w:bookmarkEnd w:id="19"/>
    </w:p>
    <w:p w14:paraId="6AD1F4C1">
      <w:pPr>
        <w:widowControl w:val="0"/>
        <w:adjustRightInd/>
        <w:snapToGrid/>
        <w:spacing w:before="62" w:beforeLines="20" w:after="62" w:afterLines="20" w:line="360" w:lineRule="auto"/>
        <w:jc w:val="both"/>
        <w:rPr>
          <w:rFonts w:hint="default" w:eastAsia="宋体"/>
          <w:lang w:val="en-US" w:eastAsia="zh-CN"/>
        </w:rPr>
      </w:pPr>
      <w:r>
        <w:rPr>
          <w:rFonts w:hint="eastAsia"/>
          <w:lang w:val="en-US" w:eastAsia="zh-CN"/>
        </w:rPr>
        <w:t xml:space="preserve">    因一些突发的特殊原因，不能继续电子评标的后，可由代理发起“中断评标”</w:t>
      </w:r>
    </w:p>
    <w:p w14:paraId="09DA11CA">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点击“中断电子评标”按钮，可以</w:t>
      </w:r>
      <w:r>
        <w:rPr>
          <w:rFonts w:hint="eastAsia" w:ascii="宋体" w:hAnsi="宋体" w:cs="Times New Roman"/>
          <w:kern w:val="2"/>
          <w:sz w:val="24"/>
          <w:szCs w:val="24"/>
          <w:lang w:val="en-US" w:eastAsia="zh-CN"/>
        </w:rPr>
        <w:t>发起</w:t>
      </w:r>
      <w:r>
        <w:rPr>
          <w:rFonts w:hint="eastAsia" w:ascii="宋体" w:hAnsi="宋体" w:eastAsia="宋体" w:cs="Times New Roman"/>
          <w:kern w:val="2"/>
          <w:sz w:val="24"/>
          <w:szCs w:val="24"/>
        </w:rPr>
        <w:t>中断电子评标流程。</w:t>
      </w:r>
    </w:p>
    <w:p w14:paraId="211E21C8">
      <w:pPr>
        <w:pStyle w:val="12"/>
      </w:pPr>
      <w:r>
        <w:drawing>
          <wp:inline distT="0" distB="0" distL="114300" distR="114300">
            <wp:extent cx="5266690" cy="2205355"/>
            <wp:effectExtent l="0" t="0" r="6350" b="4445"/>
            <wp:docPr id="10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4"/>
                    <pic:cNvPicPr>
                      <a:picLocks noChangeAspect="1"/>
                    </pic:cNvPicPr>
                  </pic:nvPicPr>
                  <pic:blipFill>
                    <a:blip r:embed="rId56"/>
                    <a:stretch>
                      <a:fillRect/>
                    </a:stretch>
                  </pic:blipFill>
                  <pic:spPr>
                    <a:xfrm>
                      <a:off x="0" y="0"/>
                      <a:ext cx="5266690" cy="2205355"/>
                    </a:xfrm>
                    <a:prstGeom prst="rect">
                      <a:avLst/>
                    </a:prstGeom>
                    <a:noFill/>
                    <a:ln>
                      <a:noFill/>
                    </a:ln>
                  </pic:spPr>
                </pic:pic>
              </a:graphicData>
            </a:graphic>
          </wp:inline>
        </w:drawing>
      </w:r>
    </w:p>
    <w:p w14:paraId="28CDA7DE">
      <w:pPr>
        <w:widowControl w:val="0"/>
        <w:adjustRightInd/>
        <w:snapToGrid/>
        <w:spacing w:before="62" w:beforeLines="20" w:after="62" w:afterLines="20" w:line="360" w:lineRule="auto"/>
        <w:ind w:firstLine="480" w:firstLineChars="200"/>
        <w:jc w:val="both"/>
        <w:rPr>
          <w:rFonts w:hint="eastAsia"/>
          <w:lang w:val="en-US" w:eastAsia="zh-CN"/>
        </w:rPr>
      </w:pPr>
      <w:r>
        <w:rPr>
          <w:rFonts w:hint="eastAsia"/>
          <w:lang w:val="en-US" w:eastAsia="zh-CN"/>
        </w:rPr>
        <w:t xml:space="preserve"> 发起之后，由“监督部门”进行审批，审批通过后即中断电子评标，评标工作转由线下进行。</w:t>
      </w:r>
    </w:p>
    <w:p w14:paraId="5828ACC3">
      <w:pPr>
        <w:pStyle w:val="12"/>
        <w:rPr>
          <w:rFonts w:hint="default"/>
          <w:lang w:val="en-US" w:eastAsia="zh-CN"/>
        </w:rPr>
      </w:pPr>
      <w:r>
        <w:rPr>
          <w:rFonts w:hint="eastAsia"/>
          <w:lang w:val="en-US" w:eastAsia="zh-CN"/>
        </w:rPr>
        <w:t xml:space="preserve">     线下评标结束后，由代理机构在“中断电子评标处理”页面点击“录入评价结果”按钮进行录入评标结果，录入完之后，继续走线上的后续交易流程。</w:t>
      </w:r>
    </w:p>
    <w:p w14:paraId="16310BEF">
      <w:pPr>
        <w:pStyle w:val="12"/>
      </w:pPr>
      <w:r>
        <w:drawing>
          <wp:inline distT="0" distB="0" distL="114300" distR="114300">
            <wp:extent cx="5266690" cy="2296160"/>
            <wp:effectExtent l="0" t="0" r="6350" b="5080"/>
            <wp:docPr id="1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
                    <pic:cNvPicPr>
                      <a:picLocks noChangeAspect="1"/>
                    </pic:cNvPicPr>
                  </pic:nvPicPr>
                  <pic:blipFill>
                    <a:blip r:embed="rId57"/>
                    <a:stretch>
                      <a:fillRect/>
                    </a:stretch>
                  </pic:blipFill>
                  <pic:spPr>
                    <a:xfrm>
                      <a:off x="0" y="0"/>
                      <a:ext cx="5266690" cy="2296160"/>
                    </a:xfrm>
                    <a:prstGeom prst="rect">
                      <a:avLst/>
                    </a:prstGeom>
                    <a:noFill/>
                    <a:ln>
                      <a:noFill/>
                    </a:ln>
                  </pic:spPr>
                </pic:pic>
              </a:graphicData>
            </a:graphic>
          </wp:inline>
        </w:drawing>
      </w:r>
    </w:p>
    <w:p w14:paraId="09294C55">
      <w:pPr>
        <w:pStyle w:val="12"/>
        <w:rPr>
          <w:rFonts w:hint="default"/>
          <w:lang w:val="en-US" w:eastAsia="zh-CN"/>
        </w:rPr>
      </w:pPr>
    </w:p>
    <w:p w14:paraId="6DA3BBFB">
      <w:pPr>
        <w:pStyle w:val="4"/>
        <w:bidi w:val="0"/>
        <w:ind w:left="575" w:leftChars="0" w:hanging="575" w:firstLineChars="0"/>
      </w:pPr>
      <w:bookmarkStart w:id="20" w:name="_Toc2931"/>
      <w:bookmarkStart w:id="21" w:name="_Toc23527"/>
      <w:r>
        <w:rPr>
          <w:rFonts w:hint="eastAsia"/>
        </w:rPr>
        <w:t>交易结果公示</w:t>
      </w:r>
      <w:bookmarkEnd w:id="20"/>
      <w:bookmarkEnd w:id="21"/>
    </w:p>
    <w:p w14:paraId="460D7CAE">
      <w:pPr>
        <w:pStyle w:val="5"/>
        <w:bidi w:val="0"/>
        <w:ind w:left="720" w:leftChars="0" w:hanging="720" w:firstLineChars="0"/>
      </w:pPr>
      <w:bookmarkStart w:id="22" w:name="_Toc4855"/>
      <w:r>
        <w:rPr>
          <w:rFonts w:hint="eastAsia"/>
        </w:rPr>
        <w:t>中标候选人公告</w:t>
      </w:r>
      <w:bookmarkEnd w:id="22"/>
    </w:p>
    <w:p w14:paraId="5E0AF66C">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点击菜单“结果公示 &gt; 中标候选人公告”，可以看到待发布中标候选人公告的项目。点击项目的“编辑公告”链接，可以进行公告的编辑。</w:t>
      </w:r>
    </w:p>
    <w:p w14:paraId="4F9994A6">
      <w:pPr>
        <w:widowControl w:val="0"/>
        <w:adjustRightInd/>
        <w:snapToGrid/>
        <w:spacing w:before="62" w:beforeLines="20" w:after="62" w:afterLines="20" w:line="360" w:lineRule="auto"/>
        <w:jc w:val="both"/>
      </w:pPr>
      <w:r>
        <w:drawing>
          <wp:inline distT="0" distB="0" distL="114300" distR="114300">
            <wp:extent cx="5266055" cy="1497330"/>
            <wp:effectExtent l="0" t="0" r="6985" b="1143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58"/>
                    <a:stretch>
                      <a:fillRect/>
                    </a:stretch>
                  </pic:blipFill>
                  <pic:spPr>
                    <a:xfrm>
                      <a:off x="0" y="0"/>
                      <a:ext cx="5266055" cy="1497330"/>
                    </a:xfrm>
                    <a:prstGeom prst="rect">
                      <a:avLst/>
                    </a:prstGeom>
                    <a:noFill/>
                    <a:ln>
                      <a:noFill/>
                    </a:ln>
                  </pic:spPr>
                </pic:pic>
              </a:graphicData>
            </a:graphic>
          </wp:inline>
        </w:drawing>
      </w:r>
    </w:p>
    <w:p w14:paraId="7CC9B18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编辑中标候选人公示，包括两部分：中标候选人公示内容以及全过程结果公示内容。非电子评标项目的公示内容需要自行编辑，电子评标项目可以自动生成初始版本。同时还可以上传中标候选人公示附件以及全过程评标结果公示附件。</w:t>
      </w:r>
    </w:p>
    <w:p w14:paraId="1F495C8F">
      <w:pPr>
        <w:widowControl w:val="0"/>
        <w:adjustRightInd/>
        <w:snapToGrid/>
        <w:spacing w:before="62" w:beforeLines="20" w:after="62" w:afterLines="20" w:line="360" w:lineRule="auto"/>
        <w:jc w:val="both"/>
      </w:pPr>
      <w:r>
        <w:drawing>
          <wp:inline distT="0" distB="0" distL="114300" distR="114300">
            <wp:extent cx="5266690" cy="2235200"/>
            <wp:effectExtent l="0" t="0" r="6350" b="5080"/>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59"/>
                    <a:stretch>
                      <a:fillRect/>
                    </a:stretch>
                  </pic:blipFill>
                  <pic:spPr>
                    <a:xfrm>
                      <a:off x="0" y="0"/>
                      <a:ext cx="5266690" cy="2235200"/>
                    </a:xfrm>
                    <a:prstGeom prst="rect">
                      <a:avLst/>
                    </a:prstGeom>
                    <a:noFill/>
                    <a:ln>
                      <a:noFill/>
                    </a:ln>
                  </pic:spPr>
                </pic:pic>
              </a:graphicData>
            </a:graphic>
          </wp:inline>
        </w:drawing>
      </w:r>
    </w:p>
    <w:p w14:paraId="1A003051">
      <w:pPr>
        <w:widowControl w:val="0"/>
        <w:adjustRightInd/>
        <w:snapToGrid/>
        <w:spacing w:before="62" w:beforeLines="20" w:after="62" w:afterLines="20" w:line="360" w:lineRule="auto"/>
        <w:jc w:val="both"/>
      </w:pPr>
      <w:r>
        <w:drawing>
          <wp:inline distT="0" distB="0" distL="114300" distR="114300">
            <wp:extent cx="5270500" cy="1962150"/>
            <wp:effectExtent l="0" t="0" r="2540" b="381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60"/>
                    <a:stretch>
                      <a:fillRect/>
                    </a:stretch>
                  </pic:blipFill>
                  <pic:spPr>
                    <a:xfrm>
                      <a:off x="0" y="0"/>
                      <a:ext cx="5270500" cy="1962150"/>
                    </a:xfrm>
                    <a:prstGeom prst="rect">
                      <a:avLst/>
                    </a:prstGeom>
                    <a:noFill/>
                    <a:ln>
                      <a:noFill/>
                    </a:ln>
                  </pic:spPr>
                </pic:pic>
              </a:graphicData>
            </a:graphic>
          </wp:inline>
        </w:drawing>
      </w:r>
    </w:p>
    <w:p w14:paraId="24A340EB">
      <w:pPr>
        <w:widowControl w:val="0"/>
        <w:adjustRightInd/>
        <w:snapToGrid/>
        <w:spacing w:before="62" w:beforeLines="20" w:after="62" w:afterLines="20" w:line="360" w:lineRule="auto"/>
        <w:ind w:firstLine="440"/>
        <w:jc w:val="both"/>
      </w:pPr>
      <w:r>
        <w:rPr>
          <w:rFonts w:hint="eastAsia" w:ascii="宋体" w:hAnsi="宋体" w:eastAsia="宋体" w:cs="Times New Roman"/>
          <w:kern w:val="2"/>
          <w:sz w:val="24"/>
          <w:szCs w:val="24"/>
        </w:rPr>
        <w:t>编辑完成之后点击“提交中标候选人公示核对”按钮，提交给交易中心经办人进行复核。</w:t>
      </w:r>
    </w:p>
    <w:p w14:paraId="0BDFC6C6">
      <w:pPr>
        <w:widowControl w:val="0"/>
        <w:adjustRightInd/>
        <w:snapToGrid/>
        <w:spacing w:before="62" w:beforeLines="20" w:after="62" w:afterLines="20" w:line="360" w:lineRule="auto"/>
        <w:jc w:val="both"/>
      </w:pPr>
      <w:r>
        <w:drawing>
          <wp:inline distT="0" distB="0" distL="114300" distR="114300">
            <wp:extent cx="5266055" cy="1133475"/>
            <wp:effectExtent l="0" t="0" r="6985" b="9525"/>
            <wp:docPr id="9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3"/>
                    <pic:cNvPicPr>
                      <a:picLocks noChangeAspect="1"/>
                    </pic:cNvPicPr>
                  </pic:nvPicPr>
                  <pic:blipFill>
                    <a:blip r:embed="rId61"/>
                    <a:stretch>
                      <a:fillRect/>
                    </a:stretch>
                  </pic:blipFill>
                  <pic:spPr>
                    <a:xfrm>
                      <a:off x="0" y="0"/>
                      <a:ext cx="5266055" cy="1133475"/>
                    </a:xfrm>
                    <a:prstGeom prst="rect">
                      <a:avLst/>
                    </a:prstGeom>
                    <a:noFill/>
                    <a:ln>
                      <a:noFill/>
                    </a:ln>
                  </pic:spPr>
                </pic:pic>
              </a:graphicData>
            </a:graphic>
          </wp:inline>
        </w:drawing>
      </w:r>
    </w:p>
    <w:p w14:paraId="7C45961B"/>
    <w:p w14:paraId="0A815411">
      <w:pPr>
        <w:pStyle w:val="5"/>
        <w:bidi w:val="0"/>
        <w:ind w:left="720" w:leftChars="0" w:hanging="720" w:firstLineChars="0"/>
      </w:pPr>
      <w:bookmarkStart w:id="23" w:name="_Toc21316"/>
      <w:bookmarkStart w:id="24" w:name="_Toc16929"/>
      <w:r>
        <w:rPr>
          <w:rFonts w:hint="eastAsia"/>
        </w:rPr>
        <w:t>交易结果公告</w:t>
      </w:r>
      <w:bookmarkEnd w:id="23"/>
      <w:bookmarkEnd w:id="24"/>
    </w:p>
    <w:p w14:paraId="19AAC9A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待招标人确认中标人完成后，代理机构</w:t>
      </w:r>
      <w:r>
        <w:rPr>
          <w:rFonts w:hint="eastAsia" w:ascii="宋体" w:hAnsi="宋体" w:eastAsia="宋体" w:cs="Times New Roman"/>
          <w:kern w:val="2"/>
          <w:sz w:val="24"/>
          <w:szCs w:val="24"/>
        </w:rPr>
        <w:t>点击菜单“结果公示 &gt; 交易结果公告”，可以看到待发布交易结果公示的项目。点击项目的“编辑公告”链接，可以进行公告的编辑。</w:t>
      </w:r>
    </w:p>
    <w:p w14:paraId="02398999">
      <w:pPr>
        <w:widowControl w:val="0"/>
        <w:adjustRightInd/>
        <w:snapToGrid/>
        <w:spacing w:before="62" w:beforeLines="20" w:after="62" w:afterLines="20" w:line="360" w:lineRule="auto"/>
        <w:jc w:val="both"/>
      </w:pPr>
      <w:r>
        <w:drawing>
          <wp:inline distT="0" distB="0" distL="114300" distR="114300">
            <wp:extent cx="5273040" cy="1802130"/>
            <wp:effectExtent l="0" t="0" r="0" b="11430"/>
            <wp:docPr id="1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3"/>
                    <pic:cNvPicPr>
                      <a:picLocks noChangeAspect="1"/>
                    </pic:cNvPicPr>
                  </pic:nvPicPr>
                  <pic:blipFill>
                    <a:blip r:embed="rId62"/>
                    <a:stretch>
                      <a:fillRect/>
                    </a:stretch>
                  </pic:blipFill>
                  <pic:spPr>
                    <a:xfrm>
                      <a:off x="0" y="0"/>
                      <a:ext cx="5273040" cy="1802130"/>
                    </a:xfrm>
                    <a:prstGeom prst="rect">
                      <a:avLst/>
                    </a:prstGeom>
                    <a:noFill/>
                    <a:ln>
                      <a:noFill/>
                    </a:ln>
                  </pic:spPr>
                </pic:pic>
              </a:graphicData>
            </a:graphic>
          </wp:inline>
        </w:drawing>
      </w:r>
    </w:p>
    <w:p w14:paraId="22EBF473">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lang w:val="en-US" w:eastAsia="zh-CN"/>
        </w:rPr>
        <w:t>可以点击“生成公告”，生成公告内容，可以</w:t>
      </w:r>
      <w:r>
        <w:rPr>
          <w:rFonts w:hint="eastAsia" w:ascii="宋体" w:hAnsi="宋体" w:eastAsia="宋体" w:cs="Times New Roman"/>
          <w:kern w:val="2"/>
          <w:sz w:val="24"/>
          <w:szCs w:val="24"/>
        </w:rPr>
        <w:t>对公告</w:t>
      </w:r>
      <w:r>
        <w:rPr>
          <w:rFonts w:hint="eastAsia" w:ascii="宋体" w:hAnsi="宋体" w:eastAsia="宋体" w:cs="Times New Roman"/>
          <w:kern w:val="2"/>
          <w:sz w:val="24"/>
          <w:szCs w:val="24"/>
          <w:lang w:val="en-US" w:eastAsia="zh-CN"/>
        </w:rPr>
        <w:t>内容</w:t>
      </w:r>
      <w:r>
        <w:rPr>
          <w:rFonts w:hint="eastAsia" w:ascii="宋体" w:hAnsi="宋体" w:eastAsia="宋体" w:cs="Times New Roman"/>
          <w:kern w:val="2"/>
          <w:sz w:val="24"/>
          <w:szCs w:val="24"/>
        </w:rPr>
        <w:t>进行编辑，上传公告附件，可以点击“预览公告”进行预览。</w:t>
      </w:r>
    </w:p>
    <w:p w14:paraId="725DC2B6">
      <w:pPr>
        <w:widowControl w:val="0"/>
        <w:adjustRightInd/>
        <w:snapToGrid/>
        <w:spacing w:before="62" w:beforeLines="20" w:after="62" w:afterLines="20" w:line="360" w:lineRule="auto"/>
      </w:pPr>
      <w:r>
        <w:drawing>
          <wp:inline distT="0" distB="0" distL="114300" distR="114300">
            <wp:extent cx="5266690" cy="2241550"/>
            <wp:effectExtent l="0" t="0" r="6350" b="13970"/>
            <wp:docPr id="1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4"/>
                    <pic:cNvPicPr>
                      <a:picLocks noChangeAspect="1"/>
                    </pic:cNvPicPr>
                  </pic:nvPicPr>
                  <pic:blipFill>
                    <a:blip r:embed="rId63"/>
                    <a:stretch>
                      <a:fillRect/>
                    </a:stretch>
                  </pic:blipFill>
                  <pic:spPr>
                    <a:xfrm>
                      <a:off x="0" y="0"/>
                      <a:ext cx="5266690" cy="2241550"/>
                    </a:xfrm>
                    <a:prstGeom prst="rect">
                      <a:avLst/>
                    </a:prstGeom>
                    <a:noFill/>
                    <a:ln>
                      <a:noFill/>
                    </a:ln>
                  </pic:spPr>
                </pic:pic>
              </a:graphicData>
            </a:graphic>
          </wp:inline>
        </w:drawing>
      </w:r>
    </w:p>
    <w:p w14:paraId="23933417">
      <w:pPr>
        <w:widowControl w:val="0"/>
        <w:adjustRightInd/>
        <w:snapToGrid/>
        <w:spacing w:before="62" w:beforeLines="20" w:after="62" w:afterLines="20" w:line="360" w:lineRule="auto"/>
        <w:ind w:firstLine="480" w:firstLineChars="200"/>
        <w:jc w:val="both"/>
        <w:rPr>
          <w:rFonts w:hint="eastAsia" w:ascii="宋体" w:hAnsi="宋体" w:eastAsia="宋体" w:cs="Times New Roman"/>
          <w:kern w:val="2"/>
          <w:sz w:val="24"/>
          <w:szCs w:val="24"/>
        </w:rPr>
      </w:pPr>
      <w:r>
        <w:rPr>
          <w:rFonts w:hint="eastAsia" w:ascii="宋体" w:hAnsi="宋体" w:eastAsia="宋体" w:cs="Times New Roman"/>
          <w:kern w:val="2"/>
          <w:sz w:val="24"/>
          <w:szCs w:val="24"/>
        </w:rPr>
        <w:t>公告编辑完成后，点击“提交</w:t>
      </w:r>
      <w:r>
        <w:rPr>
          <w:rFonts w:hint="eastAsia" w:ascii="宋体" w:hAnsi="宋体" w:eastAsia="宋体" w:cs="Times New Roman"/>
          <w:kern w:val="2"/>
          <w:sz w:val="24"/>
          <w:szCs w:val="24"/>
          <w:lang w:val="en-US" w:eastAsia="zh-CN"/>
        </w:rPr>
        <w:t>交易结果公示核对</w:t>
      </w:r>
      <w:r>
        <w:rPr>
          <w:rFonts w:hint="eastAsia" w:ascii="宋体" w:hAnsi="宋体" w:eastAsia="宋体" w:cs="Times New Roman"/>
          <w:kern w:val="2"/>
          <w:sz w:val="24"/>
          <w:szCs w:val="24"/>
        </w:rPr>
        <w:t>”按钮</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rPr>
        <w:t>提交到</w:t>
      </w:r>
      <w:r>
        <w:rPr>
          <w:rFonts w:hint="eastAsia" w:ascii="宋体" w:hAnsi="宋体" w:eastAsia="宋体" w:cs="Times New Roman"/>
          <w:kern w:val="2"/>
          <w:sz w:val="24"/>
          <w:szCs w:val="24"/>
          <w:lang w:val="en-US" w:eastAsia="zh-CN"/>
        </w:rPr>
        <w:t>中心</w:t>
      </w:r>
      <w:r>
        <w:rPr>
          <w:rFonts w:hint="eastAsia" w:ascii="宋体" w:hAnsi="宋体" w:eastAsia="宋体" w:cs="Times New Roman"/>
          <w:kern w:val="2"/>
          <w:sz w:val="24"/>
          <w:szCs w:val="24"/>
        </w:rPr>
        <w:t>经办人处进行交易结果公示复核。</w:t>
      </w:r>
    </w:p>
    <w:p w14:paraId="2808D8C3">
      <w:pPr>
        <w:widowControl w:val="0"/>
        <w:adjustRightInd/>
        <w:snapToGrid/>
        <w:spacing w:before="62" w:beforeLines="20" w:after="62" w:afterLines="20" w:line="360" w:lineRule="auto"/>
        <w:jc w:val="both"/>
        <w:rPr>
          <w:rFonts w:hint="eastAsia" w:ascii="宋体" w:hAnsi="宋体" w:eastAsia="宋体" w:cs="Times New Roman"/>
          <w:kern w:val="2"/>
          <w:sz w:val="24"/>
          <w:szCs w:val="24"/>
        </w:rPr>
      </w:pPr>
      <w:r>
        <w:drawing>
          <wp:inline distT="0" distB="0" distL="114300" distR="114300">
            <wp:extent cx="5273675" cy="1014095"/>
            <wp:effectExtent l="0" t="0" r="14605" b="6985"/>
            <wp:docPr id="13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5"/>
                    <pic:cNvPicPr>
                      <a:picLocks noChangeAspect="1"/>
                    </pic:cNvPicPr>
                  </pic:nvPicPr>
                  <pic:blipFill>
                    <a:blip r:embed="rId64"/>
                    <a:stretch>
                      <a:fillRect/>
                    </a:stretch>
                  </pic:blipFill>
                  <pic:spPr>
                    <a:xfrm>
                      <a:off x="0" y="0"/>
                      <a:ext cx="5273675" cy="1014095"/>
                    </a:xfrm>
                    <a:prstGeom prst="rect">
                      <a:avLst/>
                    </a:prstGeom>
                    <a:noFill/>
                    <a:ln>
                      <a:noFill/>
                    </a:ln>
                  </pic:spPr>
                </pic:pic>
              </a:graphicData>
            </a:graphic>
          </wp:inline>
        </w:drawing>
      </w:r>
    </w:p>
    <w:p w14:paraId="38DA5BF3">
      <w:pPr>
        <w:pStyle w:val="5"/>
        <w:bidi w:val="0"/>
        <w:ind w:left="720" w:leftChars="0" w:hanging="720" w:firstLineChars="0"/>
      </w:pPr>
      <w:bookmarkStart w:id="25" w:name="_Toc18323"/>
      <w:r>
        <w:rPr>
          <w:rFonts w:hint="eastAsia"/>
        </w:rPr>
        <w:t>发送中选通知书</w:t>
      </w:r>
      <w:bookmarkEnd w:id="25"/>
    </w:p>
    <w:p w14:paraId="3E601035">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点击菜单“中标通知书 &gt; 发送中标通知书”，可以看到待发送中标通知书的项目。点击项目的“发送”链接，进入中标通知书发送界面。</w:t>
      </w:r>
    </w:p>
    <w:p w14:paraId="258FC2A7">
      <w:pPr>
        <w:widowControl w:val="0"/>
        <w:adjustRightInd/>
        <w:snapToGrid/>
        <w:spacing w:before="62" w:beforeLines="20" w:after="62" w:afterLines="20" w:line="360" w:lineRule="auto"/>
        <w:jc w:val="both"/>
      </w:pPr>
      <w:r>
        <w:drawing>
          <wp:inline distT="0" distB="0" distL="114300" distR="114300">
            <wp:extent cx="5271770" cy="1916430"/>
            <wp:effectExtent l="0" t="0" r="1270" b="3810"/>
            <wp:docPr id="1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6"/>
                    <pic:cNvPicPr>
                      <a:picLocks noChangeAspect="1"/>
                    </pic:cNvPicPr>
                  </pic:nvPicPr>
                  <pic:blipFill>
                    <a:blip r:embed="rId65"/>
                    <a:stretch>
                      <a:fillRect/>
                    </a:stretch>
                  </pic:blipFill>
                  <pic:spPr>
                    <a:xfrm>
                      <a:off x="0" y="0"/>
                      <a:ext cx="5271770" cy="1916430"/>
                    </a:xfrm>
                    <a:prstGeom prst="rect">
                      <a:avLst/>
                    </a:prstGeom>
                    <a:noFill/>
                    <a:ln>
                      <a:noFill/>
                    </a:ln>
                  </pic:spPr>
                </pic:pic>
              </a:graphicData>
            </a:graphic>
          </wp:inline>
        </w:drawing>
      </w:r>
    </w:p>
    <w:p w14:paraId="1790C59C">
      <w:pPr>
        <w:widowControl w:val="0"/>
        <w:adjustRightInd/>
        <w:snapToGrid/>
        <w:spacing w:before="62" w:beforeLines="20" w:after="62" w:afterLines="20" w:line="360" w:lineRule="auto"/>
        <w:jc w:val="both"/>
        <w:rPr>
          <w:rFonts w:ascii="宋体" w:hAnsi="宋体" w:eastAsia="宋体" w:cs="Times New Roman"/>
          <w:kern w:val="2"/>
          <w:sz w:val="24"/>
          <w:szCs w:val="24"/>
        </w:rPr>
      </w:pPr>
      <w:r>
        <w:tab/>
      </w:r>
      <w:r>
        <w:rPr>
          <w:rFonts w:hint="eastAsia" w:ascii="宋体" w:hAnsi="宋体" w:eastAsia="宋体" w:cs="Times New Roman"/>
          <w:kern w:val="2"/>
          <w:sz w:val="24"/>
          <w:szCs w:val="24"/>
        </w:rPr>
        <w:t>点击“查看附件”，可以</w:t>
      </w:r>
      <w:r>
        <w:rPr>
          <w:rFonts w:hint="eastAsia" w:ascii="宋体" w:hAnsi="宋体" w:eastAsia="宋体" w:cs="Times New Roman"/>
          <w:kern w:val="2"/>
          <w:sz w:val="24"/>
          <w:szCs w:val="24"/>
          <w:lang w:val="en-US" w:eastAsia="zh-CN"/>
        </w:rPr>
        <w:t>查看</w:t>
      </w:r>
      <w:r>
        <w:rPr>
          <w:rFonts w:hint="eastAsia" w:ascii="宋体" w:hAnsi="宋体" w:eastAsia="宋体" w:cs="Times New Roman"/>
          <w:kern w:val="2"/>
          <w:sz w:val="24"/>
          <w:szCs w:val="24"/>
        </w:rPr>
        <w:t>生成的中标通知书</w:t>
      </w:r>
      <w:r>
        <w:rPr>
          <w:rFonts w:hint="eastAsia" w:ascii="宋体" w:hAnsi="宋体" w:eastAsia="宋体" w:cs="Times New Roman"/>
          <w:kern w:val="2"/>
          <w:sz w:val="24"/>
          <w:szCs w:val="24"/>
          <w:lang w:eastAsia="zh-CN"/>
        </w:rPr>
        <w:t>，</w:t>
      </w:r>
      <w:r>
        <w:rPr>
          <w:rFonts w:hint="eastAsia" w:ascii="宋体" w:hAnsi="宋体" w:eastAsia="宋体" w:cs="Times New Roman"/>
          <w:kern w:val="2"/>
          <w:sz w:val="24"/>
          <w:szCs w:val="24"/>
          <w:lang w:val="en-US" w:eastAsia="zh-CN"/>
        </w:rPr>
        <w:t>如果通知书无误，可以点击“代理机构签章”，对中标通知书的“代理机构签章处”，进行代理机构签章</w:t>
      </w:r>
      <w:r>
        <w:rPr>
          <w:rFonts w:hint="eastAsia" w:ascii="宋体" w:hAnsi="宋体" w:eastAsia="宋体" w:cs="Times New Roman"/>
          <w:kern w:val="2"/>
          <w:sz w:val="24"/>
          <w:szCs w:val="24"/>
        </w:rPr>
        <w:t>。完成后，点击按钮“提交通知书</w:t>
      </w:r>
      <w:r>
        <w:rPr>
          <w:rFonts w:hint="eastAsia" w:ascii="宋体" w:hAnsi="宋体" w:eastAsia="宋体" w:cs="Times New Roman"/>
          <w:kern w:val="2"/>
          <w:sz w:val="24"/>
          <w:szCs w:val="24"/>
          <w:lang w:val="en-US" w:eastAsia="zh-CN"/>
        </w:rPr>
        <w:t>给招标人签章</w:t>
      </w:r>
      <w:r>
        <w:rPr>
          <w:rFonts w:hint="eastAsia" w:ascii="宋体" w:hAnsi="宋体" w:eastAsia="宋体" w:cs="Times New Roman"/>
          <w:kern w:val="2"/>
          <w:sz w:val="24"/>
          <w:szCs w:val="24"/>
        </w:rPr>
        <w:t>”，将</w:t>
      </w:r>
      <w:r>
        <w:rPr>
          <w:rFonts w:hint="eastAsia" w:ascii="宋体" w:hAnsi="宋体" w:eastAsia="宋体" w:cs="Times New Roman"/>
          <w:kern w:val="2"/>
          <w:sz w:val="24"/>
          <w:szCs w:val="24"/>
          <w:lang w:val="en-US" w:eastAsia="zh-CN"/>
        </w:rPr>
        <w:t>中标</w:t>
      </w:r>
      <w:r>
        <w:rPr>
          <w:rFonts w:hint="eastAsia" w:ascii="宋体" w:hAnsi="宋体" w:eastAsia="宋体" w:cs="Times New Roman"/>
          <w:kern w:val="2"/>
          <w:sz w:val="24"/>
          <w:szCs w:val="24"/>
        </w:rPr>
        <w:t>通知书提交到</w:t>
      </w:r>
      <w:r>
        <w:rPr>
          <w:rFonts w:hint="eastAsia" w:ascii="宋体" w:hAnsi="宋体" w:eastAsia="宋体" w:cs="Times New Roman"/>
          <w:kern w:val="2"/>
          <w:sz w:val="24"/>
          <w:szCs w:val="24"/>
          <w:lang w:val="en-US" w:eastAsia="zh-CN"/>
        </w:rPr>
        <w:t>招标人</w:t>
      </w:r>
      <w:r>
        <w:rPr>
          <w:rFonts w:hint="eastAsia" w:ascii="宋体" w:hAnsi="宋体" w:eastAsia="宋体" w:cs="Times New Roman"/>
          <w:kern w:val="2"/>
          <w:sz w:val="24"/>
          <w:szCs w:val="24"/>
        </w:rPr>
        <w:t>处进行</w:t>
      </w:r>
      <w:r>
        <w:rPr>
          <w:rFonts w:hint="eastAsia" w:ascii="宋体" w:hAnsi="宋体" w:eastAsia="宋体" w:cs="Times New Roman"/>
          <w:kern w:val="2"/>
          <w:sz w:val="24"/>
          <w:szCs w:val="24"/>
          <w:lang w:val="en-US" w:eastAsia="zh-CN"/>
        </w:rPr>
        <w:t>签章</w:t>
      </w:r>
      <w:r>
        <w:rPr>
          <w:rFonts w:hint="eastAsia" w:ascii="宋体" w:hAnsi="宋体" w:eastAsia="宋体" w:cs="Times New Roman"/>
          <w:kern w:val="2"/>
          <w:sz w:val="24"/>
          <w:szCs w:val="24"/>
        </w:rPr>
        <w:t>操作。</w:t>
      </w:r>
    </w:p>
    <w:p w14:paraId="3E149C96">
      <w:pPr>
        <w:widowControl w:val="0"/>
        <w:adjustRightInd/>
        <w:snapToGrid/>
        <w:spacing w:before="62" w:beforeLines="20" w:after="62" w:afterLines="20" w:line="360" w:lineRule="auto"/>
        <w:jc w:val="both"/>
      </w:pPr>
      <w:r>
        <w:drawing>
          <wp:inline distT="0" distB="0" distL="114300" distR="114300">
            <wp:extent cx="5260975" cy="1818640"/>
            <wp:effectExtent l="0" t="0" r="12065" b="1016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6"/>
                    <a:stretch>
                      <a:fillRect/>
                    </a:stretch>
                  </pic:blipFill>
                  <pic:spPr>
                    <a:xfrm>
                      <a:off x="0" y="0"/>
                      <a:ext cx="5260975" cy="1818640"/>
                    </a:xfrm>
                    <a:prstGeom prst="rect">
                      <a:avLst/>
                    </a:prstGeom>
                    <a:noFill/>
                    <a:ln>
                      <a:noFill/>
                    </a:ln>
                  </pic:spPr>
                </pic:pic>
              </a:graphicData>
            </a:graphic>
          </wp:inline>
        </w:drawing>
      </w:r>
    </w:p>
    <w:p w14:paraId="7CB8BEB4">
      <w:pPr>
        <w:widowControl w:val="0"/>
        <w:adjustRightInd/>
        <w:snapToGrid/>
        <w:spacing w:before="62" w:beforeLines="20" w:after="62" w:afterLines="20" w:line="360" w:lineRule="auto"/>
        <w:jc w:val="both"/>
      </w:pPr>
    </w:p>
    <w:p w14:paraId="16A1FCEF">
      <w:pPr>
        <w:widowControl w:val="0"/>
        <w:adjustRightInd/>
        <w:snapToGrid/>
        <w:spacing w:before="62" w:beforeLines="20" w:after="62" w:afterLines="20" w:line="360" w:lineRule="auto"/>
        <w:jc w:val="both"/>
      </w:pPr>
      <w:r>
        <w:drawing>
          <wp:inline distT="0" distB="0" distL="114300" distR="114300">
            <wp:extent cx="5267960" cy="3005455"/>
            <wp:effectExtent l="0" t="0" r="5080" b="1206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7"/>
                    <a:stretch>
                      <a:fillRect/>
                    </a:stretch>
                  </pic:blipFill>
                  <pic:spPr>
                    <a:xfrm>
                      <a:off x="0" y="0"/>
                      <a:ext cx="5267960" cy="3005455"/>
                    </a:xfrm>
                    <a:prstGeom prst="rect">
                      <a:avLst/>
                    </a:prstGeom>
                    <a:noFill/>
                    <a:ln>
                      <a:noFill/>
                    </a:ln>
                  </pic:spPr>
                </pic:pic>
              </a:graphicData>
            </a:graphic>
          </wp:inline>
        </w:drawing>
      </w:r>
    </w:p>
    <w:p w14:paraId="322211F8">
      <w:pPr>
        <w:pStyle w:val="4"/>
        <w:bidi w:val="0"/>
        <w:ind w:left="575" w:leftChars="0" w:hanging="575" w:firstLineChars="0"/>
      </w:pPr>
      <w:bookmarkStart w:id="26" w:name="_Toc23026"/>
      <w:r>
        <w:rPr>
          <w:rFonts w:hint="eastAsia"/>
        </w:rPr>
        <w:t>答疑及答疑公告</w:t>
      </w:r>
      <w:bookmarkEnd w:id="26"/>
    </w:p>
    <w:p w14:paraId="373729AF">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报名企业可以通过交易系统对交易提出疑问，代理机构需要对疑问进行回复，如果需要可以发布答疑公告。</w:t>
      </w:r>
    </w:p>
    <w:p w14:paraId="0CB22C85">
      <w:pPr>
        <w:pStyle w:val="5"/>
        <w:bidi w:val="0"/>
        <w:ind w:left="720" w:leftChars="0" w:hanging="720" w:firstLineChars="0"/>
      </w:pPr>
      <w:bookmarkStart w:id="27" w:name="_Toc31713"/>
      <w:bookmarkStart w:id="28" w:name="_Toc45012696"/>
      <w:bookmarkStart w:id="29" w:name="_Toc26658"/>
      <w:r>
        <w:rPr>
          <w:rFonts w:hint="eastAsia"/>
        </w:rPr>
        <w:t>答疑</w:t>
      </w:r>
      <w:bookmarkEnd w:id="27"/>
      <w:bookmarkEnd w:id="28"/>
      <w:bookmarkEnd w:id="29"/>
    </w:p>
    <w:p w14:paraId="28FED297">
      <w:pPr>
        <w:widowControl w:val="0"/>
        <w:adjustRightInd/>
        <w:snapToGrid/>
        <w:spacing w:before="62" w:beforeLines="20" w:after="62" w:afterLines="20" w:line="360" w:lineRule="auto"/>
        <w:ind w:firstLine="480" w:firstLineChars="200"/>
        <w:jc w:val="both"/>
        <w:rPr>
          <w:rFonts w:hint="default"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在“网上提问截止时间”之后，企业将不能再提出疑问，代理机构可以开始进行答疑。注意：答疑需要在“网上答疑截止时间”之前完成。</w:t>
      </w:r>
    </w:p>
    <w:p w14:paraId="0DC2153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lang w:val="en-US" w:eastAsia="zh-CN"/>
        </w:rPr>
        <w:t>代理机构</w:t>
      </w:r>
      <w:r>
        <w:rPr>
          <w:rFonts w:hint="eastAsia" w:ascii="宋体" w:hAnsi="宋体" w:eastAsia="宋体" w:cs="Times New Roman"/>
          <w:kern w:val="2"/>
          <w:sz w:val="24"/>
          <w:szCs w:val="24"/>
        </w:rPr>
        <w:t>点击菜单“答疑 &gt; 回复疑问”，进入“答疑”页面。答疑页面在页面中列出需要答疑的交易记录，点击其中一条交易记录的“回复疑问”链接，可以对疑问进行回复。</w:t>
      </w:r>
    </w:p>
    <w:p w14:paraId="52156F4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975" cy="1570355"/>
            <wp:effectExtent l="0" t="0" r="12065" b="146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8"/>
                    <a:stretch>
                      <a:fillRect/>
                    </a:stretch>
                  </pic:blipFill>
                  <pic:spPr>
                    <a:xfrm>
                      <a:off x="0" y="0"/>
                      <a:ext cx="5260975" cy="1570355"/>
                    </a:xfrm>
                    <a:prstGeom prst="rect">
                      <a:avLst/>
                    </a:prstGeom>
                    <a:noFill/>
                    <a:ln>
                      <a:noFill/>
                    </a:ln>
                  </pic:spPr>
                </pic:pic>
              </a:graphicData>
            </a:graphic>
          </wp:inline>
        </w:drawing>
      </w:r>
    </w:p>
    <w:p w14:paraId="62EBECC5">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代理机构在问题信息列表中，可以看到未答复的问题，并可以在“回复内容”列中进行疑问答复。答复完成后，点击</w:t>
      </w:r>
      <w:r>
        <w:rPr>
          <w:rFonts w:hint="eastAsia" w:ascii="宋体" w:hAnsi="宋体" w:eastAsia="宋体" w:cs="Times New Roman"/>
          <w:kern w:val="2"/>
          <w:sz w:val="24"/>
          <w:szCs w:val="24"/>
          <w:lang w:val="en-US" w:eastAsia="zh-CN"/>
        </w:rPr>
        <w:t>暂存保存。点击</w:t>
      </w:r>
      <w:r>
        <w:rPr>
          <w:rFonts w:hint="eastAsia" w:ascii="宋体" w:hAnsi="宋体" w:eastAsia="宋体" w:cs="Times New Roman"/>
          <w:kern w:val="2"/>
          <w:sz w:val="24"/>
          <w:szCs w:val="24"/>
        </w:rPr>
        <w:t>“回复问题”，完成问题回复。</w:t>
      </w:r>
    </w:p>
    <w:p w14:paraId="06993809">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0340" cy="2483485"/>
            <wp:effectExtent l="0" t="0" r="12700" b="63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69"/>
                    <a:stretch>
                      <a:fillRect/>
                    </a:stretch>
                  </pic:blipFill>
                  <pic:spPr>
                    <a:xfrm>
                      <a:off x="0" y="0"/>
                      <a:ext cx="5260340" cy="2483485"/>
                    </a:xfrm>
                    <a:prstGeom prst="rect">
                      <a:avLst/>
                    </a:prstGeom>
                    <a:noFill/>
                    <a:ln>
                      <a:noFill/>
                    </a:ln>
                  </pic:spPr>
                </pic:pic>
              </a:graphicData>
            </a:graphic>
          </wp:inline>
        </w:drawing>
      </w:r>
    </w:p>
    <w:p w14:paraId="3C8D55CF">
      <w:pPr>
        <w:pStyle w:val="5"/>
        <w:bidi w:val="0"/>
        <w:ind w:left="720" w:leftChars="0" w:hanging="720" w:firstLineChars="0"/>
      </w:pPr>
      <w:bookmarkStart w:id="30" w:name="_Toc45012697"/>
      <w:bookmarkStart w:id="31" w:name="_Toc26700"/>
      <w:bookmarkStart w:id="32" w:name="_Toc29720"/>
      <w:r>
        <w:rPr>
          <w:rFonts w:hint="eastAsia"/>
        </w:rPr>
        <w:t>发布答疑公告</w:t>
      </w:r>
      <w:bookmarkEnd w:id="30"/>
      <w:bookmarkEnd w:id="31"/>
      <w:bookmarkEnd w:id="32"/>
    </w:p>
    <w:p w14:paraId="18444CBD">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代理机构点击菜单“答疑公告 &gt; 发起答疑公告”，进入“发布答疑公告”页面。点击页面中的“新增答疑公告”按钮，可以发起一个新的答疑公告。</w:t>
      </w:r>
    </w:p>
    <w:p w14:paraId="694569D8">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71770" cy="2376805"/>
            <wp:effectExtent l="0" t="0" r="1270" b="635"/>
            <wp:docPr id="7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
                    <pic:cNvPicPr>
                      <a:picLocks noChangeAspect="1"/>
                    </pic:cNvPicPr>
                  </pic:nvPicPr>
                  <pic:blipFill>
                    <a:blip r:embed="rId70"/>
                    <a:stretch>
                      <a:fillRect/>
                    </a:stretch>
                  </pic:blipFill>
                  <pic:spPr>
                    <a:xfrm>
                      <a:off x="0" y="0"/>
                      <a:ext cx="5271770" cy="2376805"/>
                    </a:xfrm>
                    <a:prstGeom prst="rect">
                      <a:avLst/>
                    </a:prstGeom>
                    <a:noFill/>
                    <a:ln>
                      <a:noFill/>
                    </a:ln>
                  </pic:spPr>
                </pic:pic>
              </a:graphicData>
            </a:graphic>
          </wp:inline>
        </w:drawing>
      </w:r>
    </w:p>
    <w:p w14:paraId="1C057727">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发起答疑公告时，选择一个正在进行的建设工程交易记录，点击“选择并返回”按钮选中该交易。</w:t>
      </w:r>
    </w:p>
    <w:p w14:paraId="756132A1">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4785" cy="1450340"/>
            <wp:effectExtent l="0" t="0" r="8255" b="12700"/>
            <wp:docPr id="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
                    <pic:cNvPicPr>
                      <a:picLocks noChangeAspect="1"/>
                    </pic:cNvPicPr>
                  </pic:nvPicPr>
                  <pic:blipFill>
                    <a:blip r:embed="rId71"/>
                    <a:stretch>
                      <a:fillRect/>
                    </a:stretch>
                  </pic:blipFill>
                  <pic:spPr>
                    <a:xfrm>
                      <a:off x="0" y="0"/>
                      <a:ext cx="5264785" cy="1450340"/>
                    </a:xfrm>
                    <a:prstGeom prst="rect">
                      <a:avLst/>
                    </a:prstGeom>
                    <a:noFill/>
                    <a:ln>
                      <a:noFill/>
                    </a:ln>
                  </pic:spPr>
                </pic:pic>
              </a:graphicData>
            </a:graphic>
          </wp:inline>
        </w:drawing>
      </w:r>
    </w:p>
    <w:p w14:paraId="5512637F">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进入答疑公告编辑发布页面后，可以选择一条或多条企业疑问记录，选中后点击“生成公告内容”按钮，可以生成疑问公告内容，并在下方的公告内容中显示。</w:t>
      </w:r>
    </w:p>
    <w:p w14:paraId="119DAA36">
      <w:pPr>
        <w:widowControl w:val="0"/>
        <w:adjustRightInd/>
        <w:snapToGrid/>
        <w:spacing w:before="62" w:beforeLines="20" w:after="62" w:afterLines="20" w:line="360" w:lineRule="auto"/>
        <w:jc w:val="both"/>
        <w:rPr>
          <w:rFonts w:ascii="宋体" w:hAnsi="宋体" w:eastAsia="宋体" w:cs="Times New Roman"/>
          <w:kern w:val="2"/>
          <w:sz w:val="24"/>
          <w:szCs w:val="24"/>
        </w:rPr>
      </w:pPr>
      <w:r>
        <w:drawing>
          <wp:inline distT="0" distB="0" distL="114300" distR="114300">
            <wp:extent cx="5265420" cy="2181225"/>
            <wp:effectExtent l="0" t="0" r="7620" b="1333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72"/>
                    <a:stretch>
                      <a:fillRect/>
                    </a:stretch>
                  </pic:blipFill>
                  <pic:spPr>
                    <a:xfrm>
                      <a:off x="0" y="0"/>
                      <a:ext cx="5265420" cy="2181225"/>
                    </a:xfrm>
                    <a:prstGeom prst="rect">
                      <a:avLst/>
                    </a:prstGeom>
                    <a:noFill/>
                    <a:ln>
                      <a:noFill/>
                    </a:ln>
                  </pic:spPr>
                </pic:pic>
              </a:graphicData>
            </a:graphic>
          </wp:inline>
        </w:drawing>
      </w:r>
    </w:p>
    <w:p w14:paraId="3311BB1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代理机构可以对生成的答疑公告进行编辑，确认无误后，点击“提交答疑公告”按钮提交答疑公告。提交后，将由招标人以及交易中心相关人员进行公告核对。</w:t>
      </w:r>
    </w:p>
    <w:p w14:paraId="4D6ADA91">
      <w:pPr>
        <w:widowControl w:val="0"/>
        <w:adjustRightInd/>
        <w:snapToGrid/>
        <w:spacing w:before="62" w:beforeLines="20" w:after="62" w:afterLines="20" w:line="360" w:lineRule="auto"/>
        <w:jc w:val="both"/>
        <w:rPr>
          <w:rFonts w:ascii="Arial" w:hAnsi="Arial"/>
          <w:b/>
          <w:bCs/>
        </w:rPr>
      </w:pPr>
      <w:r>
        <w:drawing>
          <wp:inline distT="0" distB="0" distL="114300" distR="114300">
            <wp:extent cx="5263515" cy="2684780"/>
            <wp:effectExtent l="0" t="0" r="9525" b="12700"/>
            <wp:docPr id="7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2"/>
                    <pic:cNvPicPr>
                      <a:picLocks noChangeAspect="1"/>
                    </pic:cNvPicPr>
                  </pic:nvPicPr>
                  <pic:blipFill>
                    <a:blip r:embed="rId73"/>
                    <a:stretch>
                      <a:fillRect/>
                    </a:stretch>
                  </pic:blipFill>
                  <pic:spPr>
                    <a:xfrm>
                      <a:off x="0" y="0"/>
                      <a:ext cx="5263515" cy="2684780"/>
                    </a:xfrm>
                    <a:prstGeom prst="rect">
                      <a:avLst/>
                    </a:prstGeom>
                    <a:noFill/>
                    <a:ln>
                      <a:noFill/>
                    </a:ln>
                  </pic:spPr>
                </pic:pic>
              </a:graphicData>
            </a:graphic>
          </wp:inline>
        </w:drawing>
      </w:r>
    </w:p>
    <w:p w14:paraId="5528ECD8">
      <w:pPr>
        <w:widowControl w:val="0"/>
        <w:adjustRightInd/>
        <w:snapToGrid/>
        <w:spacing w:before="62" w:beforeLines="20" w:after="62" w:afterLines="20" w:line="360" w:lineRule="auto"/>
        <w:jc w:val="both"/>
      </w:pPr>
    </w:p>
    <w:p w14:paraId="4C72BBEA">
      <w:pPr>
        <w:pStyle w:val="4"/>
        <w:bidi w:val="0"/>
        <w:ind w:left="575" w:leftChars="0" w:hanging="575" w:firstLineChars="0"/>
      </w:pPr>
      <w:bookmarkStart w:id="33" w:name="_Toc22875"/>
      <w:r>
        <w:rPr>
          <w:rFonts w:hint="eastAsia"/>
        </w:rPr>
        <w:t>更正公告</w:t>
      </w:r>
      <w:bookmarkEnd w:id="33"/>
    </w:p>
    <w:p w14:paraId="1DD41F3B">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当项目需要进行更正是，代理机构可以对项目信息进行修改，并发起更正公告。点击菜单“更正公告 &gt; 发起更正公告”。</w:t>
      </w:r>
    </w:p>
    <w:p w14:paraId="417E78C3">
      <w:pPr>
        <w:widowControl w:val="0"/>
        <w:adjustRightInd/>
        <w:snapToGrid/>
        <w:spacing w:before="62" w:beforeLines="20" w:after="62" w:afterLines="20" w:line="360" w:lineRule="auto"/>
        <w:jc w:val="both"/>
      </w:pPr>
      <w:r>
        <w:drawing>
          <wp:inline distT="0" distB="0" distL="114300" distR="114300">
            <wp:extent cx="5270500" cy="2374900"/>
            <wp:effectExtent l="0" t="0" r="2540" b="254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74"/>
                    <a:stretch>
                      <a:fillRect/>
                    </a:stretch>
                  </pic:blipFill>
                  <pic:spPr>
                    <a:xfrm>
                      <a:off x="0" y="0"/>
                      <a:ext cx="5270500" cy="2374900"/>
                    </a:xfrm>
                    <a:prstGeom prst="rect">
                      <a:avLst/>
                    </a:prstGeom>
                    <a:noFill/>
                    <a:ln>
                      <a:noFill/>
                    </a:ln>
                  </pic:spPr>
                </pic:pic>
              </a:graphicData>
            </a:graphic>
          </wp:inline>
        </w:drawing>
      </w:r>
    </w:p>
    <w:p w14:paraId="7B6B5193">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然后点击“新增更正公告”，可以选择正在公告或者待开标的项目进行更正。点击需要更正项目行所在的“选择并返回”，可以选择需要更正的项目。</w:t>
      </w:r>
    </w:p>
    <w:p w14:paraId="7E2B1C65">
      <w:pPr>
        <w:widowControl w:val="0"/>
        <w:adjustRightInd/>
        <w:snapToGrid/>
        <w:spacing w:before="62" w:beforeLines="20" w:after="62" w:afterLines="20" w:line="360" w:lineRule="auto"/>
        <w:jc w:val="both"/>
      </w:pPr>
      <w:r>
        <w:drawing>
          <wp:inline distT="0" distB="0" distL="114300" distR="114300">
            <wp:extent cx="5266690" cy="1872615"/>
            <wp:effectExtent l="0" t="0" r="6350" b="1905"/>
            <wp:docPr id="13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8"/>
                    <pic:cNvPicPr>
                      <a:picLocks noChangeAspect="1"/>
                    </pic:cNvPicPr>
                  </pic:nvPicPr>
                  <pic:blipFill>
                    <a:blip r:embed="rId75"/>
                    <a:stretch>
                      <a:fillRect/>
                    </a:stretch>
                  </pic:blipFill>
                  <pic:spPr>
                    <a:xfrm>
                      <a:off x="0" y="0"/>
                      <a:ext cx="5266690" cy="1872615"/>
                    </a:xfrm>
                    <a:prstGeom prst="rect">
                      <a:avLst/>
                    </a:prstGeom>
                    <a:noFill/>
                    <a:ln>
                      <a:noFill/>
                    </a:ln>
                  </pic:spPr>
                </pic:pic>
              </a:graphicData>
            </a:graphic>
          </wp:inline>
        </w:drawing>
      </w:r>
    </w:p>
    <w:p w14:paraId="2E8CFB74">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进入项目后，可以对项目的信息、标段、议程信息等进行更正。</w:t>
      </w:r>
    </w:p>
    <w:p w14:paraId="34919B50">
      <w:pPr>
        <w:widowControl w:val="0"/>
        <w:adjustRightInd/>
        <w:snapToGrid/>
        <w:spacing w:before="62" w:beforeLines="20" w:after="62" w:afterLines="20" w:line="360" w:lineRule="auto"/>
        <w:jc w:val="both"/>
      </w:pPr>
    </w:p>
    <w:p w14:paraId="61151B5B">
      <w:pPr>
        <w:widowControl w:val="0"/>
        <w:adjustRightInd/>
        <w:snapToGrid/>
        <w:spacing w:before="62" w:beforeLines="20" w:after="62" w:afterLines="20" w:line="360" w:lineRule="auto"/>
        <w:jc w:val="both"/>
      </w:pPr>
      <w:r>
        <w:drawing>
          <wp:inline distT="0" distB="0" distL="114300" distR="114300">
            <wp:extent cx="5273675" cy="3157220"/>
            <wp:effectExtent l="0" t="0" r="14605" b="12700"/>
            <wp:docPr id="1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9"/>
                    <pic:cNvPicPr>
                      <a:picLocks noChangeAspect="1"/>
                    </pic:cNvPicPr>
                  </pic:nvPicPr>
                  <pic:blipFill>
                    <a:blip r:embed="rId76"/>
                    <a:stretch>
                      <a:fillRect/>
                    </a:stretch>
                  </pic:blipFill>
                  <pic:spPr>
                    <a:xfrm>
                      <a:off x="0" y="0"/>
                      <a:ext cx="5273675" cy="3157220"/>
                    </a:xfrm>
                    <a:prstGeom prst="rect">
                      <a:avLst/>
                    </a:prstGeom>
                    <a:noFill/>
                    <a:ln>
                      <a:noFill/>
                    </a:ln>
                  </pic:spPr>
                </pic:pic>
              </a:graphicData>
            </a:graphic>
          </wp:inline>
        </w:drawing>
      </w:r>
    </w:p>
    <w:p w14:paraId="2ADFA8D6">
      <w:pPr>
        <w:widowControl w:val="0"/>
        <w:adjustRightInd/>
        <w:snapToGrid/>
        <w:spacing w:before="62" w:beforeLines="20" w:after="62" w:afterLines="20" w:line="360" w:lineRule="auto"/>
        <w:jc w:val="both"/>
      </w:pPr>
      <w:r>
        <w:drawing>
          <wp:inline distT="0" distB="0" distL="114300" distR="114300">
            <wp:extent cx="5266690" cy="1593850"/>
            <wp:effectExtent l="0" t="0" r="6350" b="6350"/>
            <wp:docPr id="13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0"/>
                    <pic:cNvPicPr>
                      <a:picLocks noChangeAspect="1"/>
                    </pic:cNvPicPr>
                  </pic:nvPicPr>
                  <pic:blipFill>
                    <a:blip r:embed="rId77"/>
                    <a:stretch>
                      <a:fillRect/>
                    </a:stretch>
                  </pic:blipFill>
                  <pic:spPr>
                    <a:xfrm>
                      <a:off x="0" y="0"/>
                      <a:ext cx="5266690" cy="1593850"/>
                    </a:xfrm>
                    <a:prstGeom prst="rect">
                      <a:avLst/>
                    </a:prstGeom>
                    <a:noFill/>
                    <a:ln>
                      <a:noFill/>
                    </a:ln>
                  </pic:spPr>
                </pic:pic>
              </a:graphicData>
            </a:graphic>
          </wp:inline>
        </w:drawing>
      </w:r>
    </w:p>
    <w:p w14:paraId="4F35606B">
      <w:pPr>
        <w:widowControl w:val="0"/>
        <w:adjustRightInd/>
        <w:snapToGrid/>
        <w:spacing w:before="62" w:beforeLines="20" w:after="62" w:afterLines="20" w:line="360" w:lineRule="auto"/>
        <w:jc w:val="both"/>
      </w:pPr>
      <w:r>
        <w:drawing>
          <wp:inline distT="0" distB="0" distL="114300" distR="114300">
            <wp:extent cx="5264785" cy="1073150"/>
            <wp:effectExtent l="0" t="0" r="8255" b="8890"/>
            <wp:docPr id="1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1"/>
                    <pic:cNvPicPr>
                      <a:picLocks noChangeAspect="1"/>
                    </pic:cNvPicPr>
                  </pic:nvPicPr>
                  <pic:blipFill>
                    <a:blip r:embed="rId78"/>
                    <a:stretch>
                      <a:fillRect/>
                    </a:stretch>
                  </pic:blipFill>
                  <pic:spPr>
                    <a:xfrm>
                      <a:off x="0" y="0"/>
                      <a:ext cx="5264785" cy="1073150"/>
                    </a:xfrm>
                    <a:prstGeom prst="rect">
                      <a:avLst/>
                    </a:prstGeom>
                    <a:noFill/>
                    <a:ln>
                      <a:noFill/>
                    </a:ln>
                  </pic:spPr>
                </pic:pic>
              </a:graphicData>
            </a:graphic>
          </wp:inline>
        </w:drawing>
      </w:r>
    </w:p>
    <w:p w14:paraId="6AA98438">
      <w:pPr>
        <w:widowControl w:val="0"/>
        <w:adjustRightInd/>
        <w:snapToGrid/>
        <w:spacing w:before="62" w:beforeLines="20" w:after="62" w:afterLines="20" w:line="360" w:lineRule="auto"/>
        <w:ind w:firstLine="480" w:firstLineChars="200"/>
        <w:jc w:val="both"/>
        <w:rPr>
          <w:rFonts w:eastAsia="宋体"/>
        </w:rPr>
      </w:pPr>
      <w:r>
        <w:rPr>
          <w:rFonts w:hint="eastAsia" w:ascii="宋体" w:hAnsi="宋体" w:eastAsia="宋体" w:cs="Times New Roman"/>
          <w:kern w:val="2"/>
          <w:sz w:val="24"/>
          <w:szCs w:val="24"/>
        </w:rPr>
        <w:t>项目信息修改后，点击“保存并发起更正”按钮，可以编写更正公告内容。</w:t>
      </w:r>
    </w:p>
    <w:p w14:paraId="7D294B13">
      <w:pPr>
        <w:widowControl w:val="0"/>
        <w:adjustRightInd/>
        <w:snapToGrid/>
        <w:spacing w:before="62" w:beforeLines="20" w:after="62" w:afterLines="20" w:line="360" w:lineRule="auto"/>
        <w:jc w:val="both"/>
      </w:pPr>
      <w:r>
        <w:drawing>
          <wp:inline distT="0" distB="0" distL="114300" distR="114300">
            <wp:extent cx="5271135" cy="2364740"/>
            <wp:effectExtent l="0" t="0" r="1905" b="12700"/>
            <wp:docPr id="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8"/>
                    <pic:cNvPicPr>
                      <a:picLocks noChangeAspect="1"/>
                    </pic:cNvPicPr>
                  </pic:nvPicPr>
                  <pic:blipFill>
                    <a:blip r:embed="rId79"/>
                    <a:stretch>
                      <a:fillRect/>
                    </a:stretch>
                  </pic:blipFill>
                  <pic:spPr>
                    <a:xfrm>
                      <a:off x="0" y="0"/>
                      <a:ext cx="5271135" cy="2364740"/>
                    </a:xfrm>
                    <a:prstGeom prst="rect">
                      <a:avLst/>
                    </a:prstGeom>
                    <a:noFill/>
                    <a:ln>
                      <a:noFill/>
                    </a:ln>
                  </pic:spPr>
                </pic:pic>
              </a:graphicData>
            </a:graphic>
          </wp:inline>
        </w:drawing>
      </w:r>
    </w:p>
    <w:p w14:paraId="241D9DDE">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填写好更正公告的内容后，点击“提交更正公告”按钮，可以提交到招标人以及交易中心相关人员处进行核对。如果误操作需要撤回，可以点击“撤回公告”按钮撤回。</w:t>
      </w:r>
    </w:p>
    <w:p w14:paraId="3D6C4220">
      <w:pPr>
        <w:pStyle w:val="4"/>
        <w:bidi w:val="0"/>
        <w:ind w:left="575" w:leftChars="0" w:hanging="575" w:firstLineChars="0"/>
      </w:pPr>
      <w:bookmarkStart w:id="34" w:name="_Toc18448"/>
      <w:r>
        <w:rPr>
          <w:rFonts w:hint="eastAsia"/>
        </w:rPr>
        <w:t>暂停及恢复公告</w:t>
      </w:r>
      <w:bookmarkEnd w:id="34"/>
    </w:p>
    <w:p w14:paraId="46430EB4">
      <w:pPr>
        <w:pStyle w:val="5"/>
        <w:bidi w:val="0"/>
        <w:ind w:left="720" w:leftChars="0" w:hanging="720" w:firstLineChars="0"/>
      </w:pPr>
      <w:bookmarkStart w:id="35" w:name="_Toc12963"/>
      <w:r>
        <w:rPr>
          <w:rFonts w:hint="eastAsia"/>
        </w:rPr>
        <w:t>暂停公告</w:t>
      </w:r>
      <w:bookmarkEnd w:id="35"/>
    </w:p>
    <w:p w14:paraId="0D0AE45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当交易需要暂停时，代理机构点击菜单“暂停公告 &gt; 发起暂停公告”，进入“发布暂停公告”页面。点击页面中的“新增暂停公告”按钮，可以发起一个新的暂停公告。</w:t>
      </w:r>
    </w:p>
    <w:p w14:paraId="1DAC2E0F">
      <w:r>
        <w:drawing>
          <wp:inline distT="0" distB="0" distL="114300" distR="114300">
            <wp:extent cx="5270500" cy="2306955"/>
            <wp:effectExtent l="0" t="0" r="2540" b="952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80"/>
                    <a:stretch>
                      <a:fillRect/>
                    </a:stretch>
                  </pic:blipFill>
                  <pic:spPr>
                    <a:xfrm>
                      <a:off x="0" y="0"/>
                      <a:ext cx="5270500" cy="2306955"/>
                    </a:xfrm>
                    <a:prstGeom prst="rect">
                      <a:avLst/>
                    </a:prstGeom>
                    <a:noFill/>
                    <a:ln>
                      <a:noFill/>
                    </a:ln>
                  </pic:spPr>
                </pic:pic>
              </a:graphicData>
            </a:graphic>
          </wp:inline>
        </w:drawing>
      </w:r>
    </w:p>
    <w:p w14:paraId="11F86B1C">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发起暂停公告时，选择一个正在公告中或待开标的建设工程交易项目，点击“选择并返回”按钮选中该项目。</w:t>
      </w:r>
    </w:p>
    <w:p w14:paraId="5F158B16">
      <w:r>
        <w:drawing>
          <wp:inline distT="0" distB="0" distL="114300" distR="114300">
            <wp:extent cx="5264150" cy="1335405"/>
            <wp:effectExtent l="0" t="0" r="8890" b="5715"/>
            <wp:docPr id="9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0"/>
                    <pic:cNvPicPr>
                      <a:picLocks noChangeAspect="1"/>
                    </pic:cNvPicPr>
                  </pic:nvPicPr>
                  <pic:blipFill>
                    <a:blip r:embed="rId81"/>
                    <a:stretch>
                      <a:fillRect/>
                    </a:stretch>
                  </pic:blipFill>
                  <pic:spPr>
                    <a:xfrm>
                      <a:off x="0" y="0"/>
                      <a:ext cx="5264150" cy="1335405"/>
                    </a:xfrm>
                    <a:prstGeom prst="rect">
                      <a:avLst/>
                    </a:prstGeom>
                    <a:noFill/>
                    <a:ln>
                      <a:noFill/>
                    </a:ln>
                  </pic:spPr>
                </pic:pic>
              </a:graphicData>
            </a:graphic>
          </wp:inline>
        </w:drawing>
      </w:r>
    </w:p>
    <w:p w14:paraId="031234E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进入暂停公告发布页面后，将自动生成暂停公告内容，并在下方的公告信息中显示。如果需要上传公告附件，可以点击“上传附件”按钮，可以上传一个或多个公告附件。</w:t>
      </w:r>
    </w:p>
    <w:p w14:paraId="76ED73B5">
      <w:r>
        <w:drawing>
          <wp:inline distT="0" distB="0" distL="114300" distR="114300">
            <wp:extent cx="5274310" cy="2613025"/>
            <wp:effectExtent l="0" t="0" r="13970" b="8255"/>
            <wp:docPr id="13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2"/>
                    <pic:cNvPicPr>
                      <a:picLocks noChangeAspect="1"/>
                    </pic:cNvPicPr>
                  </pic:nvPicPr>
                  <pic:blipFill>
                    <a:blip r:embed="rId82"/>
                    <a:stretch>
                      <a:fillRect/>
                    </a:stretch>
                  </pic:blipFill>
                  <pic:spPr>
                    <a:xfrm>
                      <a:off x="0" y="0"/>
                      <a:ext cx="5274310" cy="2613025"/>
                    </a:xfrm>
                    <a:prstGeom prst="rect">
                      <a:avLst/>
                    </a:prstGeom>
                    <a:noFill/>
                    <a:ln>
                      <a:noFill/>
                    </a:ln>
                  </pic:spPr>
                </pic:pic>
              </a:graphicData>
            </a:graphic>
          </wp:inline>
        </w:drawing>
      </w:r>
    </w:p>
    <w:p w14:paraId="20509709">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确认无误后，点击“提交暂停公告”按钮提交暂停公告。提交后，将由招标人以及交易中心相关人员进行公告核对。如果核对通过，将发布公告到交易中心网站，并且对交易进行暂停报名。</w:t>
      </w:r>
    </w:p>
    <w:p w14:paraId="15009131">
      <w:pPr>
        <w:pStyle w:val="5"/>
        <w:bidi w:val="0"/>
        <w:ind w:left="720" w:leftChars="0" w:hanging="720" w:firstLineChars="0"/>
      </w:pPr>
      <w:bookmarkStart w:id="36" w:name="_Toc22591"/>
      <w:r>
        <w:rPr>
          <w:rFonts w:hint="eastAsia"/>
        </w:rPr>
        <w:t>恢复公告</w:t>
      </w:r>
      <w:bookmarkEnd w:id="36"/>
    </w:p>
    <w:p w14:paraId="1ECD554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当暂停的交易需要恢复时，代理机构点击菜单“恢复公告 &gt; 发起恢复公告”，进入“发布恢复公告”页面。点击页面中的“新增恢复公告”按钮，可以发起一个新的恢复公告。</w:t>
      </w:r>
    </w:p>
    <w:p w14:paraId="75C30158">
      <w:r>
        <w:drawing>
          <wp:inline distT="0" distB="0" distL="114300" distR="114300">
            <wp:extent cx="5268595" cy="2470785"/>
            <wp:effectExtent l="0" t="0" r="4445" b="13335"/>
            <wp:docPr id="9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
                    <pic:cNvPicPr>
                      <a:picLocks noChangeAspect="1"/>
                    </pic:cNvPicPr>
                  </pic:nvPicPr>
                  <pic:blipFill>
                    <a:blip r:embed="rId83"/>
                    <a:stretch>
                      <a:fillRect/>
                    </a:stretch>
                  </pic:blipFill>
                  <pic:spPr>
                    <a:xfrm>
                      <a:off x="0" y="0"/>
                      <a:ext cx="5268595" cy="2470785"/>
                    </a:xfrm>
                    <a:prstGeom prst="rect">
                      <a:avLst/>
                    </a:prstGeom>
                    <a:noFill/>
                    <a:ln>
                      <a:noFill/>
                    </a:ln>
                  </pic:spPr>
                </pic:pic>
              </a:graphicData>
            </a:graphic>
          </wp:inline>
        </w:drawing>
      </w:r>
    </w:p>
    <w:p w14:paraId="39BD85A1">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发起恢复公告时，选择一个正在暂停的建设工程交易项目，点击“选择并返回”按钮选中该交易。</w:t>
      </w:r>
    </w:p>
    <w:p w14:paraId="5B27C943">
      <w:r>
        <w:rPr>
          <w:rFonts w:hint="eastAsia"/>
        </w:rPr>
        <w:drawing>
          <wp:inline distT="0" distB="0" distL="114300" distR="114300">
            <wp:extent cx="5274310" cy="2381885"/>
            <wp:effectExtent l="0" t="0" r="13970" b="10795"/>
            <wp:docPr id="79" name="图片 79" descr="发起恢复公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发起恢复公告2"/>
                    <pic:cNvPicPr>
                      <a:picLocks noChangeAspect="1"/>
                    </pic:cNvPicPr>
                  </pic:nvPicPr>
                  <pic:blipFill>
                    <a:blip r:embed="rId84"/>
                    <a:stretch>
                      <a:fillRect/>
                    </a:stretch>
                  </pic:blipFill>
                  <pic:spPr>
                    <a:xfrm>
                      <a:off x="0" y="0"/>
                      <a:ext cx="5274310" cy="2381885"/>
                    </a:xfrm>
                    <a:prstGeom prst="rect">
                      <a:avLst/>
                    </a:prstGeom>
                  </pic:spPr>
                </pic:pic>
              </a:graphicData>
            </a:graphic>
          </wp:inline>
        </w:drawing>
      </w:r>
    </w:p>
    <w:p w14:paraId="448FF863">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进入恢复公告发布页面后，根据需要对交易时间进行变更，也就是重新指定：公告开始时间、公告结束时间、网上提问截止时间、网上答疑截止时间、网上答疑发布时间、随机抽取时间等。</w:t>
      </w:r>
    </w:p>
    <w:p w14:paraId="7BDCFF4C"/>
    <w:p w14:paraId="2CD6710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r>
        <w:rPr>
          <w:rFonts w:hint="eastAsia" w:ascii="宋体" w:hAnsi="宋体" w:eastAsia="宋体" w:cs="Times New Roman"/>
          <w:kern w:val="2"/>
          <w:sz w:val="24"/>
          <w:szCs w:val="24"/>
        </w:rPr>
        <w:t>填写完成“交易时间变更”后，点击下方的“生成公告内容”按钮，将自动生成恢复公告内容，并在下方的公告信息中显示。如果需要上传公告附件，可以点击“上传附件”按钮，可以上传一个或多个公告附件。</w:t>
      </w:r>
    </w:p>
    <w:p w14:paraId="177307BB">
      <w:pPr>
        <w:widowControl w:val="0"/>
        <w:adjustRightInd/>
        <w:snapToGrid/>
        <w:spacing w:before="62" w:beforeLines="20" w:after="62" w:afterLines="20" w:line="360" w:lineRule="auto"/>
        <w:jc w:val="both"/>
      </w:pPr>
    </w:p>
    <w:p w14:paraId="5704BA85">
      <w:pPr>
        <w:widowControl w:val="0"/>
        <w:adjustRightInd/>
        <w:snapToGrid/>
        <w:spacing w:before="62" w:beforeLines="20" w:after="62" w:afterLines="20" w:line="360" w:lineRule="auto"/>
        <w:ind w:firstLine="420"/>
        <w:jc w:val="both"/>
        <w:rPr>
          <w:rFonts w:ascii="宋体" w:hAnsi="宋体" w:eastAsia="宋体" w:cs="Times New Roman"/>
          <w:kern w:val="2"/>
          <w:sz w:val="24"/>
          <w:szCs w:val="24"/>
        </w:rPr>
      </w:pPr>
      <w:r>
        <w:rPr>
          <w:rFonts w:hint="eastAsia" w:ascii="宋体" w:hAnsi="宋体" w:eastAsia="宋体" w:cs="Times New Roman"/>
          <w:kern w:val="2"/>
          <w:sz w:val="24"/>
          <w:szCs w:val="24"/>
        </w:rPr>
        <w:t>确认无误后，点击“提交”按钮提交恢复公告。提交后，将由招标人以及交易中心相关人员进行公告核对，如果核对通过，将发布公告到交易中心网站，并且对交易进行恢复报名。</w:t>
      </w:r>
    </w:p>
    <w:p w14:paraId="736A0506">
      <w:pPr>
        <w:pStyle w:val="4"/>
        <w:bidi w:val="0"/>
        <w:ind w:left="575" w:leftChars="0" w:hanging="575" w:firstLineChars="0"/>
      </w:pPr>
      <w:bookmarkStart w:id="37" w:name="_Toc23324"/>
      <w:r>
        <w:rPr>
          <w:rFonts w:hint="eastAsia"/>
        </w:rPr>
        <w:t>终止公告</w:t>
      </w:r>
      <w:bookmarkEnd w:id="37"/>
    </w:p>
    <w:p w14:paraId="20F2C1A4">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当交易需要终止时，代理机构点击菜单“终止公告 &gt; 发起终止公告”，进入“发布终止公告”页面。点击页面中的“新增终止公告”按钮，可以发起一个新的终止公告。</w:t>
      </w:r>
    </w:p>
    <w:p w14:paraId="5FE91A1A">
      <w:r>
        <w:drawing>
          <wp:inline distT="0" distB="0" distL="114300" distR="114300">
            <wp:extent cx="5266055" cy="2672715"/>
            <wp:effectExtent l="0" t="0" r="6985" b="9525"/>
            <wp:docPr id="9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3"/>
                    <pic:cNvPicPr>
                      <a:picLocks noChangeAspect="1"/>
                    </pic:cNvPicPr>
                  </pic:nvPicPr>
                  <pic:blipFill>
                    <a:blip r:embed="rId85"/>
                    <a:stretch>
                      <a:fillRect/>
                    </a:stretch>
                  </pic:blipFill>
                  <pic:spPr>
                    <a:xfrm>
                      <a:off x="0" y="0"/>
                      <a:ext cx="5266055" cy="2672715"/>
                    </a:xfrm>
                    <a:prstGeom prst="rect">
                      <a:avLst/>
                    </a:prstGeom>
                    <a:noFill/>
                    <a:ln>
                      <a:noFill/>
                    </a:ln>
                  </pic:spPr>
                </pic:pic>
              </a:graphicData>
            </a:graphic>
          </wp:inline>
        </w:drawing>
      </w:r>
    </w:p>
    <w:p w14:paraId="60BDE1B2"/>
    <w:p w14:paraId="767195C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发起终止公告时，选择一个正在进行或暂停的建设工程交易项目，点击“选择并返回”按钮选中该交易。</w:t>
      </w:r>
    </w:p>
    <w:p w14:paraId="7C5CAC60">
      <w:r>
        <w:drawing>
          <wp:inline distT="0" distB="0" distL="114300" distR="114300">
            <wp:extent cx="5265420" cy="2045335"/>
            <wp:effectExtent l="0" t="0" r="7620" b="12065"/>
            <wp:docPr id="13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3"/>
                    <pic:cNvPicPr>
                      <a:picLocks noChangeAspect="1"/>
                    </pic:cNvPicPr>
                  </pic:nvPicPr>
                  <pic:blipFill>
                    <a:blip r:embed="rId86"/>
                    <a:stretch>
                      <a:fillRect/>
                    </a:stretch>
                  </pic:blipFill>
                  <pic:spPr>
                    <a:xfrm>
                      <a:off x="0" y="0"/>
                      <a:ext cx="5265420" cy="2045335"/>
                    </a:xfrm>
                    <a:prstGeom prst="rect">
                      <a:avLst/>
                    </a:prstGeom>
                    <a:noFill/>
                    <a:ln>
                      <a:noFill/>
                    </a:ln>
                  </pic:spPr>
                </pic:pic>
              </a:graphicData>
            </a:graphic>
          </wp:inline>
        </w:drawing>
      </w:r>
    </w:p>
    <w:p w14:paraId="7B7B50E0">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进入终止公告发布页面后，将自动生成终止公告内容，并在下方的公告信息中显示。如果需要上传公告附件，可以点击“上传附件”按钮，可以上传一个或多个公告附件。</w:t>
      </w:r>
    </w:p>
    <w:p w14:paraId="6B7D87F4">
      <w:r>
        <w:drawing>
          <wp:inline distT="0" distB="0" distL="114300" distR="114300">
            <wp:extent cx="5274310" cy="2578100"/>
            <wp:effectExtent l="0" t="0" r="13970" b="12700"/>
            <wp:docPr id="13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4"/>
                    <pic:cNvPicPr>
                      <a:picLocks noChangeAspect="1"/>
                    </pic:cNvPicPr>
                  </pic:nvPicPr>
                  <pic:blipFill>
                    <a:blip r:embed="rId87"/>
                    <a:stretch>
                      <a:fillRect/>
                    </a:stretch>
                  </pic:blipFill>
                  <pic:spPr>
                    <a:xfrm>
                      <a:off x="0" y="0"/>
                      <a:ext cx="5274310" cy="2578100"/>
                    </a:xfrm>
                    <a:prstGeom prst="rect">
                      <a:avLst/>
                    </a:prstGeom>
                    <a:noFill/>
                    <a:ln>
                      <a:noFill/>
                    </a:ln>
                  </pic:spPr>
                </pic:pic>
              </a:graphicData>
            </a:graphic>
          </wp:inline>
        </w:drawing>
      </w:r>
    </w:p>
    <w:p w14:paraId="1A4CB3F7">
      <w:pPr>
        <w:widowControl w:val="0"/>
        <w:adjustRightInd/>
        <w:snapToGrid/>
        <w:spacing w:before="62" w:beforeLines="20" w:after="62" w:afterLines="20" w:line="360" w:lineRule="auto"/>
        <w:ind w:firstLine="480" w:firstLineChars="200"/>
        <w:jc w:val="both"/>
      </w:pPr>
      <w:r>
        <w:rPr>
          <w:rFonts w:hint="eastAsia" w:ascii="宋体" w:hAnsi="宋体" w:eastAsia="宋体" w:cs="Times New Roman"/>
          <w:kern w:val="2"/>
          <w:sz w:val="24"/>
          <w:szCs w:val="24"/>
        </w:rPr>
        <w:t>确认无误后，点击“提交终止公告”按钮提交终止公告。提交后，将由招标人以及交易中心相关人员进行公告核对，如果核对通过，将发布公告到交易中心网站，并且对交易进行终止。</w:t>
      </w:r>
    </w:p>
    <w:p w14:paraId="5B98FED7">
      <w:pPr>
        <w:pStyle w:val="3"/>
        <w:widowControl w:val="0"/>
        <w:numPr>
          <w:ilvl w:val="0"/>
          <w:numId w:val="2"/>
        </w:numPr>
        <w:adjustRightInd/>
        <w:snapToGrid/>
        <w:ind w:left="420" w:leftChars="0" w:hanging="420" w:firstLineChars="0"/>
        <w:jc w:val="both"/>
        <w:rPr>
          <w:rFonts w:ascii="黑体" w:hAnsi="Calibri" w:eastAsia="黑体" w:cs="Times New Roman"/>
        </w:rPr>
      </w:pPr>
      <w:bookmarkStart w:id="38" w:name="_Toc19556"/>
      <w:r>
        <w:rPr>
          <w:rFonts w:hint="eastAsia" w:ascii="黑体" w:hAnsi="Calibri" w:eastAsia="黑体" w:cs="Times New Roman"/>
        </w:rPr>
        <w:t>技术支持</w:t>
      </w:r>
      <w:bookmarkEnd w:id="38"/>
    </w:p>
    <w:p w14:paraId="6A286412">
      <w:pPr>
        <w:spacing w:line="360" w:lineRule="auto"/>
        <w:ind w:firstLine="480" w:firstLineChars="200"/>
        <w:rPr>
          <w:rFonts w:hint="eastAsia" w:ascii="宋体" w:hAnsi="宋体" w:eastAsia="宋体" w:cs="Times New Roman"/>
          <w:kern w:val="2"/>
          <w:sz w:val="24"/>
          <w:szCs w:val="24"/>
          <w:lang w:val="en-US" w:eastAsia="zh-CN"/>
        </w:rPr>
      </w:pPr>
      <w:r>
        <w:rPr>
          <w:rFonts w:hint="eastAsia" w:ascii="宋体" w:hAnsi="宋体" w:eastAsia="宋体" w:cs="Times New Roman"/>
          <w:kern w:val="2"/>
          <w:sz w:val="24"/>
          <w:szCs w:val="24"/>
          <w:lang w:val="en-US" w:eastAsia="zh-CN"/>
        </w:rPr>
        <w:t>技术支持联系人：</w:t>
      </w:r>
    </w:p>
    <w:p w14:paraId="49392CDA">
      <w:pPr>
        <w:widowControl w:val="0"/>
        <w:adjustRightInd/>
        <w:snapToGrid/>
        <w:spacing w:before="62" w:beforeLines="20" w:after="62" w:afterLines="20" w:line="360" w:lineRule="auto"/>
        <w:ind w:firstLine="480" w:firstLineChars="200"/>
        <w:jc w:val="both"/>
        <w:rPr>
          <w:rFonts w:hint="default" w:ascii="宋体" w:hAnsi="宋体" w:cs="Times New Roman" w:eastAsiaTheme="minorEastAsia"/>
          <w:kern w:val="2"/>
          <w:sz w:val="24"/>
          <w:szCs w:val="24"/>
          <w:lang w:val="en-US" w:eastAsia="zh-CN" w:bidi="ar-SA"/>
        </w:rPr>
      </w:pPr>
      <w:r>
        <w:rPr>
          <w:rFonts w:hint="eastAsia" w:ascii="宋体" w:hAnsi="宋体" w:cs="Times New Roman"/>
          <w:kern w:val="2"/>
          <w:sz w:val="24"/>
          <w:szCs w:val="24"/>
          <w:lang w:val="en-US" w:eastAsia="zh-CN"/>
        </w:rPr>
        <w:t>苏工：</w:t>
      </w:r>
      <w:r>
        <w:rPr>
          <w:rFonts w:hint="eastAsia" w:ascii="宋体" w:hAnsi="宋体" w:cs="Times New Roman" w:eastAsiaTheme="minorEastAsia"/>
          <w:kern w:val="2"/>
          <w:sz w:val="24"/>
          <w:szCs w:val="24"/>
          <w:lang w:val="en-US" w:eastAsia="zh-CN" w:bidi="ar-SA"/>
        </w:rPr>
        <w:t>13536498728</w:t>
      </w:r>
    </w:p>
    <w:p w14:paraId="5FD2BC48">
      <w:pPr>
        <w:widowControl w:val="0"/>
        <w:adjustRightInd/>
        <w:snapToGrid/>
        <w:spacing w:before="62" w:beforeLines="20" w:after="62" w:afterLines="20" w:line="360" w:lineRule="auto"/>
        <w:ind w:firstLine="480" w:firstLineChars="200"/>
        <w:jc w:val="both"/>
        <w:rPr>
          <w:rFonts w:hint="default"/>
          <w:lang w:val="en-US" w:eastAsia="zh-CN"/>
        </w:rPr>
      </w:pPr>
      <w:r>
        <w:rPr>
          <w:rFonts w:hint="eastAsia" w:ascii="宋体" w:hAnsi="宋体" w:cs="Times New Roman"/>
          <w:kern w:val="2"/>
          <w:sz w:val="24"/>
          <w:szCs w:val="24"/>
          <w:lang w:val="en-US" w:eastAsia="zh-CN" w:bidi="ar-SA"/>
        </w:rPr>
        <w:t>时间（周一至周五）：8：30-12：00   14：30-18：00</w:t>
      </w:r>
    </w:p>
    <w:p w14:paraId="1F7B9EEB">
      <w:pPr>
        <w:pStyle w:val="2"/>
        <w:rPr>
          <w:rFonts w:hint="eastAsia"/>
          <w:lang w:val="en-US" w:eastAsia="zh-CN"/>
        </w:rPr>
      </w:pPr>
    </w:p>
    <w:p w14:paraId="5CEF78A8">
      <w:pPr>
        <w:pStyle w:val="12"/>
        <w:rPr>
          <w:rFonts w:hint="eastAsia" w:ascii="宋体" w:hAnsi="宋体" w:eastAsia="宋体" w:cs="Times New Roman"/>
          <w:kern w:val="2"/>
          <w:sz w:val="24"/>
          <w:szCs w:val="24"/>
          <w:lang w:val="en-US" w:eastAsia="zh-CN"/>
        </w:rPr>
      </w:pPr>
      <w:bookmarkStart w:id="40" w:name="_GoBack"/>
      <w:bookmarkEnd w:id="40"/>
    </w:p>
    <w:p w14:paraId="4E8BF116">
      <w:pPr>
        <w:pStyle w:val="12"/>
        <w:rPr>
          <w:rFonts w:hint="eastAsia" w:ascii="宋体" w:hAnsi="宋体" w:eastAsia="宋体" w:cs="Times New Roman"/>
          <w:kern w:val="2"/>
          <w:sz w:val="24"/>
          <w:szCs w:val="24"/>
          <w:lang w:val="en-US" w:eastAsia="zh-CN"/>
        </w:rPr>
      </w:pPr>
    </w:p>
    <w:p w14:paraId="152B9FDB">
      <w:pPr>
        <w:pStyle w:val="12"/>
        <w:rPr>
          <w:rFonts w:hint="eastAsia" w:ascii="宋体" w:hAnsi="宋体" w:eastAsia="宋体" w:cs="Times New Roman"/>
          <w:kern w:val="2"/>
          <w:sz w:val="24"/>
          <w:szCs w:val="24"/>
          <w:lang w:val="en-US" w:eastAsia="zh-CN"/>
        </w:rPr>
      </w:pPr>
    </w:p>
    <w:p w14:paraId="126CBD85">
      <w:pPr>
        <w:pStyle w:val="12"/>
        <w:rPr>
          <w:rFonts w:hint="eastAsia" w:ascii="宋体" w:hAnsi="宋体" w:eastAsia="宋体" w:cs="Times New Roman"/>
          <w:kern w:val="2"/>
          <w:sz w:val="24"/>
          <w:szCs w:val="24"/>
          <w:lang w:val="en-US" w:eastAsia="zh-CN"/>
        </w:rPr>
      </w:pPr>
    </w:p>
    <w:p w14:paraId="1E3EE09D">
      <w:pPr>
        <w:pStyle w:val="12"/>
        <w:rPr>
          <w:rFonts w:hint="eastAsia" w:ascii="宋体" w:hAnsi="宋体" w:eastAsia="宋体" w:cs="Times New Roman"/>
          <w:kern w:val="2"/>
          <w:sz w:val="24"/>
          <w:szCs w:val="24"/>
          <w:lang w:val="en-US" w:eastAsia="zh-CN"/>
        </w:rPr>
      </w:pPr>
    </w:p>
    <w:p w14:paraId="5336D119">
      <w:pPr>
        <w:pStyle w:val="12"/>
        <w:rPr>
          <w:rFonts w:hint="eastAsia" w:ascii="宋体" w:hAnsi="宋体" w:eastAsia="宋体" w:cs="Times New Roman"/>
          <w:kern w:val="2"/>
          <w:sz w:val="24"/>
          <w:szCs w:val="24"/>
          <w:lang w:val="en-US" w:eastAsia="zh-CN"/>
        </w:rPr>
      </w:pPr>
    </w:p>
    <w:p w14:paraId="6A18AAF4">
      <w:pPr>
        <w:pStyle w:val="12"/>
        <w:rPr>
          <w:rFonts w:hint="eastAsia" w:ascii="宋体" w:hAnsi="宋体" w:eastAsia="宋体" w:cs="Times New Roman"/>
          <w:kern w:val="2"/>
          <w:sz w:val="24"/>
          <w:szCs w:val="24"/>
          <w:lang w:val="en-US" w:eastAsia="zh-CN"/>
        </w:rPr>
      </w:pPr>
    </w:p>
    <w:p w14:paraId="2BE98C9D">
      <w:pPr>
        <w:pStyle w:val="12"/>
        <w:rPr>
          <w:rFonts w:hint="eastAsia" w:ascii="宋体" w:hAnsi="宋体" w:eastAsia="宋体" w:cs="Times New Roman"/>
          <w:kern w:val="2"/>
          <w:sz w:val="24"/>
          <w:szCs w:val="24"/>
          <w:lang w:val="en-US" w:eastAsia="zh-CN"/>
        </w:rPr>
      </w:pPr>
    </w:p>
    <w:p w14:paraId="633BEDBB">
      <w:pPr>
        <w:pStyle w:val="12"/>
        <w:rPr>
          <w:rFonts w:hint="eastAsia" w:ascii="宋体" w:hAnsi="宋体" w:eastAsia="宋体" w:cs="Times New Roman"/>
          <w:kern w:val="2"/>
          <w:sz w:val="24"/>
          <w:szCs w:val="24"/>
          <w:lang w:val="en-US" w:eastAsia="zh-CN"/>
        </w:rPr>
      </w:pPr>
    </w:p>
    <w:p w14:paraId="292483A5">
      <w:pPr>
        <w:pStyle w:val="12"/>
        <w:rPr>
          <w:rFonts w:hint="eastAsia" w:ascii="宋体" w:hAnsi="宋体" w:eastAsia="宋体" w:cs="Times New Roman"/>
          <w:kern w:val="2"/>
          <w:sz w:val="24"/>
          <w:szCs w:val="24"/>
          <w:lang w:val="en-US" w:eastAsia="zh-CN"/>
        </w:rPr>
      </w:pPr>
    </w:p>
    <w:p w14:paraId="13638C29">
      <w:pPr>
        <w:pStyle w:val="4"/>
        <w:numPr>
          <w:ilvl w:val="1"/>
          <w:numId w:val="0"/>
        </w:numPr>
        <w:bidi w:val="0"/>
        <w:ind w:leftChars="0"/>
        <w:rPr>
          <w:rFonts w:hint="eastAsia"/>
          <w:lang w:val="en-US" w:eastAsia="zh-CN"/>
        </w:rPr>
      </w:pPr>
      <w:bookmarkStart w:id="39" w:name="_Toc19489"/>
      <w:r>
        <w:rPr>
          <w:rFonts w:hint="eastAsia"/>
          <w:lang w:val="en-US" w:eastAsia="zh-CN"/>
        </w:rPr>
        <w:t>附件一：汕尾市交易服务平台建设工程电子评标配置</w:t>
      </w:r>
      <w:bookmarkEnd w:id="39"/>
    </w:p>
    <w:p w14:paraId="48FD82FB">
      <w:pPr>
        <w:bidi w:val="0"/>
        <w:rPr>
          <w:rFonts w:hint="default"/>
          <w:lang w:val="en-US" w:eastAsia="zh-CN"/>
        </w:rPr>
      </w:pPr>
      <w:r>
        <w:rPr>
          <w:rFonts w:hint="eastAsia"/>
          <w:lang w:val="en-US" w:eastAsia="zh-CN"/>
        </w:rPr>
        <w:t>一、房建市政类</w:t>
      </w:r>
    </w:p>
    <w:p w14:paraId="77B9B60F">
      <w:pPr>
        <w:bidi w:val="0"/>
        <w:rPr>
          <w:rFonts w:hint="eastAsia"/>
          <w:lang w:val="en-US" w:eastAsia="zh-CN"/>
        </w:rPr>
      </w:pPr>
      <w:r>
        <w:rPr>
          <w:rFonts w:hint="eastAsia"/>
          <w:lang w:val="en-US" w:eastAsia="zh-CN"/>
        </w:rPr>
        <w:t>（一）综合评分法</w:t>
      </w:r>
    </w:p>
    <w:p w14:paraId="648E7FB3">
      <w:pPr>
        <w:bidi w:val="0"/>
        <w:rPr>
          <w:rFonts w:hint="eastAsia"/>
          <w:lang w:val="en-US" w:eastAsia="zh-CN"/>
        </w:rPr>
      </w:pPr>
      <w:r>
        <w:rPr>
          <w:rFonts w:hint="eastAsia"/>
          <w:lang w:val="en-US" w:eastAsia="zh-CN"/>
        </w:rPr>
        <w:t>1、评分计算方法：</w:t>
      </w:r>
    </w:p>
    <w:p w14:paraId="7FA5365D">
      <w:pPr>
        <w:bidi w:val="0"/>
        <w:rPr>
          <w:rFonts w:hint="default"/>
          <w:lang w:val="en-US" w:eastAsia="zh-CN"/>
        </w:rPr>
      </w:pPr>
      <w:r>
        <w:rPr>
          <w:rFonts w:hint="eastAsia"/>
          <w:lang w:val="en-US" w:eastAsia="zh-CN"/>
        </w:rPr>
        <w:t>评分计算方法如下表所示：</w:t>
      </w:r>
    </w:p>
    <w:p w14:paraId="1B8E61B4">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266B3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D846B91">
            <w:pPr>
              <w:widowControl w:val="0"/>
              <w:bidi w:val="0"/>
              <w:jc w:val="both"/>
              <w:rPr>
                <w:rFonts w:hint="default"/>
                <w:lang w:val="en-US" w:eastAsia="zh-CN"/>
              </w:rPr>
            </w:pPr>
            <w:r>
              <w:rPr>
                <w:rFonts w:hint="eastAsia"/>
                <w:lang w:val="en-US" w:eastAsia="zh-CN"/>
              </w:rPr>
              <w:t>价格分计算参数</w:t>
            </w:r>
          </w:p>
        </w:tc>
        <w:tc>
          <w:tcPr>
            <w:tcW w:w="1342" w:type="dxa"/>
          </w:tcPr>
          <w:p w14:paraId="2E5AB6CF">
            <w:pPr>
              <w:widowControl w:val="0"/>
              <w:bidi w:val="0"/>
              <w:jc w:val="both"/>
              <w:rPr>
                <w:rFonts w:hint="default"/>
                <w:lang w:val="en-US" w:eastAsia="zh-CN"/>
              </w:rPr>
            </w:pPr>
            <w:r>
              <w:rPr>
                <w:rFonts w:hint="eastAsia"/>
                <w:lang w:val="en-US" w:eastAsia="zh-CN"/>
              </w:rPr>
              <w:t>技术分</w:t>
            </w:r>
          </w:p>
        </w:tc>
        <w:tc>
          <w:tcPr>
            <w:tcW w:w="1276" w:type="dxa"/>
          </w:tcPr>
          <w:p w14:paraId="47574115">
            <w:pPr>
              <w:widowControl w:val="0"/>
              <w:bidi w:val="0"/>
              <w:jc w:val="both"/>
              <w:rPr>
                <w:rFonts w:hint="default"/>
                <w:lang w:val="en-US" w:eastAsia="zh-CN"/>
              </w:rPr>
            </w:pPr>
            <w:r>
              <w:rPr>
                <w:rFonts w:hint="eastAsia"/>
                <w:lang w:val="en-US" w:eastAsia="zh-CN"/>
              </w:rPr>
              <w:t>商务分</w:t>
            </w:r>
          </w:p>
        </w:tc>
        <w:tc>
          <w:tcPr>
            <w:tcW w:w="5792" w:type="dxa"/>
          </w:tcPr>
          <w:p w14:paraId="250CD0A4">
            <w:pPr>
              <w:widowControl w:val="0"/>
              <w:bidi w:val="0"/>
              <w:jc w:val="both"/>
              <w:rPr>
                <w:rFonts w:hint="default"/>
                <w:lang w:val="en-US" w:eastAsia="zh-CN"/>
              </w:rPr>
            </w:pPr>
            <w:r>
              <w:rPr>
                <w:rFonts w:hint="eastAsia"/>
                <w:lang w:val="en-US" w:eastAsia="zh-CN"/>
              </w:rPr>
              <w:t>价格分计算方式</w:t>
            </w:r>
          </w:p>
        </w:tc>
      </w:tr>
      <w:tr w14:paraId="09F95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E832B81">
            <w:pPr>
              <w:widowControl w:val="0"/>
              <w:bidi w:val="0"/>
              <w:jc w:val="both"/>
              <w:rPr>
                <w:rFonts w:hint="eastAsia"/>
                <w:lang w:val="en-US" w:eastAsia="zh-CN"/>
              </w:rPr>
            </w:pPr>
            <w:r>
              <w:rPr>
                <w:rFonts w:hint="eastAsia"/>
                <w:lang w:val="en-US" w:eastAsia="zh-CN"/>
              </w:rPr>
              <w:t>1、按</w:t>
            </w:r>
            <w:r>
              <w:rPr>
                <w:rFonts w:hint="eastAsia"/>
                <w:lang w:eastAsia="zh-CN"/>
              </w:rPr>
              <w:t>指定方法计算评标基准价</w:t>
            </w:r>
            <w:r>
              <w:rPr>
                <w:rFonts w:hint="eastAsia"/>
                <w:lang w:val="en-US" w:eastAsia="zh-CN"/>
              </w:rPr>
              <w:t>D：</w:t>
            </w:r>
          </w:p>
          <w:p w14:paraId="6F94FC82">
            <w:pPr>
              <w:widowControl w:val="0"/>
              <w:bidi w:val="0"/>
              <w:jc w:val="both"/>
              <w:rPr>
                <w:rFonts w:hint="eastAsia"/>
                <w:lang w:val="en-US" w:eastAsia="zh-CN"/>
              </w:rPr>
            </w:pPr>
            <w:r>
              <w:rPr>
                <w:rFonts w:hint="eastAsia"/>
                <w:lang w:val="en-US" w:eastAsia="zh-CN"/>
              </w:rPr>
              <w:t>自选一</w:t>
            </w:r>
          </w:p>
          <w:p w14:paraId="76EF42FC">
            <w:pPr>
              <w:widowControl w:val="0"/>
              <w:bidi w:val="0"/>
              <w:jc w:val="both"/>
              <w:rPr>
                <w:rFonts w:hint="eastAsia"/>
                <w:lang w:val="en-US" w:eastAsia="zh-CN"/>
              </w:rPr>
            </w:pPr>
            <w:r>
              <w:rPr>
                <w:rFonts w:hint="eastAsia"/>
                <w:lang w:val="en-US" w:eastAsia="zh-CN"/>
              </w:rPr>
              <w:t>自选二</w:t>
            </w:r>
          </w:p>
          <w:p w14:paraId="4B01871D">
            <w:pPr>
              <w:widowControl w:val="0"/>
              <w:bidi w:val="0"/>
              <w:jc w:val="both"/>
              <w:rPr>
                <w:rFonts w:hint="eastAsia"/>
                <w:lang w:val="en-US" w:eastAsia="zh-CN"/>
              </w:rPr>
            </w:pPr>
            <w:r>
              <w:rPr>
                <w:rFonts w:hint="eastAsia"/>
                <w:lang w:val="en-US" w:eastAsia="zh-CN"/>
              </w:rPr>
              <w:t>自选三</w:t>
            </w:r>
          </w:p>
          <w:p w14:paraId="6DEC8846">
            <w:pPr>
              <w:widowControl w:val="0"/>
              <w:bidi w:val="0"/>
              <w:jc w:val="both"/>
              <w:rPr>
                <w:rFonts w:hint="eastAsia"/>
                <w:lang w:val="en-US" w:eastAsia="zh-CN"/>
              </w:rPr>
            </w:pPr>
            <w:r>
              <w:rPr>
                <w:rFonts w:hint="eastAsia"/>
                <w:lang w:val="en-US" w:eastAsia="zh-CN"/>
              </w:rPr>
              <w:t>自选四</w:t>
            </w:r>
          </w:p>
          <w:p w14:paraId="7F2A3325">
            <w:pPr>
              <w:widowControl w:val="0"/>
              <w:bidi w:val="0"/>
              <w:jc w:val="both"/>
              <w:rPr>
                <w:rFonts w:hint="default"/>
                <w:lang w:val="en-US" w:eastAsia="zh-CN"/>
              </w:rPr>
            </w:pPr>
            <w:r>
              <w:rPr>
                <w:rFonts w:hint="eastAsia"/>
                <w:lang w:val="en-US" w:eastAsia="zh-CN"/>
              </w:rPr>
              <w:t>自定义计算</w:t>
            </w:r>
          </w:p>
          <w:p w14:paraId="03DD206C">
            <w:pPr>
              <w:widowControl w:val="0"/>
              <w:bidi w:val="0"/>
              <w:jc w:val="both"/>
              <w:rPr>
                <w:rFonts w:hint="eastAsia"/>
                <w:lang w:val="en-US" w:eastAsia="zh-CN"/>
              </w:rPr>
            </w:pPr>
          </w:p>
          <w:p w14:paraId="601C7DBC">
            <w:pPr>
              <w:widowControl w:val="0"/>
              <w:bidi w:val="0"/>
              <w:jc w:val="both"/>
              <w:rPr>
                <w:rFonts w:hint="default"/>
                <w:lang w:val="en-US" w:eastAsia="zh-CN"/>
              </w:rPr>
            </w:pPr>
            <w:r>
              <w:rPr>
                <w:rFonts w:hint="eastAsia"/>
                <w:lang w:val="en-US" w:eastAsia="zh-CN"/>
              </w:rPr>
              <w:t>2、</w:t>
            </w:r>
            <w:r>
              <w:rPr>
                <w:rFonts w:hint="default"/>
                <w:lang w:val="en-US" w:eastAsia="zh-CN"/>
              </w:rPr>
              <w:t>抽取招标控制价下浮系数n</w:t>
            </w:r>
          </w:p>
        </w:tc>
        <w:tc>
          <w:tcPr>
            <w:tcW w:w="1342" w:type="dxa"/>
          </w:tcPr>
          <w:p w14:paraId="61373556">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06EEF39C">
            <w:pPr>
              <w:widowControl w:val="0"/>
              <w:bidi w:val="0"/>
              <w:jc w:val="both"/>
              <w:rPr>
                <w:rFonts w:hint="default"/>
                <w:lang w:val="en-US" w:eastAsia="zh-CN"/>
              </w:rPr>
            </w:pPr>
            <w:r>
              <w:rPr>
                <w:rFonts w:hint="eastAsia"/>
                <w:lang w:eastAsia="zh-CN"/>
              </w:rPr>
              <w:t>算术平均值</w:t>
            </w:r>
          </w:p>
        </w:tc>
        <w:tc>
          <w:tcPr>
            <w:tcW w:w="5792" w:type="dxa"/>
          </w:tcPr>
          <w:p w14:paraId="775DA2A8">
            <w:pPr>
              <w:widowControl w:val="0"/>
              <w:bidi w:val="0"/>
              <w:jc w:val="both"/>
              <w:rPr>
                <w:rFonts w:hint="default"/>
                <w:lang w:val="en-US" w:eastAsia="zh-CN"/>
              </w:rPr>
            </w:pPr>
            <w:r>
              <w:rPr>
                <w:rFonts w:hint="eastAsia"/>
                <w:lang w:val="en-US" w:eastAsia="zh-CN"/>
              </w:rPr>
              <w:t>自选一：</w:t>
            </w:r>
          </w:p>
          <w:p w14:paraId="4E3C4634">
            <w:pPr>
              <w:widowControl w:val="0"/>
              <w:bidi w:val="0"/>
              <w:jc w:val="both"/>
              <w:rPr>
                <w:rFonts w:hint="default"/>
                <w:lang w:val="en-US" w:eastAsia="zh-CN"/>
              </w:rPr>
            </w:pPr>
            <w:r>
              <w:rPr>
                <w:rFonts w:hint="eastAsia"/>
                <w:lang w:val="en-US" w:eastAsia="zh-CN"/>
              </w:rPr>
              <w:t>抽取招标控制价下浮系数n</w:t>
            </w:r>
          </w:p>
          <w:p w14:paraId="610BF5F0">
            <w:pPr>
              <w:widowControl w:val="0"/>
              <w:bidi w:val="0"/>
              <w:jc w:val="both"/>
              <w:rPr>
                <w:rFonts w:hint="eastAsia"/>
                <w:lang w:val="en-US" w:eastAsia="zh-CN"/>
              </w:rPr>
            </w:pPr>
            <w:r>
              <w:rPr>
                <w:rFonts w:hint="eastAsia"/>
                <w:lang w:val="en-US" w:eastAsia="zh-CN"/>
              </w:rPr>
              <w:t>A＝招标控制价×（1－n%）</w:t>
            </w:r>
          </w:p>
          <w:p w14:paraId="34FEB3C4">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5ABDF814">
            <w:pPr>
              <w:widowControl w:val="0"/>
              <w:bidi w:val="0"/>
              <w:jc w:val="both"/>
              <w:rPr>
                <w:rFonts w:hint="default"/>
                <w:lang w:val="en-US" w:eastAsia="zh-CN"/>
              </w:rPr>
            </w:pPr>
            <w:r>
              <w:rPr>
                <w:rFonts w:hint="default"/>
                <w:lang w:val="en-US" w:eastAsia="zh-CN"/>
              </w:rPr>
              <w:t>评标基准价D＝（A＋B）÷2×0.98</w:t>
            </w:r>
          </w:p>
          <w:p w14:paraId="18346A1C">
            <w:pPr>
              <w:widowControl w:val="0"/>
              <w:bidi w:val="0"/>
              <w:jc w:val="both"/>
              <w:rPr>
                <w:rFonts w:hint="default"/>
                <w:lang w:val="en-US" w:eastAsia="zh-CN"/>
              </w:rPr>
            </w:pPr>
          </w:p>
          <w:p w14:paraId="469CDF2D">
            <w:pPr>
              <w:widowControl w:val="0"/>
              <w:bidi w:val="0"/>
              <w:jc w:val="both"/>
              <w:rPr>
                <w:rFonts w:hint="default"/>
                <w:lang w:val="en-US" w:eastAsia="zh-CN"/>
              </w:rPr>
            </w:pPr>
            <w:r>
              <w:rPr>
                <w:rFonts w:hint="eastAsia"/>
                <w:lang w:val="en-US" w:eastAsia="zh-CN"/>
              </w:rPr>
              <w:t>自选二：</w:t>
            </w:r>
          </w:p>
          <w:p w14:paraId="5802EF86">
            <w:pPr>
              <w:widowControl w:val="0"/>
              <w:bidi w:val="0"/>
              <w:jc w:val="both"/>
              <w:rPr>
                <w:rFonts w:hint="default"/>
                <w:lang w:val="en-US" w:eastAsia="zh-CN"/>
              </w:rPr>
            </w:pPr>
            <w:r>
              <w:rPr>
                <w:rFonts w:hint="eastAsia"/>
                <w:lang w:val="en-US" w:eastAsia="zh-CN"/>
              </w:rPr>
              <w:t>抽取招标控制价下浮系数n</w:t>
            </w:r>
          </w:p>
          <w:p w14:paraId="67714AA7">
            <w:pPr>
              <w:widowControl w:val="0"/>
              <w:bidi w:val="0"/>
              <w:jc w:val="both"/>
              <w:rPr>
                <w:rFonts w:hint="eastAsia"/>
                <w:lang w:val="en-US" w:eastAsia="zh-CN"/>
              </w:rPr>
            </w:pPr>
            <w:r>
              <w:rPr>
                <w:rFonts w:hint="eastAsia"/>
                <w:lang w:eastAsia="zh-CN"/>
              </w:rPr>
              <w:t>确定</w:t>
            </w:r>
            <w:r>
              <w:rPr>
                <w:rFonts w:hint="eastAsia"/>
                <w:lang w:val="en-US" w:eastAsia="zh-CN"/>
              </w:rPr>
              <w:t>A值权重系数K1、B值权重系数K2</w:t>
            </w:r>
            <w:r>
              <w:rPr>
                <w:rFonts w:hint="eastAsia"/>
                <w:lang w:eastAsia="zh-CN"/>
              </w:rPr>
              <w:t>：</w:t>
            </w:r>
            <w:r>
              <w:rPr>
                <w:rFonts w:hint="eastAsia"/>
              </w:rPr>
              <w:t>随机抽取</w:t>
            </w:r>
            <w:r>
              <w:rPr>
                <w:rFonts w:hint="eastAsia"/>
                <w:lang w:val="en-US" w:eastAsia="zh-CN"/>
              </w:rPr>
              <w:t>K1（30%、40%、50%、60%、70%），K2</w:t>
            </w:r>
            <w:r>
              <w:rPr>
                <w:rFonts w:hint="eastAsia"/>
                <w:lang w:eastAsia="zh-CN"/>
              </w:rPr>
              <w:t>＝</w:t>
            </w:r>
            <w:r>
              <w:rPr>
                <w:rFonts w:hint="eastAsia"/>
                <w:lang w:val="en-US" w:eastAsia="zh-CN"/>
              </w:rPr>
              <w:t>100%</w:t>
            </w:r>
            <w:r>
              <w:rPr>
                <w:rFonts w:hint="eastAsia"/>
                <w:lang w:eastAsia="zh-CN"/>
              </w:rPr>
              <w:t>－</w:t>
            </w:r>
            <w:r>
              <w:rPr>
                <w:rFonts w:hint="eastAsia"/>
                <w:lang w:val="en-US" w:eastAsia="zh-CN"/>
              </w:rPr>
              <w:t>K1</w:t>
            </w:r>
          </w:p>
          <w:p w14:paraId="030BD147">
            <w:pPr>
              <w:widowControl w:val="0"/>
              <w:bidi w:val="0"/>
              <w:jc w:val="both"/>
              <w:rPr>
                <w:rFonts w:hint="eastAsia"/>
              </w:rPr>
            </w:pPr>
            <w:r>
              <w:rPr>
                <w:rFonts w:hint="eastAsia"/>
              </w:rPr>
              <w:t>A＝招标控制价×（1－n%）</w:t>
            </w:r>
          </w:p>
          <w:p w14:paraId="296CA710">
            <w:pPr>
              <w:widowControl w:val="0"/>
              <w:bidi w:val="0"/>
              <w:jc w:val="both"/>
              <w:rPr>
                <w:rFonts w:hint="eastAsia"/>
                <w:lang w:eastAsia="zh-CN"/>
              </w:rPr>
            </w:pPr>
            <w:r>
              <w:rPr>
                <w:rFonts w:hint="eastAsia"/>
                <w:lang w:eastAsia="zh-CN"/>
              </w:rPr>
              <w:t>B＝将全部投标总价去掉一个最高报价和一个最低报价后的算术平均值（投标总价的数量不足5个时，B＝全部投标总价的算术平均值）</w:t>
            </w:r>
          </w:p>
          <w:p w14:paraId="289031E5">
            <w:pPr>
              <w:widowControl w:val="0"/>
              <w:bidi w:val="0"/>
              <w:jc w:val="both"/>
              <w:rPr>
                <w:rFonts w:hint="eastAsia"/>
                <w:lang w:eastAsia="zh-CN"/>
              </w:rPr>
            </w:pPr>
            <w:r>
              <w:rPr>
                <w:rFonts w:hint="eastAsia"/>
                <w:lang w:eastAsia="zh-CN"/>
              </w:rPr>
              <w:t>评标基准价</w:t>
            </w:r>
            <w:r>
              <w:rPr>
                <w:rFonts w:hint="eastAsia"/>
                <w:lang w:val="en-US" w:eastAsia="zh-CN"/>
              </w:rPr>
              <w:t>D</w:t>
            </w:r>
            <w:r>
              <w:rPr>
                <w:rFonts w:hint="eastAsia"/>
                <w:lang w:eastAsia="zh-CN"/>
              </w:rPr>
              <w:t>＝（A×</w:t>
            </w:r>
            <w:r>
              <w:rPr>
                <w:rFonts w:hint="eastAsia"/>
                <w:lang w:val="en-US" w:eastAsia="zh-CN"/>
              </w:rPr>
              <w:t>K1</w:t>
            </w:r>
            <w:r>
              <w:rPr>
                <w:rFonts w:hint="eastAsia"/>
                <w:lang w:eastAsia="zh-CN"/>
              </w:rPr>
              <w:t>＋B×</w:t>
            </w:r>
            <w:r>
              <w:rPr>
                <w:rFonts w:hint="eastAsia"/>
                <w:lang w:val="en-US" w:eastAsia="zh-CN"/>
              </w:rPr>
              <w:t>K2</w:t>
            </w:r>
            <w:r>
              <w:rPr>
                <w:rFonts w:hint="eastAsia"/>
                <w:lang w:eastAsia="zh-CN"/>
              </w:rPr>
              <w:t>）×0.98</w:t>
            </w:r>
          </w:p>
          <w:p w14:paraId="57893DDB">
            <w:pPr>
              <w:widowControl w:val="0"/>
              <w:bidi w:val="0"/>
              <w:jc w:val="both"/>
              <w:rPr>
                <w:rFonts w:hint="eastAsia"/>
                <w:lang w:eastAsia="zh-CN"/>
              </w:rPr>
            </w:pPr>
          </w:p>
          <w:p w14:paraId="0923BFCA">
            <w:pPr>
              <w:widowControl w:val="0"/>
              <w:bidi w:val="0"/>
              <w:jc w:val="both"/>
              <w:rPr>
                <w:rFonts w:hint="eastAsia"/>
                <w:lang w:val="en-US" w:eastAsia="zh-CN"/>
              </w:rPr>
            </w:pPr>
            <w:r>
              <w:rPr>
                <w:rFonts w:hint="eastAsia"/>
                <w:lang w:val="en-US" w:eastAsia="zh-CN"/>
              </w:rPr>
              <w:t>自选三：</w:t>
            </w:r>
          </w:p>
          <w:p w14:paraId="03165A44">
            <w:pPr>
              <w:widowControl w:val="0"/>
              <w:bidi w:val="0"/>
              <w:jc w:val="both"/>
              <w:rPr>
                <w:rFonts w:hint="eastAsia"/>
                <w:lang w:eastAsia="zh-CN"/>
              </w:rPr>
            </w:pPr>
            <w:r>
              <w:rPr>
                <w:rFonts w:hint="eastAsia"/>
              </w:rPr>
              <w:t>确定参与评标基准价计算的</w:t>
            </w:r>
            <w:r>
              <w:rPr>
                <w:rFonts w:hint="eastAsia"/>
                <w:lang w:eastAsia="zh-CN"/>
              </w:rPr>
              <w:t>投标总价范围：招标控制价的85%≤参与评标基准价计算的投标总价≤招标控制价（投标人的投标总价均小于招标控制价的85%时，则以招标控制价的85%为评标基准价</w:t>
            </w:r>
            <w:r>
              <w:rPr>
                <w:rFonts w:hint="eastAsia"/>
                <w:lang w:val="en-US" w:eastAsia="zh-CN"/>
              </w:rPr>
              <w:t>D</w:t>
            </w:r>
            <w:r>
              <w:rPr>
                <w:rFonts w:hint="eastAsia"/>
                <w:lang w:eastAsia="zh-CN"/>
              </w:rPr>
              <w:t>）</w:t>
            </w:r>
          </w:p>
          <w:p w14:paraId="27BA4726">
            <w:pPr>
              <w:widowControl w:val="0"/>
              <w:bidi w:val="0"/>
              <w:jc w:val="both"/>
              <w:rPr>
                <w:rFonts w:hint="eastAsia"/>
                <w:lang w:eastAsia="zh-CN"/>
              </w:rPr>
            </w:pP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2674761C">
            <w:pPr>
              <w:widowControl w:val="0"/>
              <w:bidi w:val="0"/>
              <w:jc w:val="both"/>
              <w:rPr>
                <w:rFonts w:hint="eastAsia"/>
                <w:lang w:val="en-US" w:eastAsia="zh-CN"/>
              </w:rPr>
            </w:pPr>
            <w:r>
              <w:rPr>
                <w:rFonts w:hint="eastAsia"/>
                <w:lang w:val="en-US" w:eastAsia="zh-CN"/>
              </w:rPr>
              <w:t>抽取下浮系数n</w:t>
            </w:r>
          </w:p>
          <w:p w14:paraId="2B5BE1D2">
            <w:pPr>
              <w:widowControl w:val="0"/>
              <w:bidi w:val="0"/>
              <w:jc w:val="both"/>
              <w:rPr>
                <w:rFonts w:hint="eastAsia"/>
                <w:lang w:val="en-US" w:eastAsia="zh-CN"/>
              </w:rPr>
            </w:pP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4A8278E3">
            <w:pPr>
              <w:widowControl w:val="0"/>
              <w:bidi w:val="0"/>
              <w:jc w:val="both"/>
              <w:rPr>
                <w:rFonts w:hint="eastAsia"/>
                <w:lang w:val="en-US" w:eastAsia="zh-CN"/>
              </w:rPr>
            </w:pPr>
          </w:p>
          <w:p w14:paraId="25B3B4D0">
            <w:pPr>
              <w:widowControl w:val="0"/>
              <w:bidi w:val="0"/>
              <w:jc w:val="both"/>
              <w:rPr>
                <w:rFonts w:hint="eastAsia"/>
                <w:lang w:val="en-US" w:eastAsia="zh-CN"/>
              </w:rPr>
            </w:pPr>
            <w:r>
              <w:rPr>
                <w:rFonts w:hint="eastAsia"/>
                <w:lang w:val="en-US" w:eastAsia="zh-CN"/>
              </w:rPr>
              <w:t>自选四：</w:t>
            </w:r>
          </w:p>
          <w:p w14:paraId="28C5BB0A">
            <w:pPr>
              <w:widowControl w:val="0"/>
              <w:bidi w:val="0"/>
              <w:jc w:val="both"/>
              <w:rPr>
                <w:rFonts w:hint="eastAsia"/>
                <w:lang w:val="en-US" w:eastAsia="zh-CN"/>
              </w:rPr>
            </w:pPr>
            <w:r>
              <w:rPr>
                <w:rFonts w:hint="eastAsia"/>
                <w:lang w:val="en-US" w:eastAsia="zh-CN"/>
              </w:rPr>
              <w:t>抽取</w:t>
            </w:r>
            <w:r>
              <w:rPr>
                <w:rFonts w:hint="eastAsia"/>
                <w:lang w:eastAsia="zh-CN"/>
              </w:rPr>
              <w:t>招标控制价</w:t>
            </w:r>
            <w:r>
              <w:rPr>
                <w:rFonts w:hint="eastAsia"/>
                <w:lang w:val="en-US" w:eastAsia="zh-CN"/>
              </w:rPr>
              <w:t>下浮系数n：用1～21号球分别代表一个下浮系数，随机抽取 Y 次（Y值范围为2～3），每次抽取1个号码，抽出的号球不参与下次抽取，所抽取的Y个号码对应下浮系数的算术平均值。</w:t>
            </w:r>
          </w:p>
          <w:p w14:paraId="7BABC4A7">
            <w:pPr>
              <w:widowControl w:val="0"/>
              <w:bidi w:val="0"/>
              <w:jc w:val="both"/>
              <w:rPr>
                <w:rFonts w:hint="eastAsia"/>
                <w:lang w:eastAsia="zh-CN"/>
              </w:rPr>
            </w:pPr>
            <w:r>
              <w:rPr>
                <w:rFonts w:hint="eastAsia"/>
                <w:lang w:eastAsia="zh-CN"/>
              </w:rPr>
              <w:t>评标基准价D＝招标控制价×（1－</w:t>
            </w:r>
            <w:r>
              <w:rPr>
                <w:rFonts w:hint="eastAsia"/>
                <w:lang w:val="en-US" w:eastAsia="zh-CN"/>
              </w:rPr>
              <w:t>n</w:t>
            </w:r>
            <w:r>
              <w:rPr>
                <w:rFonts w:hint="eastAsia"/>
                <w:lang w:eastAsia="zh-CN"/>
              </w:rPr>
              <w:t>）</w:t>
            </w:r>
          </w:p>
          <w:p w14:paraId="1761526A">
            <w:pPr>
              <w:widowControl w:val="0"/>
              <w:bidi w:val="0"/>
              <w:jc w:val="both"/>
              <w:rPr>
                <w:rFonts w:hint="eastAsia"/>
                <w:lang w:eastAsia="zh-CN"/>
              </w:rPr>
            </w:pPr>
          </w:p>
          <w:p w14:paraId="71313C2F">
            <w:pPr>
              <w:widowControl w:val="0"/>
              <w:bidi w:val="0"/>
              <w:jc w:val="both"/>
              <w:rPr>
                <w:rFonts w:hint="eastAsia"/>
                <w:lang w:val="en-US" w:eastAsia="zh-CN"/>
              </w:rPr>
            </w:pPr>
            <w:r>
              <w:rPr>
                <w:rFonts w:hint="eastAsia"/>
                <w:lang w:val="en-US" w:eastAsia="zh-CN"/>
              </w:rPr>
              <w:t>自定义计算：</w:t>
            </w:r>
          </w:p>
          <w:p w14:paraId="78D1872D">
            <w:pPr>
              <w:widowControl w:val="0"/>
              <w:bidi w:val="0"/>
              <w:jc w:val="both"/>
              <w:rPr>
                <w:rFonts w:hint="default"/>
                <w:lang w:val="en-US" w:eastAsia="zh-CN"/>
              </w:rPr>
            </w:pPr>
            <w:r>
              <w:rPr>
                <w:rFonts w:hint="eastAsia"/>
                <w:lang w:val="en-US" w:eastAsia="zh-CN"/>
              </w:rPr>
              <w:t>评标基准价由评委计算并录入</w:t>
            </w:r>
          </w:p>
          <w:p w14:paraId="2D38DB2F">
            <w:pPr>
              <w:widowControl w:val="0"/>
              <w:bidi w:val="0"/>
              <w:jc w:val="both"/>
              <w:rPr>
                <w:rFonts w:hint="eastAsia"/>
                <w:lang w:eastAsia="zh-CN"/>
              </w:rPr>
            </w:pPr>
          </w:p>
          <w:p w14:paraId="5C2EA1AC">
            <w:pPr>
              <w:widowControl w:val="0"/>
              <w:bidi w:val="0"/>
              <w:jc w:val="both"/>
              <w:rPr>
                <w:rFonts w:hint="default"/>
                <w:lang w:val="en-US" w:eastAsia="zh-CN"/>
              </w:rPr>
            </w:pPr>
            <w:r>
              <w:rPr>
                <w:rFonts w:hint="eastAsia"/>
                <w:lang w:val="en-US" w:eastAsia="zh-CN"/>
              </w:rPr>
              <w:t>自选一~自选四价格分计算：</w:t>
            </w:r>
          </w:p>
          <w:p w14:paraId="4C6C9082">
            <w:pPr>
              <w:widowControl w:val="0"/>
              <w:bidi w:val="0"/>
              <w:jc w:val="both"/>
              <w:rPr>
                <w:rFonts w:hint="eastAsia"/>
                <w:lang w:eastAsia="zh-CN"/>
              </w:rPr>
            </w:pPr>
            <w:r>
              <w:rPr>
                <w:rFonts w:hint="eastAsia"/>
                <w:lang w:eastAsia="zh-CN"/>
              </w:rPr>
              <w:t>采用内插法计算某投标人的投标报价得分N，即当投标人的投标总价等于评标基准价时得100分，每高于评标基准价一个百分点扣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6CA75CC0">
            <w:pPr>
              <w:widowControl w:val="0"/>
              <w:bidi w:val="0"/>
              <w:jc w:val="both"/>
              <w:rPr>
                <w:rFonts w:hint="eastAsia"/>
                <w:lang w:eastAsia="zh-CN"/>
              </w:rPr>
            </w:pPr>
            <w:r>
              <w:rPr>
                <w:rFonts w:hint="eastAsia"/>
                <w:lang w:eastAsia="zh-CN"/>
              </w:rPr>
              <w:t>N＝100－（|</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0986D7DA">
            <w:pPr>
              <w:widowControl w:val="0"/>
              <w:bidi w:val="0"/>
              <w:jc w:val="both"/>
              <w:rPr>
                <w:rFonts w:hint="eastAsia"/>
                <w:lang w:val="en-US" w:eastAsia="zh-CN"/>
              </w:rPr>
            </w:pPr>
            <w:r>
              <w:rPr>
                <w:rFonts w:hint="eastAsia"/>
                <w:lang w:eastAsia="zh-CN"/>
              </w:rPr>
              <w:t>式中：D为评标基准价；Di为某投标人的投标总价；E为扣分因子，当Di＞D时，E＝3；当Di＜D时，E＝1。</w:t>
            </w:r>
            <w:r>
              <w:rPr>
                <w:rFonts w:hint="eastAsia"/>
                <w:lang w:val="en-US" w:eastAsia="zh-CN"/>
              </w:rPr>
              <w:t>E可配置。</w:t>
            </w:r>
          </w:p>
          <w:p w14:paraId="09312AE7">
            <w:pPr>
              <w:widowControl w:val="0"/>
              <w:bidi w:val="0"/>
              <w:jc w:val="both"/>
              <w:rPr>
                <w:rFonts w:hint="eastAsia"/>
                <w:lang w:val="en-US" w:eastAsia="zh-CN"/>
              </w:rPr>
            </w:pPr>
          </w:p>
          <w:p w14:paraId="449C3C25">
            <w:pPr>
              <w:widowControl w:val="0"/>
              <w:bidi w:val="0"/>
              <w:jc w:val="both"/>
              <w:rPr>
                <w:rFonts w:hint="eastAsia"/>
                <w:lang w:val="en-US" w:eastAsia="zh-CN"/>
              </w:rPr>
            </w:pPr>
            <w:r>
              <w:rPr>
                <w:rFonts w:hint="eastAsia"/>
                <w:lang w:val="en-US" w:eastAsia="zh-CN"/>
              </w:rPr>
              <w:t>自定义计算的价格分计算：</w:t>
            </w:r>
          </w:p>
          <w:p w14:paraId="7A6C66D3">
            <w:pPr>
              <w:widowControl w:val="0"/>
              <w:bidi w:val="0"/>
              <w:jc w:val="both"/>
              <w:rPr>
                <w:rFonts w:hint="default"/>
                <w:lang w:val="en-US" w:eastAsia="zh-CN"/>
              </w:rPr>
            </w:pPr>
            <w:r>
              <w:rPr>
                <w:rFonts w:hint="eastAsia"/>
                <w:lang w:val="en-US" w:eastAsia="zh-CN"/>
              </w:rPr>
              <w:t>根据代理配置的计算公式，自动进行系统试算</w:t>
            </w:r>
          </w:p>
        </w:tc>
      </w:tr>
    </w:tbl>
    <w:p w14:paraId="2C483E9A">
      <w:pPr>
        <w:bidi w:val="0"/>
        <w:rPr>
          <w:rFonts w:hint="default"/>
          <w:lang w:val="en-US" w:eastAsia="zh-CN"/>
        </w:rPr>
      </w:pPr>
    </w:p>
    <w:p w14:paraId="0F9CB4E6">
      <w:pPr>
        <w:bidi w:val="0"/>
        <w:rPr>
          <w:rFonts w:hint="eastAsia"/>
          <w:lang w:val="en-US" w:eastAsia="zh-CN"/>
        </w:rPr>
      </w:pPr>
      <w:r>
        <w:rPr>
          <w:rFonts w:hint="eastAsia"/>
          <w:lang w:val="en-US" w:eastAsia="zh-CN"/>
        </w:rPr>
        <w:t>（监理类）评分计算方法如下表所示：</w:t>
      </w:r>
    </w:p>
    <w:p w14:paraId="544A8DD8">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8"/>
        <w:gridCol w:w="1170"/>
        <w:gridCol w:w="1058"/>
        <w:gridCol w:w="4576"/>
      </w:tblGrid>
      <w:tr w14:paraId="153BE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405F59A1">
            <w:pPr>
              <w:widowControl w:val="0"/>
              <w:bidi w:val="0"/>
              <w:jc w:val="both"/>
              <w:rPr>
                <w:rFonts w:hint="default"/>
                <w:lang w:val="en-US" w:eastAsia="zh-CN"/>
              </w:rPr>
            </w:pPr>
            <w:r>
              <w:rPr>
                <w:rFonts w:hint="eastAsia"/>
                <w:lang w:val="en-US" w:eastAsia="zh-CN"/>
              </w:rPr>
              <w:t>价格分计算参数</w:t>
            </w:r>
          </w:p>
        </w:tc>
        <w:tc>
          <w:tcPr>
            <w:tcW w:w="1342" w:type="dxa"/>
          </w:tcPr>
          <w:p w14:paraId="58909B3D">
            <w:pPr>
              <w:widowControl w:val="0"/>
              <w:bidi w:val="0"/>
              <w:jc w:val="both"/>
              <w:rPr>
                <w:rFonts w:hint="default"/>
                <w:lang w:val="en-US" w:eastAsia="zh-CN"/>
              </w:rPr>
            </w:pPr>
            <w:r>
              <w:rPr>
                <w:rFonts w:hint="eastAsia"/>
                <w:lang w:val="en-US" w:eastAsia="zh-CN"/>
              </w:rPr>
              <w:t>技术分</w:t>
            </w:r>
          </w:p>
        </w:tc>
        <w:tc>
          <w:tcPr>
            <w:tcW w:w="1276" w:type="dxa"/>
          </w:tcPr>
          <w:p w14:paraId="440930EE">
            <w:pPr>
              <w:widowControl w:val="0"/>
              <w:bidi w:val="0"/>
              <w:jc w:val="both"/>
              <w:rPr>
                <w:rFonts w:hint="default"/>
                <w:lang w:val="en-US" w:eastAsia="zh-CN"/>
              </w:rPr>
            </w:pPr>
            <w:r>
              <w:rPr>
                <w:rFonts w:hint="eastAsia"/>
                <w:lang w:val="en-US" w:eastAsia="zh-CN"/>
              </w:rPr>
              <w:t>商务分</w:t>
            </w:r>
          </w:p>
        </w:tc>
        <w:tc>
          <w:tcPr>
            <w:tcW w:w="5793" w:type="dxa"/>
          </w:tcPr>
          <w:p w14:paraId="52BA5ABE">
            <w:pPr>
              <w:widowControl w:val="0"/>
              <w:bidi w:val="0"/>
              <w:jc w:val="both"/>
              <w:rPr>
                <w:rFonts w:hint="default"/>
                <w:lang w:val="en-US" w:eastAsia="zh-CN"/>
              </w:rPr>
            </w:pPr>
            <w:r>
              <w:rPr>
                <w:rFonts w:hint="eastAsia"/>
                <w:lang w:val="en-US" w:eastAsia="zh-CN"/>
              </w:rPr>
              <w:t>价格分</w:t>
            </w:r>
          </w:p>
        </w:tc>
      </w:tr>
      <w:tr w14:paraId="7868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791C6445">
            <w:pPr>
              <w:widowControl w:val="0"/>
              <w:bidi w:val="0"/>
              <w:jc w:val="both"/>
              <w:rPr>
                <w:rFonts w:hint="eastAsia"/>
                <w:lang w:val="en-US" w:eastAsia="zh-CN"/>
              </w:rPr>
            </w:pPr>
            <w:r>
              <w:rPr>
                <w:rFonts w:hint="eastAsia"/>
                <w:lang w:val="en-US" w:eastAsia="zh-CN"/>
              </w:rPr>
              <w:t>按</w:t>
            </w:r>
            <w:r>
              <w:rPr>
                <w:rFonts w:hint="eastAsia"/>
                <w:lang w:eastAsia="zh-CN"/>
              </w:rPr>
              <w:t>指定方法计算评标基准价</w:t>
            </w:r>
            <w:r>
              <w:rPr>
                <w:rFonts w:hint="eastAsia"/>
                <w:lang w:val="en-US" w:eastAsia="zh-CN"/>
              </w:rPr>
              <w:t>D：</w:t>
            </w:r>
          </w:p>
          <w:p w14:paraId="417F6281">
            <w:pPr>
              <w:widowControl w:val="0"/>
              <w:bidi w:val="0"/>
              <w:jc w:val="both"/>
              <w:rPr>
                <w:rFonts w:hint="eastAsia"/>
                <w:lang w:val="en-US" w:eastAsia="zh-CN"/>
              </w:rPr>
            </w:pPr>
            <w:r>
              <w:rPr>
                <w:rFonts w:hint="eastAsia"/>
                <w:lang w:val="en-US" w:eastAsia="zh-CN"/>
              </w:rPr>
              <w:t>自选一</w:t>
            </w:r>
          </w:p>
          <w:p w14:paraId="0BBC83FA">
            <w:pPr>
              <w:widowControl w:val="0"/>
              <w:bidi w:val="0"/>
              <w:jc w:val="both"/>
              <w:rPr>
                <w:rFonts w:hint="eastAsia"/>
                <w:lang w:val="en-US" w:eastAsia="zh-CN"/>
              </w:rPr>
            </w:pPr>
            <w:r>
              <w:rPr>
                <w:rFonts w:hint="eastAsia"/>
                <w:lang w:val="en-US" w:eastAsia="zh-CN"/>
              </w:rPr>
              <w:t>自选二</w:t>
            </w:r>
          </w:p>
          <w:p w14:paraId="5964FF47">
            <w:pPr>
              <w:widowControl w:val="0"/>
              <w:bidi w:val="0"/>
              <w:jc w:val="both"/>
              <w:rPr>
                <w:rFonts w:hint="eastAsia"/>
                <w:lang w:val="en-US" w:eastAsia="zh-CN"/>
              </w:rPr>
            </w:pPr>
            <w:r>
              <w:rPr>
                <w:rFonts w:hint="eastAsia"/>
                <w:lang w:val="en-US" w:eastAsia="zh-CN"/>
              </w:rPr>
              <w:t>自选三</w:t>
            </w:r>
          </w:p>
          <w:p w14:paraId="54FDF20E">
            <w:pPr>
              <w:widowControl w:val="0"/>
              <w:bidi w:val="0"/>
              <w:jc w:val="both"/>
              <w:rPr>
                <w:rFonts w:hint="default"/>
                <w:lang w:val="en-US" w:eastAsia="zh-CN"/>
              </w:rPr>
            </w:pPr>
            <w:r>
              <w:rPr>
                <w:rFonts w:hint="eastAsia"/>
                <w:lang w:val="en-US" w:eastAsia="zh-CN"/>
              </w:rPr>
              <w:t>自定义计算</w:t>
            </w:r>
          </w:p>
          <w:p w14:paraId="6A0D1744">
            <w:pPr>
              <w:widowControl w:val="0"/>
              <w:bidi w:val="0"/>
              <w:jc w:val="both"/>
              <w:rPr>
                <w:rFonts w:hint="eastAsia"/>
                <w:lang w:val="en-US" w:eastAsia="zh-CN"/>
              </w:rPr>
            </w:pPr>
          </w:p>
          <w:p w14:paraId="4BD0AD63">
            <w:pPr>
              <w:widowControl w:val="0"/>
              <w:bidi w:val="0"/>
              <w:jc w:val="both"/>
              <w:rPr>
                <w:rFonts w:hint="default"/>
                <w:lang w:val="en-US" w:eastAsia="zh-CN"/>
              </w:rPr>
            </w:pPr>
            <w:r>
              <w:rPr>
                <w:rFonts w:hint="default"/>
                <w:lang w:val="en-US" w:eastAsia="zh-CN"/>
              </w:rPr>
              <w:t>抽取招标控制价下浮系数n</w:t>
            </w:r>
          </w:p>
        </w:tc>
        <w:tc>
          <w:tcPr>
            <w:tcW w:w="1342" w:type="dxa"/>
          </w:tcPr>
          <w:p w14:paraId="29BAE4BC">
            <w:pPr>
              <w:widowControl w:val="0"/>
              <w:bidi w:val="0"/>
              <w:jc w:val="both"/>
              <w:rPr>
                <w:rFonts w:hint="default"/>
                <w:lang w:val="en-US" w:eastAsia="zh-CN"/>
              </w:rPr>
            </w:pPr>
            <w:r>
              <w:rPr>
                <w:rFonts w:hint="eastAsia"/>
                <w:lang w:eastAsia="zh-CN"/>
              </w:rPr>
              <w:t>去掉一个最高分和一个最低分后，取算术平均值</w:t>
            </w:r>
          </w:p>
        </w:tc>
        <w:tc>
          <w:tcPr>
            <w:tcW w:w="1276" w:type="dxa"/>
          </w:tcPr>
          <w:p w14:paraId="4535D751">
            <w:pPr>
              <w:widowControl w:val="0"/>
              <w:bidi w:val="0"/>
              <w:jc w:val="both"/>
              <w:rPr>
                <w:rFonts w:hint="default"/>
                <w:lang w:val="en-US" w:eastAsia="zh-CN"/>
              </w:rPr>
            </w:pPr>
            <w:r>
              <w:rPr>
                <w:rFonts w:hint="eastAsia"/>
                <w:lang w:eastAsia="zh-CN"/>
              </w:rPr>
              <w:t>算术平均值</w:t>
            </w:r>
          </w:p>
        </w:tc>
        <w:tc>
          <w:tcPr>
            <w:tcW w:w="5793" w:type="dxa"/>
          </w:tcPr>
          <w:p w14:paraId="5FE04BAC">
            <w:pPr>
              <w:widowControl w:val="0"/>
              <w:bidi w:val="0"/>
              <w:jc w:val="both"/>
              <w:rPr>
                <w:rFonts w:hint="eastAsia"/>
                <w:lang w:val="en-US" w:eastAsia="zh-CN"/>
              </w:rPr>
            </w:pPr>
            <w:r>
              <w:rPr>
                <w:rFonts w:hint="eastAsia"/>
              </w:rPr>
              <w:t>自选</w:t>
            </w:r>
            <w:r>
              <w:rPr>
                <w:rFonts w:hint="eastAsia"/>
                <w:lang w:eastAsia="zh-CN"/>
              </w:rPr>
              <w:t>一</w:t>
            </w:r>
            <w:r>
              <w:rPr>
                <w:rFonts w:hint="eastAsia"/>
              </w:rPr>
              <w:t>：</w:t>
            </w:r>
          </w:p>
          <w:p w14:paraId="3F2CAAEA">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69B3C5B">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7BE77B8C">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）B＝将</w:t>
            </w:r>
            <w:r>
              <w:rPr>
                <w:rFonts w:hint="eastAsia"/>
              </w:rPr>
              <w:t>参与评标基准价计算的</w:t>
            </w:r>
            <w:r>
              <w:rPr>
                <w:rFonts w:hint="eastAsia"/>
                <w:lang w:eastAsia="zh-CN"/>
              </w:rPr>
              <w:t>投标总价去掉一个最高报价和一个最低报价后的算术平均值（参与平均值计算的投标总价的数量不足</w:t>
            </w:r>
            <w:r>
              <w:rPr>
                <w:rFonts w:hint="eastAsia"/>
                <w:lang w:val="en-US" w:eastAsia="zh-CN"/>
              </w:rPr>
              <w:t>5个时</w:t>
            </w:r>
            <w:r>
              <w:rPr>
                <w:rFonts w:hint="eastAsia"/>
                <w:lang w:eastAsia="zh-CN"/>
              </w:rPr>
              <w:t>，计算上述平均值时不去掉最高报价和最低报价）。</w:t>
            </w:r>
          </w:p>
          <w:p w14:paraId="7CD3366A">
            <w:pPr>
              <w:widowControl w:val="0"/>
              <w:bidi w:val="0"/>
              <w:jc w:val="both"/>
              <w:rPr>
                <w:rFonts w:hint="eastAsia"/>
              </w:rPr>
            </w:pPr>
            <w:r>
              <w:rPr>
                <w:rFonts w:hint="eastAsia"/>
                <w:lang w:eastAsia="zh-CN"/>
              </w:rPr>
              <w:t>（</w:t>
            </w:r>
            <w:r>
              <w:rPr>
                <w:rFonts w:hint="eastAsia"/>
                <w:lang w:val="en-US" w:eastAsia="zh-CN"/>
              </w:rPr>
              <w:t>3</w:t>
            </w:r>
            <w:r>
              <w:rPr>
                <w:rFonts w:hint="eastAsia"/>
                <w:lang w:eastAsia="zh-CN"/>
              </w:rPr>
              <w:t>）确定</w:t>
            </w:r>
            <w:r>
              <w:rPr>
                <w:rFonts w:hint="eastAsia"/>
                <w:lang w:val="en-US" w:eastAsia="zh-CN"/>
              </w:rPr>
              <w:t>B值下浮系数n：</w:t>
            </w:r>
            <w:r>
              <w:rPr>
                <w:rFonts w:hint="eastAsia"/>
              </w:rPr>
              <w:t>由评标委员会负责人随机抽取</w:t>
            </w:r>
            <w:r>
              <w:rPr>
                <w:rFonts w:hint="eastAsia"/>
                <w:lang w:val="en-US" w:eastAsia="zh-CN"/>
              </w:rPr>
              <w:t>B值下浮系数n</w:t>
            </w:r>
            <w:r>
              <w:rPr>
                <w:rFonts w:hint="eastAsia"/>
              </w:rPr>
              <w:t>（精确到小数点后一位）。n取值范围为</w:t>
            </w:r>
            <w:r>
              <w:rPr>
                <w:rFonts w:hint="eastAsia"/>
                <w:lang w:eastAsia="zh-CN"/>
              </w:rPr>
              <w:t>：</w:t>
            </w:r>
            <w:r>
              <w:rPr>
                <w:rFonts w:hint="eastAsia"/>
              </w:rPr>
              <w:t xml:space="preserve"> X.X～X.X （由招标人根据实际情况自行拟定）</w:t>
            </w:r>
            <w:r>
              <w:rPr>
                <w:rFonts w:hint="eastAsia"/>
                <w:lang w:eastAsia="zh-CN"/>
              </w:rPr>
              <w:t>。</w:t>
            </w:r>
          </w:p>
          <w:p w14:paraId="078E4C7E">
            <w:pPr>
              <w:widowControl w:val="0"/>
              <w:bidi w:val="0"/>
              <w:jc w:val="both"/>
              <w:rPr>
                <w:rFonts w:hint="eastAsia"/>
                <w:lang w:eastAsia="zh-CN"/>
              </w:rPr>
            </w:pPr>
            <w:r>
              <w:rPr>
                <w:rFonts w:hint="eastAsia"/>
                <w:lang w:eastAsia="zh-CN"/>
              </w:rPr>
              <w:t>（</w:t>
            </w:r>
            <w:r>
              <w:rPr>
                <w:rFonts w:hint="eastAsia"/>
                <w:lang w:val="en-US" w:eastAsia="zh-CN"/>
              </w:rPr>
              <w:t>4</w:t>
            </w:r>
            <w:r>
              <w:rPr>
                <w:rFonts w:hint="eastAsia"/>
                <w:lang w:eastAsia="zh-CN"/>
              </w:rPr>
              <w:t>）</w:t>
            </w:r>
            <w:r>
              <w:rPr>
                <w:rFonts w:hint="eastAsia"/>
              </w:rPr>
              <w:t>评标基准价D</w:t>
            </w:r>
            <w:r>
              <w:rPr>
                <w:rFonts w:hint="eastAsia"/>
                <w:lang w:eastAsia="zh-CN"/>
              </w:rPr>
              <w:t>＝</w:t>
            </w:r>
            <w:r>
              <w:rPr>
                <w:rFonts w:hint="eastAsia"/>
                <w:lang w:val="en-US" w:eastAsia="zh-CN"/>
              </w:rPr>
              <w:t>B×（1</w:t>
            </w:r>
            <w:r>
              <w:rPr>
                <w:rFonts w:hint="eastAsia"/>
                <w:lang w:eastAsia="zh-CN"/>
              </w:rPr>
              <w:t>－</w:t>
            </w:r>
            <w:r>
              <w:rPr>
                <w:rFonts w:hint="eastAsia"/>
                <w:lang w:val="en-US" w:eastAsia="zh-CN"/>
              </w:rPr>
              <w:t>n%）</w:t>
            </w:r>
          </w:p>
          <w:p w14:paraId="29CE95CB">
            <w:pPr>
              <w:widowControl w:val="0"/>
              <w:bidi w:val="0"/>
              <w:jc w:val="both"/>
              <w:rPr>
                <w:rFonts w:hint="eastAsia"/>
                <w:lang w:val="en-US" w:eastAsia="zh-CN"/>
              </w:rPr>
            </w:pPr>
            <w:r>
              <w:rPr>
                <w:rFonts w:hint="eastAsia"/>
                <w:lang w:eastAsia="zh-CN"/>
              </w:rPr>
              <w:t>（</w:t>
            </w:r>
            <w:r>
              <w:rPr>
                <w:rFonts w:hint="eastAsia"/>
                <w:lang w:val="en-US" w:eastAsia="zh-CN"/>
              </w:rPr>
              <w:t>5</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2CA64CF4">
            <w:pPr>
              <w:widowControl w:val="0"/>
              <w:bidi w:val="0"/>
              <w:jc w:val="both"/>
              <w:rPr>
                <w:rFonts w:hint="eastAsia"/>
                <w:lang w:val="en-US" w:eastAsia="zh-CN"/>
              </w:rPr>
            </w:pPr>
          </w:p>
          <w:p w14:paraId="3D605CAD">
            <w:pPr>
              <w:widowControl w:val="0"/>
              <w:bidi w:val="0"/>
              <w:jc w:val="both"/>
              <w:rPr>
                <w:rFonts w:hint="eastAsia"/>
                <w:lang w:val="en-US" w:eastAsia="zh-CN"/>
              </w:rPr>
            </w:pPr>
            <w:r>
              <w:rPr>
                <w:rFonts w:hint="eastAsia"/>
              </w:rPr>
              <w:t>自选</w:t>
            </w:r>
            <w:r>
              <w:rPr>
                <w:rFonts w:hint="eastAsia"/>
                <w:lang w:eastAsia="zh-CN"/>
              </w:rPr>
              <w:t>二</w:t>
            </w:r>
            <w:r>
              <w:rPr>
                <w:rFonts w:hint="eastAsia"/>
              </w:rPr>
              <w:t>：</w:t>
            </w:r>
          </w:p>
          <w:p w14:paraId="41AA9218">
            <w:pPr>
              <w:widowControl w:val="0"/>
              <w:bidi w:val="0"/>
              <w:jc w:val="both"/>
              <w:rPr>
                <w:rFonts w:hint="eastAsia"/>
                <w:lang w:eastAsia="zh-CN"/>
              </w:rPr>
            </w:pPr>
            <w:r>
              <w:rPr>
                <w:rFonts w:hint="eastAsia"/>
                <w:lang w:eastAsia="zh-CN"/>
              </w:rPr>
              <w:t>（</w:t>
            </w:r>
            <w:r>
              <w:rPr>
                <w:rFonts w:hint="eastAsia"/>
                <w:lang w:val="en-US" w:eastAsia="zh-CN"/>
              </w:rPr>
              <w:t>1</w:t>
            </w:r>
            <w:r>
              <w:rPr>
                <w:rFonts w:hint="eastAsia"/>
                <w:lang w:eastAsia="zh-CN"/>
              </w:rPr>
              <w:t>）</w:t>
            </w:r>
            <w:r>
              <w:rPr>
                <w:rFonts w:hint="eastAsia"/>
              </w:rPr>
              <w:t>确定参与评标基准价计算的</w:t>
            </w:r>
            <w:r>
              <w:rPr>
                <w:rFonts w:hint="eastAsia"/>
                <w:lang w:eastAsia="zh-CN"/>
              </w:rPr>
              <w:t>投标总价范围：最高投标限价的8</w:t>
            </w:r>
            <w:r>
              <w:rPr>
                <w:rFonts w:hint="eastAsia"/>
                <w:lang w:val="en-US" w:eastAsia="zh-CN"/>
              </w:rPr>
              <w:t>0</w:t>
            </w:r>
            <w:r>
              <w:rPr>
                <w:rFonts w:hint="eastAsia"/>
                <w:lang w:eastAsia="zh-CN"/>
              </w:rPr>
              <w:t>%≤参与评标基准价计算的投标总价≤最高投标限价。</w:t>
            </w:r>
          </w:p>
          <w:p w14:paraId="43932159">
            <w:pPr>
              <w:widowControl w:val="0"/>
              <w:bidi w:val="0"/>
              <w:jc w:val="both"/>
              <w:rPr>
                <w:rFonts w:hint="eastAsia"/>
                <w:lang w:eastAsia="zh-CN"/>
              </w:rPr>
            </w:pPr>
            <w:r>
              <w:rPr>
                <w:rFonts w:hint="eastAsia"/>
                <w:lang w:eastAsia="zh-CN"/>
              </w:rPr>
              <w:t>注：低于最高投标限价8</w:t>
            </w:r>
            <w:r>
              <w:rPr>
                <w:rFonts w:hint="eastAsia"/>
                <w:lang w:val="en-US" w:eastAsia="zh-CN"/>
              </w:rPr>
              <w:t>0</w:t>
            </w:r>
            <w:r>
              <w:rPr>
                <w:rFonts w:hint="eastAsia"/>
                <w:lang w:eastAsia="zh-CN"/>
              </w:rPr>
              <w:t>%的投标总价不参与评标基准价的计算，但仍参与投标报价得分计算。</w:t>
            </w:r>
          </w:p>
          <w:p w14:paraId="04FD7210">
            <w:pPr>
              <w:widowControl w:val="0"/>
              <w:bidi w:val="0"/>
              <w:jc w:val="both"/>
              <w:rPr>
                <w:rFonts w:hint="eastAsia"/>
                <w:lang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A</w:t>
            </w:r>
            <w:r>
              <w:rPr>
                <w:rFonts w:hint="eastAsia"/>
                <w:lang w:eastAsia="zh-CN"/>
              </w:rPr>
              <w:t>＝</w:t>
            </w:r>
            <w:r>
              <w:rPr>
                <w:rFonts w:hint="eastAsia"/>
              </w:rPr>
              <w:t>参与评标基准价计算的</w:t>
            </w:r>
            <w:r>
              <w:rPr>
                <w:rFonts w:hint="eastAsia"/>
                <w:lang w:eastAsia="zh-CN"/>
              </w:rPr>
              <w:t>投标总价的算术平均值。</w:t>
            </w:r>
          </w:p>
          <w:p w14:paraId="075C01E4">
            <w:pPr>
              <w:widowControl w:val="0"/>
              <w:bidi w:val="0"/>
              <w:jc w:val="both"/>
              <w:rPr>
                <w:rFonts w:hint="eastAsia"/>
                <w:lang w:eastAsia="zh-CN"/>
              </w:rPr>
            </w:pPr>
            <w:r>
              <w:rPr>
                <w:rFonts w:hint="eastAsia"/>
                <w:lang w:eastAsia="zh-CN"/>
              </w:rPr>
              <w:t>（</w:t>
            </w:r>
            <w:r>
              <w:rPr>
                <w:rFonts w:hint="eastAsia"/>
                <w:lang w:val="en-US" w:eastAsia="zh-CN"/>
              </w:rPr>
              <w:t>3</w:t>
            </w:r>
            <w:r>
              <w:rPr>
                <w:rFonts w:hint="eastAsia"/>
                <w:lang w:eastAsia="zh-CN"/>
              </w:rPr>
              <w:t>）参与评标基准价计算的投标总价中，如果低于（含等于）</w:t>
            </w:r>
            <w:r>
              <w:rPr>
                <w:rFonts w:hint="eastAsia"/>
                <w:lang w:val="en-US" w:eastAsia="zh-CN"/>
              </w:rPr>
              <w:t>A值者只有一个，该投标总价作为评标基准价D；如果不止一个，对低于（含等于）A值的投标总价再次求算术平均值B，该算术平均值B作为评标基准价D。</w:t>
            </w:r>
          </w:p>
          <w:p w14:paraId="0DC3BEB3">
            <w:pPr>
              <w:widowControl w:val="0"/>
              <w:bidi w:val="0"/>
              <w:jc w:val="both"/>
              <w:rPr>
                <w:rFonts w:hint="eastAsia"/>
                <w:lang w:val="en-US" w:eastAsia="zh-CN"/>
              </w:rPr>
            </w:pPr>
            <w:r>
              <w:rPr>
                <w:rFonts w:hint="eastAsia"/>
                <w:lang w:eastAsia="zh-CN"/>
              </w:rPr>
              <w:t>（</w:t>
            </w:r>
            <w:r>
              <w:rPr>
                <w:rFonts w:hint="eastAsia"/>
                <w:lang w:val="en-US" w:eastAsia="zh-CN"/>
              </w:rPr>
              <w:t>4</w:t>
            </w:r>
            <w:r>
              <w:rPr>
                <w:rFonts w:hint="eastAsia"/>
                <w:lang w:eastAsia="zh-CN"/>
              </w:rPr>
              <w:t>）若所有投标人的投标总价均小于最高投标限价的8</w:t>
            </w:r>
            <w:r>
              <w:rPr>
                <w:rFonts w:hint="eastAsia"/>
                <w:lang w:val="en-US" w:eastAsia="zh-CN"/>
              </w:rPr>
              <w:t>0</w:t>
            </w:r>
            <w:r>
              <w:rPr>
                <w:rFonts w:hint="eastAsia"/>
                <w:lang w:eastAsia="zh-CN"/>
              </w:rPr>
              <w:t>%，则以最高投标限价的8</w:t>
            </w:r>
            <w:r>
              <w:rPr>
                <w:rFonts w:hint="eastAsia"/>
                <w:lang w:val="en-US" w:eastAsia="zh-CN"/>
              </w:rPr>
              <w:t>0</w:t>
            </w:r>
            <w:r>
              <w:rPr>
                <w:rFonts w:hint="eastAsia"/>
                <w:lang w:eastAsia="zh-CN"/>
              </w:rPr>
              <w:t>%为评标基准价</w:t>
            </w:r>
            <w:r>
              <w:rPr>
                <w:rFonts w:hint="eastAsia"/>
                <w:lang w:val="en-US" w:eastAsia="zh-CN"/>
              </w:rPr>
              <w:t>D。</w:t>
            </w:r>
          </w:p>
          <w:p w14:paraId="5AE0A6C5">
            <w:pPr>
              <w:widowControl w:val="0"/>
              <w:bidi w:val="0"/>
              <w:jc w:val="both"/>
              <w:rPr>
                <w:rFonts w:hint="eastAsia"/>
                <w:lang w:val="en-US" w:eastAsia="zh-CN"/>
              </w:rPr>
            </w:pPr>
            <w:r>
              <w:rPr>
                <w:rFonts w:hint="eastAsia"/>
                <w:lang w:val="en-US" w:eastAsia="zh-CN"/>
              </w:rPr>
              <w:t xml:space="preserve"> </w:t>
            </w:r>
          </w:p>
          <w:p w14:paraId="4C932756">
            <w:pPr>
              <w:widowControl w:val="0"/>
              <w:bidi w:val="0"/>
              <w:jc w:val="both"/>
              <w:rPr>
                <w:rFonts w:hint="eastAsia"/>
              </w:rPr>
            </w:pPr>
            <w:r>
              <w:rPr>
                <w:rFonts w:hint="eastAsia"/>
              </w:rPr>
              <w:t>自选</w:t>
            </w:r>
            <w:r>
              <w:rPr>
                <w:rFonts w:hint="eastAsia"/>
                <w:lang w:eastAsia="zh-CN"/>
              </w:rPr>
              <w:t>三</w:t>
            </w:r>
            <w:r>
              <w:rPr>
                <w:rFonts w:hint="eastAsia"/>
              </w:rPr>
              <w:t>：</w:t>
            </w:r>
          </w:p>
          <w:p w14:paraId="6402DABC">
            <w:pPr>
              <w:widowControl w:val="0"/>
              <w:bidi w:val="0"/>
              <w:jc w:val="both"/>
              <w:rPr>
                <w:rFonts w:hint="eastAsia"/>
                <w:lang w:val="en-US" w:eastAsia="zh-CN"/>
              </w:rPr>
            </w:pPr>
            <w:r>
              <w:rPr>
                <w:rFonts w:hint="eastAsia"/>
                <w:lang w:eastAsia="zh-CN"/>
              </w:rPr>
              <w:t>（</w:t>
            </w:r>
            <w:r>
              <w:rPr>
                <w:rFonts w:hint="eastAsia"/>
                <w:lang w:val="en-US" w:eastAsia="zh-CN"/>
              </w:rPr>
              <w:t>1</w:t>
            </w:r>
            <w:r>
              <w:rPr>
                <w:rFonts w:hint="eastAsia"/>
                <w:lang w:eastAsia="zh-CN"/>
              </w:rPr>
              <w:t>）确定最高投标限价</w:t>
            </w:r>
            <w:r>
              <w:rPr>
                <w:rFonts w:hint="eastAsia"/>
                <w:lang w:val="en-US" w:eastAsia="zh-CN"/>
              </w:rPr>
              <w:t>下浮系数n：用1～21号球分别代表一个下浮系数，由评委代表从这21个号码中随机抽取 Y 次（Y值范围为2～3），抽出的号球不参与下次抽取，每次抽取1个号码，所抽取的Y个号码对应下浮系数的算术平均值作为最高投标限价下浮系数n。具体号码对应的下浮系数可参考下表。</w:t>
            </w:r>
          </w:p>
          <w:p w14:paraId="3A159AC2">
            <w:pPr>
              <w:widowControl w:val="0"/>
              <w:bidi w:val="0"/>
              <w:jc w:val="both"/>
              <w:rPr>
                <w:rFonts w:hint="eastAsia"/>
                <w:lang w:eastAsia="zh-CN"/>
              </w:rPr>
            </w:pPr>
          </w:p>
          <w:p w14:paraId="0B666C30">
            <w:pPr>
              <w:widowControl w:val="0"/>
              <w:bidi w:val="0"/>
              <w:jc w:val="both"/>
              <w:rPr>
                <w:rFonts w:hint="eastAsia"/>
                <w:lang w:val="en-US" w:eastAsia="zh-CN"/>
              </w:rPr>
            </w:pPr>
            <w:r>
              <w:rPr>
                <w:rFonts w:hint="eastAsia"/>
                <w:lang w:val="en-US" w:eastAsia="zh-CN"/>
              </w:rPr>
              <w:t>自定义计算：</w:t>
            </w:r>
          </w:p>
          <w:p w14:paraId="79C22B32">
            <w:pPr>
              <w:widowControl w:val="0"/>
              <w:bidi w:val="0"/>
              <w:jc w:val="both"/>
              <w:rPr>
                <w:rFonts w:hint="eastAsia"/>
                <w:lang w:eastAsia="zh-CN"/>
              </w:rPr>
            </w:pPr>
            <w:r>
              <w:rPr>
                <w:rFonts w:hint="eastAsia"/>
                <w:lang w:val="en-US" w:eastAsia="zh-CN"/>
              </w:rPr>
              <w:t>评标基准价由评委计算并录入</w:t>
            </w:r>
          </w:p>
          <w:p w14:paraId="220EE94C">
            <w:pPr>
              <w:widowControl w:val="0"/>
              <w:bidi w:val="0"/>
              <w:jc w:val="both"/>
              <w:rPr>
                <w:rFonts w:hint="eastAsia"/>
                <w:lang w:eastAsia="zh-CN"/>
              </w:rPr>
            </w:pPr>
          </w:p>
          <w:p w14:paraId="650E9E3C">
            <w:pPr>
              <w:widowControl w:val="0"/>
              <w:bidi w:val="0"/>
              <w:jc w:val="both"/>
              <w:rPr>
                <w:rFonts w:hint="default"/>
                <w:lang w:val="en-US" w:eastAsia="zh-CN"/>
              </w:rPr>
            </w:pPr>
            <w:r>
              <w:rPr>
                <w:rFonts w:hint="eastAsia"/>
                <w:lang w:val="en-US" w:eastAsia="zh-CN"/>
              </w:rPr>
              <w:t>自选一~自选三价格分计算：</w:t>
            </w:r>
          </w:p>
          <w:p w14:paraId="489A4FAF">
            <w:pPr>
              <w:widowControl w:val="0"/>
              <w:bidi w:val="0"/>
              <w:jc w:val="both"/>
              <w:rPr>
                <w:rFonts w:hint="eastAsia"/>
                <w:lang w:eastAsia="zh-CN"/>
              </w:rPr>
            </w:pPr>
            <w:r>
              <w:rPr>
                <w:rFonts w:hint="eastAsia"/>
                <w:lang w:eastAsia="zh-CN"/>
              </w:rPr>
              <w:t>采用内插法计算某投标人的投标报价得分</w:t>
            </w:r>
            <w:r>
              <w:rPr>
                <w:rFonts w:hint="eastAsia"/>
                <w:lang w:val="en-US" w:eastAsia="zh-CN"/>
              </w:rPr>
              <w:t>M3</w:t>
            </w:r>
            <w:r>
              <w:rPr>
                <w:rFonts w:hint="eastAsia"/>
                <w:lang w:eastAsia="zh-CN"/>
              </w:rPr>
              <w:t>，即当投标人的投标总价等于评标基准价时得满分，每高于评标基准价一个百分点扣</w:t>
            </w:r>
            <w:r>
              <w:rPr>
                <w:rFonts w:hint="eastAsia"/>
                <w:lang w:val="en-US" w:eastAsia="zh-CN"/>
              </w:rPr>
              <w:t>扣分因子（高于基准价）</w:t>
            </w:r>
            <w:r>
              <w:rPr>
                <w:rFonts w:hint="eastAsia"/>
                <w:lang w:eastAsia="zh-CN"/>
              </w:rPr>
              <w:t>分, 每低于评标基准价一个百分点扣</w:t>
            </w:r>
            <w:r>
              <w:rPr>
                <w:rFonts w:hint="eastAsia"/>
                <w:lang w:val="en-US" w:eastAsia="zh-CN"/>
              </w:rPr>
              <w:t>扣分因子（低于基准价）</w:t>
            </w:r>
            <w:r>
              <w:rPr>
                <w:rFonts w:hint="eastAsia"/>
                <w:lang w:eastAsia="zh-CN"/>
              </w:rPr>
              <w:t>分，扣完为止。公式如下：</w:t>
            </w:r>
          </w:p>
          <w:p w14:paraId="06569572">
            <w:pPr>
              <w:widowControl w:val="0"/>
              <w:bidi w:val="0"/>
              <w:jc w:val="both"/>
              <w:rPr>
                <w:rFonts w:hint="eastAsia"/>
                <w:lang w:eastAsia="zh-CN"/>
              </w:rPr>
            </w:pPr>
            <w:r>
              <w:rPr>
                <w:rFonts w:hint="eastAsia"/>
                <w:lang w:val="en-US" w:eastAsia="zh-CN"/>
              </w:rPr>
              <w:t>M3</w:t>
            </w:r>
            <w:r>
              <w:rPr>
                <w:rFonts w:hint="eastAsia"/>
                <w:lang w:eastAsia="zh-CN"/>
              </w:rPr>
              <w:t>＝投标报价满分－（|</w:t>
            </w:r>
            <w:r>
              <w:rPr>
                <w:rFonts w:hint="eastAsia"/>
                <w:lang w:val="en-US" w:eastAsia="zh-CN"/>
              </w:rPr>
              <w:t xml:space="preserve"> </w:t>
            </w:r>
            <w:r>
              <w:rPr>
                <w:rFonts w:hint="eastAsia"/>
                <w:lang w:eastAsia="zh-CN"/>
              </w:rPr>
              <w:t>Di－D</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÷D）×100×E</w:t>
            </w:r>
          </w:p>
          <w:p w14:paraId="700B6910">
            <w:pPr>
              <w:widowControl w:val="0"/>
              <w:bidi w:val="0"/>
              <w:jc w:val="both"/>
              <w:rPr>
                <w:rFonts w:hint="eastAsia"/>
                <w:lang w:val="en-US" w:eastAsia="zh-CN"/>
              </w:rPr>
            </w:pPr>
            <w:r>
              <w:rPr>
                <w:rFonts w:hint="eastAsia"/>
                <w:lang w:eastAsia="zh-CN"/>
              </w:rPr>
              <w:t>式中：D为评标基准价，Di为某投标人的投标总价；E为扣分因子。当Di＞D时，E＝</w:t>
            </w:r>
            <w:r>
              <w:rPr>
                <w:rFonts w:hint="eastAsia"/>
                <w:lang w:val="en-US" w:eastAsia="zh-CN"/>
              </w:rPr>
              <w:t>1</w:t>
            </w:r>
            <w:r>
              <w:rPr>
                <w:rFonts w:hint="eastAsia"/>
                <w:lang w:eastAsia="zh-CN"/>
              </w:rPr>
              <w:t>；当Di＜D时，E＝</w:t>
            </w:r>
            <w:r>
              <w:rPr>
                <w:rFonts w:hint="eastAsia"/>
                <w:lang w:val="en-US" w:eastAsia="zh-CN"/>
              </w:rPr>
              <w:t>0.5</w:t>
            </w:r>
            <w:r>
              <w:rPr>
                <w:rFonts w:hint="eastAsia"/>
                <w:lang w:eastAsia="zh-CN"/>
              </w:rPr>
              <w:t>。</w:t>
            </w:r>
            <w:r>
              <w:rPr>
                <w:rFonts w:hint="eastAsia"/>
                <w:lang w:val="en-US" w:eastAsia="zh-CN"/>
              </w:rPr>
              <w:t>E可配置</w:t>
            </w:r>
          </w:p>
          <w:p w14:paraId="2670B7EE">
            <w:pPr>
              <w:widowControl w:val="0"/>
              <w:bidi w:val="0"/>
              <w:jc w:val="both"/>
              <w:rPr>
                <w:rFonts w:hint="eastAsia"/>
                <w:lang w:val="en-US" w:eastAsia="zh-CN"/>
              </w:rPr>
            </w:pPr>
          </w:p>
          <w:p w14:paraId="3BF9C1FF">
            <w:pPr>
              <w:widowControl w:val="0"/>
              <w:bidi w:val="0"/>
              <w:jc w:val="both"/>
              <w:rPr>
                <w:rFonts w:hint="eastAsia"/>
                <w:lang w:val="en-US" w:eastAsia="zh-CN"/>
              </w:rPr>
            </w:pPr>
            <w:r>
              <w:rPr>
                <w:rFonts w:hint="eastAsia"/>
                <w:lang w:val="en-US" w:eastAsia="zh-CN"/>
              </w:rPr>
              <w:t>自定义计算的价格分计算：</w:t>
            </w:r>
          </w:p>
          <w:p w14:paraId="7F803846">
            <w:pPr>
              <w:widowControl w:val="0"/>
              <w:bidi w:val="0"/>
              <w:jc w:val="both"/>
              <w:rPr>
                <w:rFonts w:hint="default"/>
                <w:lang w:val="en-US" w:eastAsia="zh-CN"/>
              </w:rPr>
            </w:pPr>
            <w:r>
              <w:rPr>
                <w:rFonts w:hint="eastAsia"/>
                <w:lang w:val="en-US" w:eastAsia="zh-CN"/>
              </w:rPr>
              <w:t>根据代理配置的计算公式，自动进行系统试算</w:t>
            </w:r>
          </w:p>
        </w:tc>
      </w:tr>
    </w:tbl>
    <w:p w14:paraId="34491015">
      <w:pPr>
        <w:bidi w:val="0"/>
        <w:rPr>
          <w:rFonts w:hint="default"/>
          <w:lang w:val="en-US" w:eastAsia="zh-CN"/>
        </w:rPr>
      </w:pPr>
    </w:p>
    <w:p w14:paraId="02019A2C">
      <w:pPr>
        <w:bidi w:val="0"/>
        <w:rPr>
          <w:rFonts w:hint="default"/>
          <w:lang w:val="en-US" w:eastAsia="zh-CN"/>
        </w:rPr>
      </w:pPr>
    </w:p>
    <w:p w14:paraId="7C5E53F4">
      <w:pPr>
        <w:bidi w:val="0"/>
        <w:rPr>
          <w:rFonts w:hint="eastAsia"/>
          <w:lang w:val="en-US" w:eastAsia="zh-CN"/>
        </w:rPr>
      </w:pPr>
      <w:r>
        <w:rPr>
          <w:rFonts w:hint="eastAsia"/>
          <w:lang w:val="en-US" w:eastAsia="zh-CN"/>
        </w:rPr>
        <w:t>2、评分参数配置录入：</w:t>
      </w:r>
    </w:p>
    <w:p w14:paraId="124FF583">
      <w:pPr>
        <w:bidi w:val="0"/>
        <w:rPr>
          <w:rFonts w:hint="default"/>
          <w:lang w:val="en-US" w:eastAsia="zh-CN"/>
        </w:rPr>
      </w:pPr>
      <w:r>
        <w:drawing>
          <wp:inline distT="0" distB="0" distL="114300" distR="114300">
            <wp:extent cx="6642735" cy="1751965"/>
            <wp:effectExtent l="0" t="0" r="1905"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88"/>
                    <a:stretch>
                      <a:fillRect/>
                    </a:stretch>
                  </pic:blipFill>
                  <pic:spPr>
                    <a:xfrm>
                      <a:off x="0" y="0"/>
                      <a:ext cx="6642735" cy="1751965"/>
                    </a:xfrm>
                    <a:prstGeom prst="rect">
                      <a:avLst/>
                    </a:prstGeom>
                    <a:noFill/>
                    <a:ln>
                      <a:noFill/>
                    </a:ln>
                  </pic:spPr>
                </pic:pic>
              </a:graphicData>
            </a:graphic>
          </wp:inline>
        </w:drawing>
      </w:r>
    </w:p>
    <w:p w14:paraId="51940362">
      <w:pPr>
        <w:bidi w:val="0"/>
        <w:rPr>
          <w:rFonts w:hint="eastAsia"/>
          <w:lang w:val="en-US" w:eastAsia="zh-CN"/>
        </w:rPr>
      </w:pPr>
      <w:r>
        <w:rPr>
          <w:rFonts w:hint="eastAsia"/>
          <w:lang w:val="en-US" w:eastAsia="zh-CN"/>
        </w:rPr>
        <w:t>（1）评标办法：选择“综合评分法”；</w:t>
      </w:r>
    </w:p>
    <w:p w14:paraId="2165F68E">
      <w:pPr>
        <w:bidi w:val="0"/>
        <w:rPr>
          <w:rFonts w:hint="eastAsia"/>
          <w:lang w:val="en-US" w:eastAsia="zh-CN"/>
        </w:rPr>
      </w:pPr>
      <w:r>
        <w:rPr>
          <w:rFonts w:hint="eastAsia"/>
          <w:lang w:val="en-US" w:eastAsia="zh-CN"/>
        </w:rPr>
        <w:t>（2）是否限制评审数量：综合评分法选“否”；</w:t>
      </w:r>
    </w:p>
    <w:p w14:paraId="1F30A7FA">
      <w:pPr>
        <w:bidi w:val="0"/>
        <w:rPr>
          <w:rFonts w:hint="eastAsia"/>
          <w:lang w:val="en-US" w:eastAsia="zh-CN"/>
        </w:rPr>
      </w:pPr>
      <w:r>
        <w:rPr>
          <w:rFonts w:hint="eastAsia"/>
          <w:lang w:val="en-US" w:eastAsia="zh-CN"/>
        </w:rPr>
        <w:t>（3）技术分+商务分：两者相加100；</w:t>
      </w:r>
    </w:p>
    <w:p w14:paraId="4EF754B2">
      <w:pPr>
        <w:bidi w:val="0"/>
        <w:rPr>
          <w:rFonts w:hint="eastAsia"/>
          <w:lang w:val="en-US" w:eastAsia="zh-CN"/>
        </w:rPr>
      </w:pPr>
      <w:r>
        <w:rPr>
          <w:rFonts w:hint="eastAsia"/>
          <w:lang w:val="en-US" w:eastAsia="zh-CN"/>
        </w:rPr>
        <w:t>（4）价格分：一般是100；</w:t>
      </w:r>
    </w:p>
    <w:p w14:paraId="58EA38C0">
      <w:pPr>
        <w:bidi w:val="0"/>
        <w:rPr>
          <w:rFonts w:hint="eastAsia"/>
          <w:lang w:val="en-US" w:eastAsia="zh-CN"/>
        </w:rPr>
      </w:pPr>
      <w:r>
        <w:rPr>
          <w:rFonts w:hint="eastAsia"/>
          <w:lang w:val="en-US" w:eastAsia="zh-CN"/>
        </w:rPr>
        <w:t>（5）商务技术权重（%）：填写“技术分+商务分”的占比权重，数字；</w:t>
      </w:r>
    </w:p>
    <w:p w14:paraId="6680A345">
      <w:pPr>
        <w:bidi w:val="0"/>
        <w:rPr>
          <w:rFonts w:hint="default"/>
          <w:lang w:val="en-US" w:eastAsia="zh-CN"/>
        </w:rPr>
      </w:pPr>
      <w:r>
        <w:rPr>
          <w:rFonts w:hint="eastAsia"/>
          <w:lang w:val="en-US" w:eastAsia="zh-CN"/>
        </w:rPr>
        <w:t>（6）价格权重（%）：填写“价格分”的占比权重，数字；</w:t>
      </w:r>
    </w:p>
    <w:p w14:paraId="394EFEA2">
      <w:pPr>
        <w:bidi w:val="0"/>
        <w:rPr>
          <w:rFonts w:hint="default"/>
          <w:lang w:val="en-US" w:eastAsia="zh-CN"/>
        </w:rPr>
      </w:pPr>
      <w:r>
        <w:rPr>
          <w:rFonts w:hint="eastAsia"/>
          <w:lang w:val="en-US" w:eastAsia="zh-CN"/>
        </w:rPr>
        <w:t>（7）基准价计算方式：“自选一”到“自选四”表示的计算方式，参考上表。如果选择“自定义计算”，表示对价格分进行自定义计算，基准价由评委录入。</w:t>
      </w:r>
    </w:p>
    <w:p w14:paraId="657C6A1F">
      <w:pPr>
        <w:bidi w:val="0"/>
        <w:rPr>
          <w:rFonts w:hint="default"/>
          <w:lang w:val="en-US" w:eastAsia="zh-CN"/>
        </w:rPr>
      </w:pPr>
      <w:r>
        <w:rPr>
          <w:rFonts w:hint="eastAsia"/>
          <w:lang w:val="en-US" w:eastAsia="zh-CN"/>
        </w:rPr>
        <w:t>（8）号球数：表示抽取招标控制价下浮系数时，使用多少个号球。其中第一个号球的值是“下浮系数低值”，最后一个号球的值是“下浮系数高值”，中间号球的值，是两者之间对应的平均值。（生成招文时会自动生成对应表）</w:t>
      </w:r>
    </w:p>
    <w:p w14:paraId="453EF9BA">
      <w:pPr>
        <w:bidi w:val="0"/>
        <w:rPr>
          <w:rFonts w:hint="eastAsia"/>
          <w:lang w:val="en-US" w:eastAsia="zh-CN"/>
        </w:rPr>
      </w:pPr>
      <w:r>
        <w:rPr>
          <w:rFonts w:hint="eastAsia"/>
          <w:lang w:val="en-US" w:eastAsia="zh-CN"/>
        </w:rPr>
        <w:t>（9）扣分因子（低于基准价）、扣分因子（高于基准价）：计算价格分时使用，参考上表；</w:t>
      </w:r>
    </w:p>
    <w:p w14:paraId="38AB38F1">
      <w:pPr>
        <w:bidi w:val="0"/>
        <w:rPr>
          <w:rFonts w:hint="default"/>
          <w:lang w:val="en-US" w:eastAsia="zh-CN"/>
        </w:rPr>
      </w:pPr>
      <w:r>
        <w:rPr>
          <w:rFonts w:hint="eastAsia"/>
          <w:lang w:val="en-US" w:eastAsia="zh-CN"/>
        </w:rPr>
        <w:t>（10）</w:t>
      </w:r>
      <w:r>
        <w:rPr>
          <w:rFonts w:hint="default"/>
          <w:lang w:val="en-US" w:eastAsia="zh-CN"/>
        </w:rPr>
        <w:t>价格分计算公式</w:t>
      </w:r>
      <w:r>
        <w:rPr>
          <w:rFonts w:hint="eastAsia"/>
          <w:lang w:val="en-US" w:eastAsia="zh-CN"/>
        </w:rPr>
        <w:t>：自行录入价格分计算公式。公式中用到的变量包括以下这些：</w:t>
      </w:r>
    </w:p>
    <w:p w14:paraId="0FFC121D">
      <w:pPr>
        <w:bidi w:val="0"/>
        <w:rPr>
          <w:rFonts w:hint="eastAsia"/>
          <w:lang w:val="en-US" w:eastAsia="zh-CN"/>
        </w:rPr>
      </w:pPr>
      <w:r>
        <w:rPr>
          <w:rFonts w:hint="eastAsia"/>
          <w:lang w:val="en-US" w:eastAsia="zh-CN"/>
        </w:rPr>
        <w:t>T：投标人报价/下浮率/费率</w:t>
      </w:r>
    </w:p>
    <w:p w14:paraId="1D4729C6">
      <w:pPr>
        <w:bidi w:val="0"/>
        <w:rPr>
          <w:rFonts w:hint="eastAsia"/>
          <w:lang w:val="en-US" w:eastAsia="zh-CN"/>
        </w:rPr>
      </w:pPr>
      <w:r>
        <w:rPr>
          <w:rFonts w:hint="eastAsia"/>
          <w:lang w:val="en-US" w:eastAsia="zh-CN"/>
        </w:rPr>
        <w:t>D：基准评标价格/基准下浮率/基准费率</w:t>
      </w:r>
    </w:p>
    <w:p w14:paraId="5CEB1FCD">
      <w:pPr>
        <w:bidi w:val="0"/>
        <w:rPr>
          <w:rFonts w:hint="eastAsia"/>
          <w:lang w:val="en-US" w:eastAsia="zh-CN"/>
        </w:rPr>
      </w:pPr>
      <w:r>
        <w:rPr>
          <w:rFonts w:hint="eastAsia"/>
          <w:lang w:val="en-US" w:eastAsia="zh-CN"/>
        </w:rPr>
        <w:t>E：扣分因子</w:t>
      </w:r>
    </w:p>
    <w:p w14:paraId="5B54A3CE">
      <w:pPr>
        <w:bidi w:val="0"/>
        <w:rPr>
          <w:rFonts w:hint="eastAsia"/>
          <w:lang w:val="en-US" w:eastAsia="zh-CN"/>
        </w:rPr>
      </w:pPr>
      <w:r>
        <w:rPr>
          <w:rFonts w:hint="eastAsia"/>
          <w:lang w:val="en-US" w:eastAsia="zh-CN"/>
        </w:rPr>
        <w:t>A：投标人报价平均值</w:t>
      </w:r>
    </w:p>
    <w:p w14:paraId="0F3DE3BD">
      <w:pPr>
        <w:bidi w:val="0"/>
        <w:rPr>
          <w:rFonts w:hint="eastAsia"/>
          <w:lang w:val="en-US" w:eastAsia="zh-CN"/>
        </w:rPr>
      </w:pPr>
      <w:r>
        <w:rPr>
          <w:rFonts w:hint="eastAsia"/>
          <w:lang w:val="en-US" w:eastAsia="zh-CN"/>
        </w:rPr>
        <w:t>A1,A2,A3,A4,A5：投标人报价去掉一个(五个)最高值一个(五个)最低值后的平均值</w:t>
      </w:r>
    </w:p>
    <w:p w14:paraId="5F145743">
      <w:pPr>
        <w:bidi w:val="0"/>
        <w:rPr>
          <w:rFonts w:hint="eastAsia"/>
          <w:lang w:val="en-US" w:eastAsia="zh-CN"/>
        </w:rPr>
      </w:pPr>
      <w:r>
        <w:rPr>
          <w:rFonts w:hint="eastAsia"/>
          <w:lang w:val="en-US" w:eastAsia="zh-CN"/>
        </w:rPr>
        <w:t>N：进入评审的投标人数量</w:t>
      </w:r>
    </w:p>
    <w:p w14:paraId="7A8A0CAA">
      <w:pPr>
        <w:bidi w:val="0"/>
        <w:rPr>
          <w:rFonts w:hint="eastAsia"/>
          <w:lang w:val="en-US" w:eastAsia="zh-CN"/>
        </w:rPr>
      </w:pPr>
      <w:r>
        <w:rPr>
          <w:rFonts w:hint="eastAsia"/>
          <w:lang w:val="en-US" w:eastAsia="zh-CN"/>
        </w:rPr>
        <w:t>SumT：投标人报价总和</w:t>
      </w:r>
    </w:p>
    <w:p w14:paraId="52AC9885">
      <w:pPr>
        <w:bidi w:val="0"/>
        <w:rPr>
          <w:rFonts w:hint="eastAsia"/>
          <w:lang w:val="en-US" w:eastAsia="zh-CN"/>
        </w:rPr>
      </w:pPr>
      <w:r>
        <w:rPr>
          <w:rFonts w:hint="eastAsia"/>
          <w:lang w:val="en-US" w:eastAsia="zh-CN"/>
        </w:rPr>
        <w:t>MinT：最低投标人报价</w:t>
      </w:r>
    </w:p>
    <w:p w14:paraId="079CC83F">
      <w:pPr>
        <w:bidi w:val="0"/>
        <w:rPr>
          <w:rFonts w:hint="eastAsia"/>
          <w:lang w:val="en-US" w:eastAsia="zh-CN"/>
        </w:rPr>
      </w:pPr>
      <w:r>
        <w:rPr>
          <w:rFonts w:hint="eastAsia"/>
          <w:lang w:val="en-US" w:eastAsia="zh-CN"/>
        </w:rPr>
        <w:t>MaxT：最高投标人报价</w:t>
      </w:r>
    </w:p>
    <w:p w14:paraId="7A191006">
      <w:pPr>
        <w:bidi w:val="0"/>
        <w:rPr>
          <w:rFonts w:hint="eastAsia"/>
          <w:lang w:val="en-US" w:eastAsia="zh-CN"/>
        </w:rPr>
      </w:pPr>
      <w:r>
        <w:rPr>
          <w:rFonts w:hint="eastAsia"/>
          <w:lang w:val="en-US" w:eastAsia="zh-CN"/>
        </w:rPr>
        <w:t>公式中的可用函数包括：</w:t>
      </w:r>
    </w:p>
    <w:p w14:paraId="5F0EF81A">
      <w:pPr>
        <w:bidi w:val="0"/>
        <w:rPr>
          <w:rFonts w:hint="eastAsia"/>
          <w:lang w:val="en-US" w:eastAsia="zh-CN"/>
        </w:rPr>
      </w:pPr>
      <w:r>
        <w:rPr>
          <w:rFonts w:hint="eastAsia"/>
          <w:lang w:val="en-US" w:eastAsia="zh-CN"/>
        </w:rPr>
        <w:t>abs：绝对值，例如投标报价与基准价差额绝对值，abs(T-D)</w:t>
      </w:r>
    </w:p>
    <w:p w14:paraId="45A32E75">
      <w:pPr>
        <w:bidi w:val="0"/>
        <w:rPr>
          <w:rFonts w:hint="eastAsia"/>
          <w:lang w:val="en-US" w:eastAsia="zh-CN"/>
        </w:rPr>
      </w:pPr>
      <w:r>
        <w:rPr>
          <w:rFonts w:hint="eastAsia"/>
          <w:lang w:val="en-US" w:eastAsia="zh-CN"/>
        </w:rPr>
        <w:t>sqrt：开平方根，例如投标报价开平方根，sqrt(T)</w:t>
      </w:r>
    </w:p>
    <w:p w14:paraId="26DA50BA">
      <w:pPr>
        <w:bidi w:val="0"/>
        <w:rPr>
          <w:rFonts w:hint="eastAsia"/>
          <w:lang w:val="en-US" w:eastAsia="zh-CN"/>
        </w:rPr>
      </w:pPr>
      <w:r>
        <w:rPr>
          <w:rFonts w:hint="eastAsia"/>
          <w:lang w:val="en-US" w:eastAsia="zh-CN"/>
        </w:rPr>
        <w:t>pow：乘方，例如投标报价平方，pow(T,2)</w:t>
      </w:r>
    </w:p>
    <w:p w14:paraId="41C0CB83">
      <w:pPr>
        <w:bidi w:val="0"/>
        <w:rPr>
          <w:rFonts w:hint="eastAsia"/>
          <w:lang w:val="en-US" w:eastAsia="zh-CN"/>
        </w:rPr>
      </w:pPr>
      <w:r>
        <w:rPr>
          <w:rFonts w:hint="eastAsia"/>
          <w:lang w:val="en-US" w:eastAsia="zh-CN"/>
        </w:rPr>
        <w:t>max：最大值，例如max(x1,x2,x3,...)</w:t>
      </w:r>
    </w:p>
    <w:p w14:paraId="6997F67C">
      <w:pPr>
        <w:bidi w:val="0"/>
        <w:rPr>
          <w:rFonts w:hint="eastAsia"/>
          <w:lang w:val="en-US" w:eastAsia="zh-CN"/>
        </w:rPr>
      </w:pPr>
      <w:r>
        <w:rPr>
          <w:rFonts w:hint="eastAsia"/>
          <w:lang w:val="en-US" w:eastAsia="zh-CN"/>
        </w:rPr>
        <w:t>min：最小值，例如min(x1,x2,x3,...)</w:t>
      </w:r>
    </w:p>
    <w:p w14:paraId="2C9A3D15">
      <w:pPr>
        <w:bidi w:val="0"/>
        <w:rPr>
          <w:rFonts w:hint="eastAsia"/>
          <w:lang w:val="en-US" w:eastAsia="zh-CN"/>
        </w:rPr>
      </w:pPr>
      <w:r>
        <w:rPr>
          <w:rFonts w:hint="eastAsia"/>
          <w:lang w:val="en-US" w:eastAsia="zh-CN"/>
        </w:rPr>
        <w:t>sum：求和，例如sum(x,y,...)</w:t>
      </w:r>
    </w:p>
    <w:p w14:paraId="3908199D">
      <w:pPr>
        <w:bidi w:val="0"/>
        <w:rPr>
          <w:rFonts w:hint="default"/>
          <w:lang w:val="en-US" w:eastAsia="zh-CN"/>
        </w:rPr>
      </w:pPr>
      <w:r>
        <w:rPr>
          <w:rFonts w:hint="eastAsia"/>
          <w:lang w:val="en-US" w:eastAsia="zh-CN"/>
        </w:rPr>
        <w:t>avg：平均值，例如avg(x1,x2,x3,...)</w:t>
      </w:r>
    </w:p>
    <w:p w14:paraId="56621D95">
      <w:pPr>
        <w:bidi w:val="0"/>
        <w:rPr>
          <w:rFonts w:hint="eastAsia"/>
          <w:lang w:val="en-US" w:eastAsia="zh-CN"/>
        </w:rPr>
      </w:pPr>
      <w:r>
        <w:rPr>
          <w:rFonts w:hint="eastAsia"/>
          <w:lang w:val="en-US" w:eastAsia="zh-CN"/>
        </w:rPr>
        <w:t>3、技术、商务评分项录入：</w:t>
      </w:r>
    </w:p>
    <w:p w14:paraId="200190FB">
      <w:pPr>
        <w:bidi w:val="0"/>
      </w:pPr>
      <w:r>
        <w:drawing>
          <wp:inline distT="0" distB="0" distL="114300" distR="114300">
            <wp:extent cx="6644005" cy="3146425"/>
            <wp:effectExtent l="0" t="0" r="635"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89"/>
                    <a:stretch>
                      <a:fillRect/>
                    </a:stretch>
                  </pic:blipFill>
                  <pic:spPr>
                    <a:xfrm>
                      <a:off x="0" y="0"/>
                      <a:ext cx="6644005" cy="3146425"/>
                    </a:xfrm>
                    <a:prstGeom prst="rect">
                      <a:avLst/>
                    </a:prstGeom>
                    <a:noFill/>
                    <a:ln>
                      <a:noFill/>
                    </a:ln>
                  </pic:spPr>
                </pic:pic>
              </a:graphicData>
            </a:graphic>
          </wp:inline>
        </w:drawing>
      </w:r>
    </w:p>
    <w:p w14:paraId="6F6C5DF5">
      <w:pPr>
        <w:bidi w:val="0"/>
      </w:pPr>
    </w:p>
    <w:p w14:paraId="7E9874C7">
      <w:pPr>
        <w:bidi w:val="0"/>
        <w:rPr>
          <w:rFonts w:hint="default"/>
          <w:lang w:val="en-US" w:eastAsia="zh-CN"/>
        </w:rPr>
      </w:pPr>
      <w:r>
        <w:rPr>
          <w:rFonts w:hint="eastAsia"/>
          <w:lang w:val="en-US" w:eastAsia="zh-CN"/>
        </w:rPr>
        <w:t>注意“可选分值”的录入：如果是供评委选择的分值，这里一定要录入。</w:t>
      </w:r>
    </w:p>
    <w:p w14:paraId="7CAAD0E8">
      <w:pPr>
        <w:bidi w:val="0"/>
        <w:rPr>
          <w:rFonts w:hint="default"/>
          <w:lang w:val="en-US" w:eastAsia="zh-CN"/>
        </w:rPr>
      </w:pPr>
    </w:p>
    <w:p w14:paraId="71565CB2">
      <w:pPr>
        <w:bidi w:val="0"/>
        <w:rPr>
          <w:rFonts w:hint="eastAsia"/>
          <w:lang w:val="en-US" w:eastAsia="zh-CN"/>
        </w:rPr>
      </w:pPr>
      <w:r>
        <w:rPr>
          <w:rFonts w:hint="eastAsia"/>
          <w:lang w:val="en-US" w:eastAsia="zh-CN"/>
        </w:rPr>
        <w:t>（二）A+B值评分法</w:t>
      </w:r>
    </w:p>
    <w:p w14:paraId="063026FD">
      <w:pPr>
        <w:bidi w:val="0"/>
        <w:rPr>
          <w:rFonts w:hint="eastAsia"/>
          <w:lang w:val="en-US" w:eastAsia="zh-CN"/>
        </w:rPr>
      </w:pPr>
      <w:r>
        <w:rPr>
          <w:rFonts w:hint="eastAsia"/>
          <w:lang w:val="en-US" w:eastAsia="zh-CN"/>
        </w:rPr>
        <w:t>1、评分计算方法：</w:t>
      </w:r>
    </w:p>
    <w:p w14:paraId="6C7B490F">
      <w:pPr>
        <w:bidi w:val="0"/>
        <w:rPr>
          <w:rFonts w:hint="default"/>
          <w:lang w:val="en-US" w:eastAsia="zh-CN"/>
        </w:rPr>
      </w:pPr>
      <w:r>
        <w:rPr>
          <w:rFonts w:hint="eastAsia"/>
          <w:lang w:val="en-US" w:eastAsia="zh-CN"/>
        </w:rPr>
        <w:t>评分计算方法如下表所示：</w:t>
      </w:r>
    </w:p>
    <w:p w14:paraId="3A885941">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3"/>
        <w:gridCol w:w="1115"/>
        <w:gridCol w:w="1066"/>
        <w:gridCol w:w="4648"/>
      </w:tblGrid>
      <w:tr w14:paraId="6B2F6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EC586BB">
            <w:pPr>
              <w:widowControl w:val="0"/>
              <w:bidi w:val="0"/>
              <w:jc w:val="both"/>
              <w:rPr>
                <w:rFonts w:hint="default"/>
                <w:lang w:val="en-US" w:eastAsia="zh-CN"/>
              </w:rPr>
            </w:pPr>
            <w:r>
              <w:rPr>
                <w:rFonts w:hint="eastAsia"/>
                <w:lang w:val="en-US" w:eastAsia="zh-CN"/>
              </w:rPr>
              <w:t>价格分计算参数</w:t>
            </w:r>
          </w:p>
        </w:tc>
        <w:tc>
          <w:tcPr>
            <w:tcW w:w="1342" w:type="dxa"/>
          </w:tcPr>
          <w:p w14:paraId="22DC295A">
            <w:pPr>
              <w:widowControl w:val="0"/>
              <w:bidi w:val="0"/>
              <w:jc w:val="both"/>
              <w:rPr>
                <w:rFonts w:hint="default"/>
                <w:lang w:val="en-US" w:eastAsia="zh-CN"/>
              </w:rPr>
            </w:pPr>
            <w:r>
              <w:rPr>
                <w:rFonts w:hint="eastAsia"/>
                <w:lang w:val="en-US" w:eastAsia="zh-CN"/>
              </w:rPr>
              <w:t>技术分</w:t>
            </w:r>
          </w:p>
        </w:tc>
        <w:tc>
          <w:tcPr>
            <w:tcW w:w="1276" w:type="dxa"/>
          </w:tcPr>
          <w:p w14:paraId="559192A5">
            <w:pPr>
              <w:widowControl w:val="0"/>
              <w:bidi w:val="0"/>
              <w:jc w:val="both"/>
              <w:rPr>
                <w:rFonts w:hint="default"/>
                <w:lang w:val="en-US" w:eastAsia="zh-CN"/>
              </w:rPr>
            </w:pPr>
            <w:r>
              <w:rPr>
                <w:rFonts w:hint="eastAsia"/>
                <w:lang w:val="en-US" w:eastAsia="zh-CN"/>
              </w:rPr>
              <w:t>商务分</w:t>
            </w:r>
          </w:p>
        </w:tc>
        <w:tc>
          <w:tcPr>
            <w:tcW w:w="5847" w:type="dxa"/>
          </w:tcPr>
          <w:p w14:paraId="0785030B">
            <w:pPr>
              <w:widowControl w:val="0"/>
              <w:bidi w:val="0"/>
              <w:jc w:val="both"/>
              <w:rPr>
                <w:rFonts w:hint="default"/>
                <w:lang w:val="en-US" w:eastAsia="zh-CN"/>
              </w:rPr>
            </w:pPr>
            <w:r>
              <w:rPr>
                <w:rFonts w:hint="eastAsia"/>
                <w:lang w:val="en-US" w:eastAsia="zh-CN"/>
              </w:rPr>
              <w:t>价格分</w:t>
            </w:r>
          </w:p>
        </w:tc>
      </w:tr>
      <w:tr w14:paraId="48EF7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1904BEB">
            <w:pPr>
              <w:widowControl w:val="0"/>
              <w:bidi w:val="0"/>
              <w:jc w:val="both"/>
              <w:rPr>
                <w:rFonts w:hint="default"/>
                <w:lang w:val="en-US" w:eastAsia="zh-CN"/>
              </w:rPr>
            </w:pPr>
            <w:r>
              <w:rPr>
                <w:rFonts w:hint="eastAsia"/>
                <w:lang w:val="en-US" w:eastAsia="zh-CN"/>
              </w:rPr>
              <w:t>抽取招标控制价下浮系数n</w:t>
            </w:r>
          </w:p>
        </w:tc>
        <w:tc>
          <w:tcPr>
            <w:tcW w:w="1342" w:type="dxa"/>
          </w:tcPr>
          <w:p w14:paraId="112C7524">
            <w:pPr>
              <w:widowControl w:val="0"/>
              <w:bidi w:val="0"/>
              <w:jc w:val="both"/>
              <w:rPr>
                <w:rFonts w:hint="default"/>
                <w:lang w:val="en-US" w:eastAsia="zh-CN"/>
              </w:rPr>
            </w:pPr>
            <w:r>
              <w:rPr>
                <w:rFonts w:hint="eastAsia"/>
                <w:lang w:val="en-US" w:eastAsia="zh-CN"/>
              </w:rPr>
              <w:t>无</w:t>
            </w:r>
          </w:p>
        </w:tc>
        <w:tc>
          <w:tcPr>
            <w:tcW w:w="1276" w:type="dxa"/>
          </w:tcPr>
          <w:p w14:paraId="2F9584F5">
            <w:pPr>
              <w:widowControl w:val="0"/>
              <w:bidi w:val="0"/>
              <w:jc w:val="both"/>
              <w:rPr>
                <w:rFonts w:hint="default"/>
                <w:lang w:val="en-US" w:eastAsia="zh-CN"/>
              </w:rPr>
            </w:pPr>
            <w:r>
              <w:rPr>
                <w:rFonts w:hint="eastAsia"/>
                <w:lang w:val="en-US" w:eastAsia="zh-CN"/>
              </w:rPr>
              <w:t>无</w:t>
            </w:r>
          </w:p>
        </w:tc>
        <w:tc>
          <w:tcPr>
            <w:tcW w:w="5847" w:type="dxa"/>
          </w:tcPr>
          <w:p w14:paraId="0897198B">
            <w:pPr>
              <w:widowControl w:val="0"/>
              <w:bidi w:val="0"/>
              <w:jc w:val="both"/>
              <w:rPr>
                <w:rFonts w:hint="eastAsia"/>
                <w:lang w:val="en-US" w:eastAsia="zh-CN"/>
              </w:rPr>
            </w:pPr>
            <w:r>
              <w:rPr>
                <w:rFonts w:hint="eastAsia"/>
                <w:lang w:val="en-US" w:eastAsia="zh-CN"/>
              </w:rPr>
              <w:t>A＝招标控制价×（1－n%）</w:t>
            </w:r>
          </w:p>
          <w:p w14:paraId="28D88EAF">
            <w:pPr>
              <w:widowControl w:val="0"/>
              <w:bidi w:val="0"/>
              <w:jc w:val="both"/>
              <w:rPr>
                <w:rFonts w:hint="default"/>
                <w:lang w:val="en-US" w:eastAsia="zh-CN"/>
              </w:rPr>
            </w:pPr>
            <w:r>
              <w:rPr>
                <w:rFonts w:hint="default"/>
                <w:lang w:val="en-US" w:eastAsia="zh-CN"/>
              </w:rPr>
              <w:t>B＝将全部投标价去掉一个最高报价和一个最低报价后的算术平均值（投标价的数量不足5个时，B＝全部投标总价的算术平均值）</w:t>
            </w:r>
          </w:p>
          <w:p w14:paraId="05D88171">
            <w:pPr>
              <w:widowControl w:val="0"/>
              <w:bidi w:val="0"/>
              <w:jc w:val="both"/>
              <w:rPr>
                <w:rFonts w:hint="default"/>
                <w:lang w:val="en-US" w:eastAsia="zh-CN"/>
              </w:rPr>
            </w:pPr>
            <w:r>
              <w:rPr>
                <w:rFonts w:hint="default"/>
                <w:lang w:val="en-US" w:eastAsia="zh-CN"/>
              </w:rPr>
              <w:t>评标基准价D＝（A＋B）÷2×0.98</w:t>
            </w:r>
          </w:p>
          <w:p w14:paraId="3D54ACBA">
            <w:pPr>
              <w:widowControl w:val="0"/>
              <w:bidi w:val="0"/>
              <w:jc w:val="both"/>
              <w:rPr>
                <w:rFonts w:hint="default"/>
                <w:lang w:val="en-US" w:eastAsia="zh-CN"/>
              </w:rPr>
            </w:pPr>
            <w:r>
              <w:rPr>
                <w:rFonts w:hint="default"/>
                <w:lang w:val="en-US" w:eastAsia="zh-CN"/>
              </w:rPr>
              <w:t>取投标总价低于且接近评标基准价的三个投标人为中标候选人</w:t>
            </w:r>
          </w:p>
        </w:tc>
      </w:tr>
    </w:tbl>
    <w:p w14:paraId="1334A82C">
      <w:pPr>
        <w:bidi w:val="0"/>
        <w:rPr>
          <w:rFonts w:hint="eastAsia"/>
          <w:lang w:val="en-US" w:eastAsia="zh-CN"/>
        </w:rPr>
      </w:pPr>
    </w:p>
    <w:p w14:paraId="1AD4CDBC">
      <w:pPr>
        <w:bidi w:val="0"/>
        <w:rPr>
          <w:rFonts w:hint="eastAsia"/>
          <w:lang w:val="en-US" w:eastAsia="zh-CN"/>
        </w:rPr>
      </w:pPr>
      <w:r>
        <w:rPr>
          <w:rFonts w:hint="eastAsia"/>
          <w:lang w:val="en-US" w:eastAsia="zh-CN"/>
        </w:rPr>
        <w:t>2、评分参数配置录入：</w:t>
      </w:r>
    </w:p>
    <w:p w14:paraId="34B21F3C">
      <w:pPr>
        <w:bidi w:val="0"/>
      </w:pPr>
      <w:r>
        <w:drawing>
          <wp:inline distT="0" distB="0" distL="114300" distR="114300">
            <wp:extent cx="6634480" cy="1698625"/>
            <wp:effectExtent l="0" t="0" r="1016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90"/>
                    <a:stretch>
                      <a:fillRect/>
                    </a:stretch>
                  </pic:blipFill>
                  <pic:spPr>
                    <a:xfrm>
                      <a:off x="0" y="0"/>
                      <a:ext cx="6634480" cy="1698625"/>
                    </a:xfrm>
                    <a:prstGeom prst="rect">
                      <a:avLst/>
                    </a:prstGeom>
                    <a:noFill/>
                    <a:ln>
                      <a:noFill/>
                    </a:ln>
                  </pic:spPr>
                </pic:pic>
              </a:graphicData>
            </a:graphic>
          </wp:inline>
        </w:drawing>
      </w:r>
    </w:p>
    <w:p w14:paraId="791DD5DD">
      <w:pPr>
        <w:bidi w:val="0"/>
        <w:rPr>
          <w:rFonts w:hint="eastAsia"/>
          <w:lang w:val="en-US" w:eastAsia="zh-CN"/>
        </w:rPr>
      </w:pPr>
      <w:r>
        <w:rPr>
          <w:rFonts w:hint="eastAsia"/>
          <w:lang w:val="en-US" w:eastAsia="zh-CN"/>
        </w:rPr>
        <w:t>（1）评标办法：选择“A+B值评标法”；</w:t>
      </w:r>
    </w:p>
    <w:p w14:paraId="76B53673">
      <w:pPr>
        <w:bidi w:val="0"/>
        <w:rPr>
          <w:rFonts w:hint="default"/>
          <w:lang w:val="en-US" w:eastAsia="zh-CN"/>
        </w:rPr>
      </w:pPr>
      <w:r>
        <w:rPr>
          <w:rFonts w:hint="eastAsia"/>
          <w:lang w:val="en-US" w:eastAsia="zh-CN"/>
        </w:rPr>
        <w:t>（2）是否限制评审数量：需要选“是”，“进入评审数量”需要根据招标文件填写，例如13。意思是只允许多少家报价符合条件的进入评审。</w:t>
      </w:r>
    </w:p>
    <w:p w14:paraId="09A282BE">
      <w:pPr>
        <w:bidi w:val="0"/>
        <w:rPr>
          <w:rFonts w:hint="eastAsia"/>
          <w:lang w:val="en-US" w:eastAsia="zh-CN"/>
        </w:rPr>
      </w:pPr>
      <w:r>
        <w:rPr>
          <w:rFonts w:hint="eastAsia"/>
          <w:lang w:val="en-US" w:eastAsia="zh-CN"/>
        </w:rPr>
        <w:t>（3）商务技术权重（%）：填写“0”；</w:t>
      </w:r>
    </w:p>
    <w:p w14:paraId="50D569E7">
      <w:pPr>
        <w:bidi w:val="0"/>
        <w:rPr>
          <w:rFonts w:hint="default"/>
          <w:lang w:val="en-US" w:eastAsia="zh-CN"/>
        </w:rPr>
      </w:pPr>
      <w:r>
        <w:rPr>
          <w:rFonts w:hint="eastAsia"/>
          <w:lang w:val="en-US" w:eastAsia="zh-CN"/>
        </w:rPr>
        <w:t>（4）价格权重（%）：填写“100”；</w:t>
      </w:r>
    </w:p>
    <w:p w14:paraId="31BFFBA5">
      <w:pPr>
        <w:bidi w:val="0"/>
        <w:rPr>
          <w:rFonts w:hint="default"/>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3EB5AC3E">
      <w:pPr>
        <w:bidi w:val="0"/>
        <w:rPr>
          <w:rFonts w:hint="eastAsia"/>
          <w:lang w:val="en-US" w:eastAsia="zh-CN"/>
        </w:rPr>
      </w:pPr>
    </w:p>
    <w:p w14:paraId="6AC8822A">
      <w:pPr>
        <w:bidi w:val="0"/>
        <w:rPr>
          <w:rFonts w:hint="default"/>
          <w:lang w:val="en-US" w:eastAsia="zh-CN"/>
        </w:rPr>
      </w:pPr>
      <w:r>
        <w:rPr>
          <w:rFonts w:hint="eastAsia"/>
          <w:lang w:val="en-US" w:eastAsia="zh-CN"/>
        </w:rPr>
        <w:t>3、投标人入围评审的筛选方法</w:t>
      </w:r>
    </w:p>
    <w:p w14:paraId="684DD14E">
      <w:pPr>
        <w:bidi w:val="0"/>
        <w:rPr>
          <w:rFonts w:hint="eastAsia"/>
          <w:lang w:val="en-US" w:eastAsia="zh-CN"/>
        </w:rPr>
      </w:pPr>
      <w:r>
        <w:rPr>
          <w:rFonts w:hint="eastAsia"/>
          <w:lang w:val="en-US" w:eastAsia="zh-CN"/>
        </w:rPr>
        <w:t>1、入围家数一般为13家【可配置】，如果在评标过程中少于3家，需要从替补企业中选择企业继续评审；</w:t>
      </w:r>
    </w:p>
    <w:p w14:paraId="1ACD87BA">
      <w:pPr>
        <w:bidi w:val="0"/>
        <w:rPr>
          <w:rFonts w:hint="eastAsia"/>
          <w:lang w:val="en-US" w:eastAsia="zh-CN"/>
        </w:rPr>
      </w:pPr>
      <w:r>
        <w:rPr>
          <w:rFonts w:hint="eastAsia"/>
          <w:lang w:val="en-US" w:eastAsia="zh-CN"/>
        </w:rPr>
        <w:t>2、入围方法：</w:t>
      </w:r>
    </w:p>
    <w:p w14:paraId="7C66A56B">
      <w:pPr>
        <w:bidi w:val="0"/>
        <w:rPr>
          <w:rFonts w:hint="eastAsia"/>
          <w:lang w:val="en-US" w:eastAsia="zh-CN"/>
        </w:rPr>
      </w:pPr>
      <w:r>
        <w:rPr>
          <w:rFonts w:hint="eastAsia"/>
          <w:lang w:val="en-US" w:eastAsia="zh-CN"/>
        </w:rPr>
        <w:t>（1）确定招标控制价下浮系数n：用 1～【号球数】 号球分别代表一个下浮系数（取值范围为 【下浮系数低值】%～【下浮系数高值】% ），由评标委员会负责人随机抽取，抽出号球对应的系数作为招标控制价下浮系数n。</w:t>
      </w:r>
    </w:p>
    <w:p w14:paraId="3F972525">
      <w:pPr>
        <w:bidi w:val="0"/>
        <w:rPr>
          <w:rFonts w:hint="eastAsia"/>
          <w:lang w:val="en-US" w:eastAsia="zh-CN"/>
        </w:rPr>
      </w:pPr>
      <w:r>
        <w:rPr>
          <w:rFonts w:hint="eastAsia"/>
          <w:lang w:val="en-US" w:eastAsia="zh-CN"/>
        </w:rPr>
        <w:t>【号球数】、【下浮系数低值】、【下浮系数高值】都是配置的。</w:t>
      </w:r>
    </w:p>
    <w:p w14:paraId="5982D65C">
      <w:pPr>
        <w:bidi w:val="0"/>
        <w:rPr>
          <w:rFonts w:hint="eastAsia"/>
          <w:lang w:val="en-US" w:eastAsia="zh-CN"/>
        </w:rPr>
      </w:pPr>
      <w:r>
        <w:rPr>
          <w:rFonts w:hint="eastAsia"/>
          <w:lang w:val="en-US" w:eastAsia="zh-CN"/>
        </w:rPr>
        <w:t>（2）入围基准价C＝招标控制价×（1－n）。</w:t>
      </w:r>
    </w:p>
    <w:p w14:paraId="2DEAC76A">
      <w:pPr>
        <w:bidi w:val="0"/>
        <w:rPr>
          <w:rFonts w:hint="eastAsia"/>
          <w:lang w:val="en-US" w:eastAsia="zh-CN"/>
        </w:rPr>
      </w:pPr>
      <w:r>
        <w:rPr>
          <w:rFonts w:hint="eastAsia"/>
          <w:lang w:val="en-US" w:eastAsia="zh-CN"/>
        </w:rPr>
        <w:t>（3）确定投标总价与入围基准价的偏差值F。公式为：</w:t>
      </w:r>
    </w:p>
    <w:p w14:paraId="277885C1">
      <w:pPr>
        <w:bidi w:val="0"/>
        <w:rPr>
          <w:rFonts w:hint="eastAsia"/>
          <w:lang w:eastAsia="zh-CN"/>
        </w:rPr>
      </w:pPr>
      <w:r>
        <w:rPr>
          <w:rFonts w:hint="eastAsia"/>
          <w:lang w:val="en-US" w:eastAsia="zh-CN"/>
        </w:rPr>
        <w:t>F</w:t>
      </w:r>
      <w:r>
        <w:rPr>
          <w:rFonts w:hint="eastAsia"/>
          <w:lang w:eastAsia="zh-CN"/>
        </w:rPr>
        <w:t>i</w:t>
      </w:r>
      <w:r>
        <w:rPr>
          <w:rFonts w:hint="eastAsia"/>
          <w:lang w:val="en-US" w:eastAsia="zh-CN"/>
        </w:rPr>
        <w:t>＝| C</w:t>
      </w:r>
      <w:r>
        <w:rPr>
          <w:rFonts w:hint="eastAsia"/>
          <w:lang w:eastAsia="zh-CN"/>
        </w:rPr>
        <w:t>i</w:t>
      </w:r>
      <w:r>
        <w:rPr>
          <w:rFonts w:hint="eastAsia"/>
          <w:lang w:val="en-US" w:eastAsia="zh-CN"/>
        </w:rPr>
        <w:t xml:space="preserve">－C </w:t>
      </w:r>
      <w:r>
        <w:rPr>
          <w:rFonts w:hint="eastAsia"/>
          <w:lang w:eastAsia="zh-CN"/>
        </w:rPr>
        <w:t>|</w:t>
      </w:r>
    </w:p>
    <w:p w14:paraId="6FC02F09">
      <w:pPr>
        <w:bidi w:val="0"/>
        <w:rPr>
          <w:rFonts w:hint="eastAsia"/>
          <w:lang w:val="en-US" w:eastAsia="zh-CN"/>
        </w:rPr>
      </w:pPr>
      <w:r>
        <w:rPr>
          <w:rFonts w:hint="eastAsia"/>
          <w:lang w:val="en-US" w:eastAsia="zh-CN"/>
        </w:rPr>
        <w:t>式中：F</w:t>
      </w:r>
      <w:r>
        <w:rPr>
          <w:rFonts w:hint="eastAsia"/>
          <w:lang w:eastAsia="zh-CN"/>
        </w:rPr>
        <w:t>i为第</w:t>
      </w:r>
      <w:r>
        <w:rPr>
          <w:rFonts w:hint="eastAsia"/>
          <w:lang w:val="en-US" w:eastAsia="zh-CN"/>
        </w:rPr>
        <w:t>i个投标人的投标总价与入围基准价的偏差值，C为入围基准价，Ci为某投标人的投标总价。</w:t>
      </w:r>
    </w:p>
    <w:p w14:paraId="7F024391">
      <w:pPr>
        <w:bidi w:val="0"/>
        <w:rPr>
          <w:rFonts w:hint="eastAsia"/>
          <w:lang w:val="en-US" w:eastAsia="zh-CN"/>
        </w:rPr>
      </w:pPr>
      <w:r>
        <w:rPr>
          <w:rFonts w:hint="eastAsia"/>
          <w:lang w:val="en-US" w:eastAsia="zh-CN"/>
        </w:rPr>
        <w:t>注：入围基准价、偏差值的中间过程计算值和最终值，均按“四舍五入”原则精确到两位小数。</w:t>
      </w:r>
    </w:p>
    <w:p w14:paraId="06E0B2BB">
      <w:pPr>
        <w:bidi w:val="0"/>
        <w:rPr>
          <w:rFonts w:hint="eastAsia"/>
          <w:lang w:val="en-US" w:eastAsia="zh-CN"/>
        </w:rPr>
      </w:pPr>
      <w:r>
        <w:rPr>
          <w:rFonts w:hint="eastAsia"/>
          <w:lang w:val="en-US" w:eastAsia="zh-CN"/>
        </w:rPr>
        <w:t>（4）将Fi按照从小到大的顺序排列，取顺序靠前的13个投标人入围评审。若在确定第13个投标人时出现2个或2个以上相同偏差值的，相同偏差值的投标人均入围评审。</w:t>
      </w:r>
    </w:p>
    <w:p w14:paraId="63834875">
      <w:pPr>
        <w:bidi w:val="0"/>
        <w:rPr>
          <w:rFonts w:hint="eastAsia"/>
          <w:lang w:val="en-US" w:eastAsia="zh-CN"/>
        </w:rPr>
      </w:pPr>
      <w:r>
        <w:rPr>
          <w:rFonts w:hint="eastAsia"/>
          <w:lang w:val="en-US" w:eastAsia="zh-CN"/>
        </w:rPr>
        <w:t>（三）</w:t>
      </w:r>
      <w:r>
        <w:rPr>
          <w:rFonts w:hint="default"/>
          <w:lang w:val="en-US" w:eastAsia="zh-CN"/>
        </w:rPr>
        <w:t>经评审的最低投标价法</w:t>
      </w:r>
    </w:p>
    <w:p w14:paraId="216AB983">
      <w:pPr>
        <w:bidi w:val="0"/>
        <w:rPr>
          <w:rFonts w:hint="eastAsia"/>
          <w:lang w:val="en-US" w:eastAsia="zh-CN"/>
        </w:rPr>
      </w:pPr>
      <w:r>
        <w:rPr>
          <w:rFonts w:hint="eastAsia"/>
          <w:lang w:val="en-US" w:eastAsia="zh-CN"/>
        </w:rPr>
        <w:t>1、评分计算方法：</w:t>
      </w:r>
    </w:p>
    <w:p w14:paraId="70D71D2E">
      <w:pPr>
        <w:bidi w:val="0"/>
        <w:rPr>
          <w:rFonts w:hint="eastAsia"/>
          <w:lang w:val="en-US" w:eastAsia="zh-CN"/>
        </w:rPr>
      </w:pPr>
    </w:p>
    <w:p w14:paraId="62D56E32">
      <w:pPr>
        <w:bidi w:val="0"/>
        <w:rPr>
          <w:rFonts w:hint="default"/>
          <w:lang w:val="en-US" w:eastAsia="zh-CN"/>
        </w:rPr>
      </w:pPr>
      <w:r>
        <w:rPr>
          <w:rFonts w:hint="eastAsia"/>
          <w:lang w:val="en-US" w:eastAsia="zh-CN"/>
        </w:rPr>
        <w:t>评分计算方法如下表所示：</w:t>
      </w:r>
    </w:p>
    <w:p w14:paraId="612BC15D">
      <w:pPr>
        <w:bidi w:val="0"/>
        <w:rPr>
          <w:rFonts w:hint="eastAsia"/>
          <w:lang w:val="en-US" w:eastAsia="zh-CN"/>
        </w:rPr>
      </w:pPr>
    </w:p>
    <w:p w14:paraId="7DBF2FAE">
      <w:pPr>
        <w:bidi w:val="0"/>
        <w:rPr>
          <w:rFonts w:hint="eastAsia"/>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1131"/>
        <w:gridCol w:w="1081"/>
        <w:gridCol w:w="4588"/>
      </w:tblGrid>
      <w:tr w14:paraId="6BD1CE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34E6D010">
            <w:pPr>
              <w:widowControl w:val="0"/>
              <w:bidi w:val="0"/>
              <w:jc w:val="both"/>
              <w:rPr>
                <w:rFonts w:hint="default"/>
                <w:lang w:val="en-US" w:eastAsia="zh-CN"/>
              </w:rPr>
            </w:pPr>
            <w:r>
              <w:rPr>
                <w:rFonts w:hint="eastAsia"/>
                <w:lang w:val="en-US" w:eastAsia="zh-CN"/>
              </w:rPr>
              <w:t>价格分计算参数</w:t>
            </w:r>
          </w:p>
        </w:tc>
        <w:tc>
          <w:tcPr>
            <w:tcW w:w="1342" w:type="dxa"/>
          </w:tcPr>
          <w:p w14:paraId="68798C67">
            <w:pPr>
              <w:widowControl w:val="0"/>
              <w:bidi w:val="0"/>
              <w:jc w:val="both"/>
              <w:rPr>
                <w:rFonts w:hint="default"/>
                <w:lang w:val="en-US" w:eastAsia="zh-CN"/>
              </w:rPr>
            </w:pPr>
            <w:r>
              <w:rPr>
                <w:rFonts w:hint="eastAsia"/>
                <w:lang w:val="en-US" w:eastAsia="zh-CN"/>
              </w:rPr>
              <w:t>技术分</w:t>
            </w:r>
          </w:p>
        </w:tc>
        <w:tc>
          <w:tcPr>
            <w:tcW w:w="1276" w:type="dxa"/>
          </w:tcPr>
          <w:p w14:paraId="2E036B29">
            <w:pPr>
              <w:widowControl w:val="0"/>
              <w:bidi w:val="0"/>
              <w:jc w:val="both"/>
              <w:rPr>
                <w:rFonts w:hint="default"/>
                <w:lang w:val="en-US" w:eastAsia="zh-CN"/>
              </w:rPr>
            </w:pPr>
            <w:r>
              <w:rPr>
                <w:rFonts w:hint="eastAsia"/>
                <w:lang w:val="en-US" w:eastAsia="zh-CN"/>
              </w:rPr>
              <w:t>商务分</w:t>
            </w:r>
          </w:p>
        </w:tc>
        <w:tc>
          <w:tcPr>
            <w:tcW w:w="5803" w:type="dxa"/>
          </w:tcPr>
          <w:p w14:paraId="77FEDDCF">
            <w:pPr>
              <w:widowControl w:val="0"/>
              <w:bidi w:val="0"/>
              <w:jc w:val="both"/>
              <w:rPr>
                <w:rFonts w:hint="default"/>
                <w:lang w:val="en-US" w:eastAsia="zh-CN"/>
              </w:rPr>
            </w:pPr>
            <w:r>
              <w:rPr>
                <w:rFonts w:hint="eastAsia"/>
                <w:lang w:val="en-US" w:eastAsia="zh-CN"/>
              </w:rPr>
              <w:t>价格分</w:t>
            </w:r>
          </w:p>
        </w:tc>
      </w:tr>
      <w:tr w14:paraId="18080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18" w:type="dxa"/>
          </w:tcPr>
          <w:p w14:paraId="6C837C07">
            <w:pPr>
              <w:widowControl w:val="0"/>
              <w:bidi w:val="0"/>
              <w:jc w:val="both"/>
              <w:rPr>
                <w:rFonts w:hint="eastAsia"/>
                <w:lang w:eastAsia="zh-CN"/>
              </w:rPr>
            </w:pPr>
            <w:r>
              <w:rPr>
                <w:rFonts w:hint="eastAsia"/>
                <w:lang w:eastAsia="zh-CN"/>
              </w:rPr>
              <w:t>投标总价量化表</w:t>
            </w:r>
          </w:p>
          <w:p w14:paraId="3496162C">
            <w:pPr>
              <w:widowControl w:val="0"/>
              <w:bidi w:val="0"/>
              <w:jc w:val="both"/>
              <w:rPr>
                <w:rFonts w:hint="eastAsia"/>
                <w:lang w:eastAsia="zh-CN"/>
              </w:rPr>
            </w:pPr>
          </w:p>
          <w:p w14:paraId="13083385">
            <w:pPr>
              <w:widowControl w:val="0"/>
              <w:bidi w:val="0"/>
              <w:jc w:val="both"/>
              <w:rPr>
                <w:rFonts w:hint="default"/>
                <w:lang w:val="en-US" w:eastAsia="zh-CN"/>
              </w:rPr>
            </w:pPr>
            <w:r>
              <w:rPr>
                <w:rFonts w:hint="default"/>
                <w:lang w:val="en-US" w:eastAsia="zh-CN"/>
              </w:rPr>
              <w:t>抽取招标控制价下浮系数n</w:t>
            </w:r>
          </w:p>
        </w:tc>
        <w:tc>
          <w:tcPr>
            <w:tcW w:w="1342" w:type="dxa"/>
            <w:vAlign w:val="top"/>
          </w:tcPr>
          <w:p w14:paraId="2CC60780">
            <w:pPr>
              <w:widowControl w:val="0"/>
              <w:bidi w:val="0"/>
              <w:jc w:val="both"/>
              <w:rPr>
                <w:rFonts w:hint="default"/>
                <w:lang w:val="en-US" w:eastAsia="zh-CN"/>
              </w:rPr>
            </w:pPr>
            <w:r>
              <w:rPr>
                <w:rFonts w:hint="eastAsia"/>
                <w:lang w:val="en-US" w:eastAsia="zh-CN"/>
              </w:rPr>
              <w:t>无</w:t>
            </w:r>
          </w:p>
        </w:tc>
        <w:tc>
          <w:tcPr>
            <w:tcW w:w="1276" w:type="dxa"/>
            <w:vAlign w:val="top"/>
          </w:tcPr>
          <w:p w14:paraId="1922E1D9">
            <w:pPr>
              <w:widowControl w:val="0"/>
              <w:bidi w:val="0"/>
              <w:jc w:val="both"/>
              <w:rPr>
                <w:rFonts w:hint="default"/>
                <w:lang w:val="en-US" w:eastAsia="zh-CN"/>
              </w:rPr>
            </w:pPr>
            <w:r>
              <w:rPr>
                <w:rFonts w:hint="eastAsia"/>
                <w:lang w:val="en-US" w:eastAsia="zh-CN"/>
              </w:rPr>
              <w:t>无</w:t>
            </w:r>
          </w:p>
        </w:tc>
        <w:tc>
          <w:tcPr>
            <w:tcW w:w="5803" w:type="dxa"/>
          </w:tcPr>
          <w:p w14:paraId="12E98CB5">
            <w:pPr>
              <w:widowControl w:val="0"/>
              <w:bidi w:val="0"/>
              <w:jc w:val="both"/>
              <w:rPr>
                <w:rFonts w:hint="eastAsia"/>
                <w:lang w:eastAsia="zh-CN"/>
              </w:rPr>
            </w:pPr>
            <w:r>
              <w:rPr>
                <w:rFonts w:hint="eastAsia"/>
                <w:lang w:eastAsia="zh-CN"/>
              </w:rPr>
              <w:t>按照《投标总价量化表》（表</w:t>
            </w:r>
            <w:r>
              <w:rPr>
                <w:rFonts w:hint="eastAsia"/>
                <w:lang w:val="en-US" w:eastAsia="zh-CN"/>
              </w:rPr>
              <w:t>1</w:t>
            </w:r>
            <w:r>
              <w:rPr>
                <w:rFonts w:hint="eastAsia"/>
                <w:lang w:eastAsia="zh-CN"/>
              </w:rPr>
              <w:t>）指定的量化标准对量化因素进行折算（调整）</w:t>
            </w:r>
          </w:p>
          <w:p w14:paraId="6C15A4C9">
            <w:pPr>
              <w:widowControl w:val="0"/>
              <w:bidi w:val="0"/>
              <w:jc w:val="both"/>
              <w:rPr>
                <w:rFonts w:hint="default"/>
                <w:lang w:val="en-US" w:eastAsia="zh-CN"/>
              </w:rPr>
            </w:pPr>
            <w:r>
              <w:rPr>
                <w:rFonts w:hint="default"/>
                <w:lang w:val="en-US" w:eastAsia="zh-CN"/>
              </w:rPr>
              <w:t>将折算（调整）金额填入《评标价计算表》</w:t>
            </w:r>
          </w:p>
          <w:p w14:paraId="6195E117">
            <w:pPr>
              <w:widowControl w:val="0"/>
              <w:bidi w:val="0"/>
              <w:jc w:val="both"/>
              <w:rPr>
                <w:rFonts w:hint="eastAsia"/>
                <w:lang w:val="en-US" w:eastAsia="zh-CN"/>
              </w:rPr>
            </w:pPr>
            <w:r>
              <w:rPr>
                <w:rFonts w:hint="eastAsia"/>
                <w:lang w:val="en-US" w:eastAsia="zh-CN"/>
              </w:rPr>
              <w:t>评标价=投标报价+折算金额</w:t>
            </w:r>
          </w:p>
          <w:p w14:paraId="60BA4A7E">
            <w:pPr>
              <w:widowControl w:val="0"/>
              <w:bidi w:val="0"/>
              <w:jc w:val="both"/>
              <w:rPr>
                <w:rFonts w:hint="default"/>
                <w:lang w:val="en-US" w:eastAsia="zh-CN"/>
              </w:rPr>
            </w:pPr>
            <w:r>
              <w:rPr>
                <w:rFonts w:hint="default"/>
                <w:lang w:val="en-US" w:eastAsia="zh-CN"/>
              </w:rPr>
              <w:t>比较所有投标人评标价，取评标价最低的投标人为第一中标候选人，取评标价第二、第三低的投标人为第二、第三中标候选人</w:t>
            </w:r>
          </w:p>
        </w:tc>
      </w:tr>
    </w:tbl>
    <w:p w14:paraId="396C09F4">
      <w:pPr>
        <w:bidi w:val="0"/>
        <w:rPr>
          <w:rFonts w:hint="eastAsia"/>
          <w:lang w:val="en-US" w:eastAsia="zh-CN"/>
        </w:rPr>
      </w:pPr>
    </w:p>
    <w:p w14:paraId="5319DE08">
      <w:pPr>
        <w:bidi w:val="0"/>
        <w:rPr>
          <w:rFonts w:hint="eastAsia"/>
          <w:lang w:val="en-US" w:eastAsia="zh-CN"/>
        </w:rPr>
      </w:pPr>
      <w:r>
        <w:rPr>
          <w:rFonts w:hint="eastAsia"/>
          <w:lang w:val="en-US" w:eastAsia="zh-CN"/>
        </w:rPr>
        <w:t>2、评分参数配置录入：</w:t>
      </w:r>
    </w:p>
    <w:p w14:paraId="0147E615">
      <w:pPr>
        <w:bidi w:val="0"/>
      </w:pPr>
      <w:r>
        <w:drawing>
          <wp:inline distT="0" distB="0" distL="114300" distR="114300">
            <wp:extent cx="6642100" cy="1706245"/>
            <wp:effectExtent l="0" t="0" r="254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91"/>
                    <a:stretch>
                      <a:fillRect/>
                    </a:stretch>
                  </pic:blipFill>
                  <pic:spPr>
                    <a:xfrm>
                      <a:off x="0" y="0"/>
                      <a:ext cx="6642100" cy="1706245"/>
                    </a:xfrm>
                    <a:prstGeom prst="rect">
                      <a:avLst/>
                    </a:prstGeom>
                    <a:noFill/>
                    <a:ln>
                      <a:noFill/>
                    </a:ln>
                  </pic:spPr>
                </pic:pic>
              </a:graphicData>
            </a:graphic>
          </wp:inline>
        </w:drawing>
      </w:r>
    </w:p>
    <w:p w14:paraId="695B7CD4">
      <w:pPr>
        <w:bidi w:val="0"/>
        <w:rPr>
          <w:rFonts w:hint="eastAsia"/>
          <w:lang w:val="en-US" w:eastAsia="zh-CN"/>
        </w:rPr>
      </w:pPr>
      <w:r>
        <w:rPr>
          <w:rFonts w:hint="eastAsia"/>
          <w:lang w:val="en-US" w:eastAsia="zh-CN"/>
        </w:rPr>
        <w:t>（1）评标办法：选择“经评审的最低投标价法”；</w:t>
      </w:r>
    </w:p>
    <w:p w14:paraId="1880D0C3">
      <w:pPr>
        <w:bidi w:val="0"/>
        <w:rPr>
          <w:rFonts w:hint="default"/>
          <w:lang w:val="en-US" w:eastAsia="zh-CN"/>
        </w:rPr>
      </w:pPr>
      <w:r>
        <w:rPr>
          <w:rFonts w:hint="eastAsia"/>
          <w:lang w:val="en-US" w:eastAsia="zh-CN"/>
        </w:rPr>
        <w:t>（2）是否限制评审数量：如果选“是”，“进入评审数量”需要根据招标文件填写，例如13。意思是只允许多少家报价符合条件的进入评审。</w:t>
      </w:r>
    </w:p>
    <w:p w14:paraId="2A049BFC">
      <w:pPr>
        <w:bidi w:val="0"/>
        <w:rPr>
          <w:rFonts w:hint="eastAsia"/>
          <w:lang w:val="en-US" w:eastAsia="zh-CN"/>
        </w:rPr>
      </w:pPr>
      <w:r>
        <w:rPr>
          <w:rFonts w:hint="eastAsia"/>
          <w:lang w:val="en-US" w:eastAsia="zh-CN"/>
        </w:rPr>
        <w:t>（3）商务技术权重（%）：填写“0”；</w:t>
      </w:r>
    </w:p>
    <w:p w14:paraId="39AC42CB">
      <w:pPr>
        <w:bidi w:val="0"/>
        <w:rPr>
          <w:rFonts w:hint="default"/>
          <w:lang w:val="en-US" w:eastAsia="zh-CN"/>
        </w:rPr>
      </w:pPr>
      <w:r>
        <w:rPr>
          <w:rFonts w:hint="eastAsia"/>
          <w:lang w:val="en-US" w:eastAsia="zh-CN"/>
        </w:rPr>
        <w:t>（4）价格权重（%）：填写“100”；</w:t>
      </w:r>
    </w:p>
    <w:p w14:paraId="7063B6B2">
      <w:pPr>
        <w:bidi w:val="0"/>
        <w:rPr>
          <w:rFonts w:hint="eastAsia"/>
          <w:lang w:val="en-US" w:eastAsia="zh-CN"/>
        </w:rPr>
      </w:pPr>
      <w:r>
        <w:rPr>
          <w:rFonts w:hint="eastAsia"/>
          <w:lang w:val="en-US" w:eastAsia="zh-CN"/>
        </w:rPr>
        <w:t>（5）号球数：表示抽取招标控制价下浮系数时，使用多少个号球。其中第一个号球的值是“下浮系数低值”，最后一个号球的值是“下浮系数高值”，中间号球的值，是两者之间对应的平均值。（生成招文时会自动生成对应表）</w:t>
      </w:r>
    </w:p>
    <w:p w14:paraId="6FAA47FF">
      <w:pPr>
        <w:bidi w:val="0"/>
        <w:rPr>
          <w:rFonts w:hint="default"/>
          <w:lang w:val="en-US" w:eastAsia="zh-CN"/>
        </w:rPr>
      </w:pPr>
      <w:r>
        <w:rPr>
          <w:rFonts w:hint="eastAsia"/>
          <w:lang w:val="en-US" w:eastAsia="zh-CN"/>
        </w:rPr>
        <w:t>3、投标人入围评审的筛选方法</w:t>
      </w:r>
    </w:p>
    <w:p w14:paraId="134C4BC5">
      <w:pPr>
        <w:bidi w:val="0"/>
        <w:rPr>
          <w:rFonts w:hint="default"/>
          <w:lang w:val="en-US" w:eastAsia="zh-CN"/>
        </w:rPr>
      </w:pPr>
      <w:r>
        <w:rPr>
          <w:rFonts w:hint="eastAsia"/>
          <w:lang w:val="en-US" w:eastAsia="zh-CN"/>
        </w:rPr>
        <w:t>同“A+B值评分法”。</w:t>
      </w:r>
    </w:p>
    <w:p w14:paraId="67DA0095">
      <w:pPr>
        <w:bidi w:val="0"/>
        <w:rPr>
          <w:rFonts w:hint="eastAsia"/>
          <w:lang w:val="en-US" w:eastAsia="zh-CN"/>
        </w:rPr>
      </w:pPr>
      <w:r>
        <w:rPr>
          <w:rFonts w:hint="eastAsia"/>
          <w:lang w:val="en-US" w:eastAsia="zh-CN"/>
        </w:rPr>
        <w:t>4、投标总价量化表的处理：</w:t>
      </w:r>
    </w:p>
    <w:p w14:paraId="7E856EF7">
      <w:pPr>
        <w:bidi w:val="0"/>
        <w:rPr>
          <w:rFonts w:hint="eastAsia"/>
          <w:lang w:val="en-US" w:eastAsia="zh-CN"/>
        </w:rPr>
      </w:pPr>
      <w:r>
        <w:drawing>
          <wp:inline distT="0" distB="0" distL="114300" distR="114300">
            <wp:extent cx="6640195" cy="767080"/>
            <wp:effectExtent l="0" t="0" r="4445" b="1016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92"/>
                    <a:stretch>
                      <a:fillRect/>
                    </a:stretch>
                  </pic:blipFill>
                  <pic:spPr>
                    <a:xfrm>
                      <a:off x="0" y="0"/>
                      <a:ext cx="6640195" cy="767080"/>
                    </a:xfrm>
                    <a:prstGeom prst="rect">
                      <a:avLst/>
                    </a:prstGeom>
                    <a:noFill/>
                    <a:ln>
                      <a:noFill/>
                    </a:ln>
                  </pic:spPr>
                </pic:pic>
              </a:graphicData>
            </a:graphic>
          </wp:inline>
        </w:drawing>
      </w:r>
    </w:p>
    <w:p w14:paraId="21D46FD8">
      <w:pPr>
        <w:bidi w:val="0"/>
        <w:rPr>
          <w:rFonts w:hint="eastAsia"/>
          <w:lang w:val="en-US" w:eastAsia="zh-CN"/>
        </w:rPr>
      </w:pPr>
    </w:p>
    <w:p w14:paraId="13AFEE62">
      <w:pPr>
        <w:bidi w:val="0"/>
        <w:rPr>
          <w:rFonts w:hint="eastAsia"/>
          <w:lang w:val="en-US" w:eastAsia="zh-CN"/>
        </w:rPr>
      </w:pPr>
      <w:r>
        <w:rPr>
          <w:rFonts w:hint="eastAsia"/>
          <w:lang w:val="en-US" w:eastAsia="zh-CN"/>
        </w:rPr>
        <w:t>专家根据该量化表对企业进行投标总价进行调减。计算价格排名时，将对企业的投标总价扣除掉增减值后，再进行排名。</w:t>
      </w:r>
    </w:p>
    <w:p w14:paraId="29C46C12">
      <w:pPr>
        <w:bidi w:val="0"/>
        <w:rPr>
          <w:rFonts w:hint="eastAsia"/>
          <w:lang w:val="en-US" w:eastAsia="zh-CN"/>
        </w:rPr>
      </w:pPr>
    </w:p>
    <w:p w14:paraId="5BB6E223">
      <w:pPr>
        <w:bidi w:val="0"/>
        <w:rPr>
          <w:rFonts w:hint="default"/>
          <w:lang w:val="en-US" w:eastAsia="zh-CN"/>
        </w:rPr>
      </w:pPr>
      <w:r>
        <w:rPr>
          <w:rFonts w:hint="eastAsia"/>
          <w:lang w:val="en-US" w:eastAsia="zh-CN"/>
        </w:rPr>
        <w:t>二、水利类</w:t>
      </w:r>
    </w:p>
    <w:p w14:paraId="46394289">
      <w:pPr>
        <w:bidi w:val="0"/>
        <w:rPr>
          <w:rFonts w:hint="eastAsia"/>
          <w:lang w:val="en-US" w:eastAsia="zh-CN"/>
        </w:rPr>
      </w:pPr>
      <w:r>
        <w:rPr>
          <w:rFonts w:hint="eastAsia"/>
          <w:lang w:val="en-US" w:eastAsia="zh-CN"/>
        </w:rPr>
        <w:t>（一）综合评分法</w:t>
      </w:r>
    </w:p>
    <w:p w14:paraId="40AF676F">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
        <w:gridCol w:w="1460"/>
        <w:gridCol w:w="1303"/>
        <w:gridCol w:w="1086"/>
        <w:gridCol w:w="812"/>
        <w:gridCol w:w="3350"/>
      </w:tblGrid>
      <w:tr w14:paraId="45427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8BF9FC">
            <w:pPr>
              <w:widowControl w:val="0"/>
              <w:bidi w:val="0"/>
              <w:jc w:val="both"/>
              <w:rPr>
                <w:rFonts w:hint="default"/>
                <w:lang w:val="en-US" w:eastAsia="zh-CN"/>
              </w:rPr>
            </w:pPr>
            <w:r>
              <w:rPr>
                <w:rFonts w:hint="eastAsia"/>
                <w:lang w:val="en-US" w:eastAsia="zh-CN"/>
              </w:rPr>
              <w:t>评分法</w:t>
            </w:r>
          </w:p>
        </w:tc>
        <w:tc>
          <w:tcPr>
            <w:tcW w:w="1824" w:type="dxa"/>
          </w:tcPr>
          <w:p w14:paraId="41D73E21">
            <w:pPr>
              <w:widowControl w:val="0"/>
              <w:bidi w:val="0"/>
              <w:jc w:val="both"/>
              <w:rPr>
                <w:rFonts w:hint="default"/>
                <w:lang w:val="en-US" w:eastAsia="zh-CN"/>
              </w:rPr>
            </w:pPr>
            <w:r>
              <w:rPr>
                <w:rFonts w:hint="eastAsia"/>
                <w:lang w:val="en-US" w:eastAsia="zh-CN"/>
              </w:rPr>
              <w:t>价格分计算参数</w:t>
            </w:r>
          </w:p>
        </w:tc>
        <w:tc>
          <w:tcPr>
            <w:tcW w:w="1592" w:type="dxa"/>
          </w:tcPr>
          <w:p w14:paraId="6AEE281D">
            <w:pPr>
              <w:widowControl w:val="0"/>
              <w:bidi w:val="0"/>
              <w:jc w:val="both"/>
              <w:rPr>
                <w:rFonts w:hint="default"/>
                <w:lang w:val="en-US" w:eastAsia="zh-CN"/>
              </w:rPr>
            </w:pPr>
            <w:r>
              <w:rPr>
                <w:rFonts w:hint="eastAsia"/>
                <w:lang w:val="en-US" w:eastAsia="zh-CN"/>
              </w:rPr>
              <w:t>技术分</w:t>
            </w:r>
          </w:p>
        </w:tc>
        <w:tc>
          <w:tcPr>
            <w:tcW w:w="1386" w:type="dxa"/>
          </w:tcPr>
          <w:p w14:paraId="71334E98">
            <w:pPr>
              <w:widowControl w:val="0"/>
              <w:bidi w:val="0"/>
              <w:jc w:val="both"/>
              <w:rPr>
                <w:rFonts w:hint="default"/>
                <w:lang w:val="en-US" w:eastAsia="zh-CN"/>
              </w:rPr>
            </w:pPr>
            <w:r>
              <w:rPr>
                <w:rFonts w:hint="eastAsia"/>
                <w:lang w:val="en-US" w:eastAsia="zh-CN"/>
              </w:rPr>
              <w:t>商务分</w:t>
            </w:r>
          </w:p>
        </w:tc>
        <w:tc>
          <w:tcPr>
            <w:tcW w:w="982" w:type="dxa"/>
          </w:tcPr>
          <w:p w14:paraId="14CE000D">
            <w:pPr>
              <w:widowControl w:val="0"/>
              <w:bidi w:val="0"/>
              <w:jc w:val="both"/>
              <w:rPr>
                <w:rFonts w:hint="default"/>
                <w:lang w:val="en-US" w:eastAsia="zh-CN"/>
              </w:rPr>
            </w:pPr>
            <w:r>
              <w:rPr>
                <w:rFonts w:hint="eastAsia"/>
                <w:lang w:val="en-US" w:eastAsia="zh-CN"/>
              </w:rPr>
              <w:t>信用分</w:t>
            </w:r>
          </w:p>
        </w:tc>
        <w:tc>
          <w:tcPr>
            <w:tcW w:w="4199" w:type="dxa"/>
          </w:tcPr>
          <w:p w14:paraId="64D03905">
            <w:pPr>
              <w:widowControl w:val="0"/>
              <w:bidi w:val="0"/>
              <w:jc w:val="both"/>
              <w:rPr>
                <w:rFonts w:hint="default"/>
                <w:lang w:val="en-US" w:eastAsia="zh-CN"/>
              </w:rPr>
            </w:pPr>
            <w:r>
              <w:rPr>
                <w:rFonts w:hint="eastAsia"/>
                <w:lang w:val="en-US" w:eastAsia="zh-CN"/>
              </w:rPr>
              <w:t>价格分</w:t>
            </w:r>
          </w:p>
        </w:tc>
      </w:tr>
      <w:tr w14:paraId="6C3FA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8073389">
            <w:pPr>
              <w:widowControl w:val="0"/>
              <w:bidi w:val="0"/>
              <w:jc w:val="both"/>
              <w:rPr>
                <w:rFonts w:hint="default"/>
                <w:lang w:val="en-US" w:eastAsia="zh-CN"/>
              </w:rPr>
            </w:pPr>
            <w:r>
              <w:rPr>
                <w:rFonts w:hint="eastAsia"/>
                <w:lang w:val="en-US" w:eastAsia="zh-CN"/>
              </w:rPr>
              <w:t>综合评分法</w:t>
            </w:r>
          </w:p>
        </w:tc>
        <w:tc>
          <w:tcPr>
            <w:tcW w:w="1824" w:type="dxa"/>
          </w:tcPr>
          <w:p w14:paraId="74E284EB">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1548CEF0">
            <w:pPr>
              <w:widowControl w:val="0"/>
              <w:bidi w:val="0"/>
              <w:jc w:val="both"/>
              <w:rPr>
                <w:rFonts w:hint="eastAsia"/>
                <w:lang w:val="en-US" w:eastAsia="zh-CN"/>
              </w:rPr>
            </w:pPr>
          </w:p>
          <w:p w14:paraId="534D8472">
            <w:pPr>
              <w:widowControl w:val="0"/>
              <w:bidi w:val="0"/>
              <w:jc w:val="both"/>
              <w:rPr>
                <w:rFonts w:hint="default"/>
                <w:lang w:val="en-US" w:eastAsia="zh-CN"/>
              </w:rPr>
            </w:pPr>
            <w:r>
              <w:rPr>
                <w:rFonts w:hint="eastAsia"/>
                <w:lang w:val="en-US" w:eastAsia="zh-CN"/>
              </w:rPr>
              <w:t>自定义计算（非施工类可使用）</w:t>
            </w:r>
          </w:p>
        </w:tc>
        <w:tc>
          <w:tcPr>
            <w:tcW w:w="1592" w:type="dxa"/>
          </w:tcPr>
          <w:p w14:paraId="0D125A9E">
            <w:pPr>
              <w:widowControl w:val="0"/>
              <w:bidi w:val="0"/>
              <w:jc w:val="both"/>
              <w:rPr>
                <w:rFonts w:hint="default"/>
                <w:lang w:val="en-US" w:eastAsia="zh-CN"/>
              </w:rPr>
            </w:pPr>
            <w:r>
              <w:rPr>
                <w:rFonts w:hint="default"/>
                <w:lang w:val="en-US" w:eastAsia="zh-CN"/>
              </w:rPr>
              <w:t>去掉一个最高分、去掉一个最低分后的算术平均值</w:t>
            </w:r>
          </w:p>
        </w:tc>
        <w:tc>
          <w:tcPr>
            <w:tcW w:w="1386" w:type="dxa"/>
          </w:tcPr>
          <w:p w14:paraId="3D559114">
            <w:pPr>
              <w:widowControl w:val="0"/>
              <w:bidi w:val="0"/>
              <w:jc w:val="both"/>
              <w:rPr>
                <w:rFonts w:hint="default"/>
                <w:lang w:val="en-US" w:eastAsia="zh-CN"/>
              </w:rPr>
            </w:pPr>
            <w:r>
              <w:rPr>
                <w:rFonts w:hint="default"/>
                <w:lang w:val="en-US" w:eastAsia="zh-CN"/>
              </w:rPr>
              <w:t>算术平均值</w:t>
            </w:r>
          </w:p>
        </w:tc>
        <w:tc>
          <w:tcPr>
            <w:tcW w:w="982" w:type="dxa"/>
          </w:tcPr>
          <w:p w14:paraId="5EFF8AE6">
            <w:pPr>
              <w:widowControl w:val="0"/>
              <w:bidi w:val="0"/>
              <w:jc w:val="both"/>
              <w:rPr>
                <w:rFonts w:hint="default"/>
                <w:lang w:val="en-US" w:eastAsia="zh-CN"/>
              </w:rPr>
            </w:pPr>
            <w:r>
              <w:rPr>
                <w:rFonts w:hint="eastAsia"/>
                <w:lang w:val="en-US" w:eastAsia="zh-CN"/>
              </w:rPr>
              <w:t>配置</w:t>
            </w:r>
          </w:p>
        </w:tc>
        <w:tc>
          <w:tcPr>
            <w:tcW w:w="4199" w:type="dxa"/>
          </w:tcPr>
          <w:p w14:paraId="4481C7A5">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价格分值-｜B-A｜×C（精确到小数点后3位）。</w:t>
            </w:r>
          </w:p>
          <w:p w14:paraId="654F07E6">
            <w:pPr>
              <w:widowControl w:val="0"/>
              <w:bidi w:val="0"/>
              <w:jc w:val="both"/>
              <w:rPr>
                <w:rFonts w:hint="eastAsia"/>
                <w:lang w:val="en-US" w:eastAsia="zh-CN"/>
              </w:rPr>
            </w:pPr>
          </w:p>
          <w:p w14:paraId="77A791CF">
            <w:pPr>
              <w:widowControl w:val="0"/>
              <w:bidi w:val="0"/>
              <w:jc w:val="both"/>
              <w:rPr>
                <w:rFonts w:hint="eastAsia"/>
                <w:lang w:val="en-US" w:eastAsia="zh-CN"/>
              </w:rPr>
            </w:pPr>
            <w:r>
              <w:rPr>
                <w:rFonts w:hint="eastAsia"/>
                <w:lang w:val="en-US" w:eastAsia="zh-CN"/>
              </w:rPr>
              <w:t>自定义计算的价格分计算：</w:t>
            </w:r>
          </w:p>
          <w:p w14:paraId="0CE9F592">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1B4D8788">
      <w:pPr>
        <w:bidi w:val="0"/>
        <w:rPr>
          <w:rFonts w:hint="default"/>
          <w:lang w:val="en-US" w:eastAsia="zh-CN"/>
        </w:rPr>
      </w:pPr>
    </w:p>
    <w:p w14:paraId="2E756803">
      <w:pPr>
        <w:bidi w:val="0"/>
        <w:rPr>
          <w:rFonts w:hint="eastAsia"/>
          <w:lang w:val="en-US" w:eastAsia="zh-CN"/>
        </w:rPr>
      </w:pPr>
      <w:r>
        <w:rPr>
          <w:rFonts w:hint="eastAsia"/>
          <w:lang w:val="en-US" w:eastAsia="zh-CN"/>
        </w:rPr>
        <w:t>评标基准下浮率A计算方法：</w:t>
      </w:r>
    </w:p>
    <w:p w14:paraId="071C8A23">
      <w:pPr>
        <w:bidi w:val="0"/>
        <w:rPr>
          <w:rFonts w:hint="eastAsia"/>
          <w:lang w:val="en-US" w:eastAsia="zh-CN"/>
        </w:rPr>
      </w:pPr>
      <w:r>
        <w:rPr>
          <w:rFonts w:hint="eastAsia"/>
          <w:lang w:val="en-US" w:eastAsia="zh-CN"/>
        </w:rPr>
        <w:t>1、评委平均值：</w:t>
      </w:r>
    </w:p>
    <w:p w14:paraId="1E346D38">
      <w:pPr>
        <w:bidi w:val="0"/>
        <w:rPr>
          <w:rFonts w:hint="default"/>
          <w:lang w:val="en-US" w:eastAsia="zh-CN"/>
        </w:rPr>
      </w:pPr>
      <w:r>
        <w:rPr>
          <w:rFonts w:hint="default"/>
          <w:lang w:val="en-US" w:eastAsia="zh-CN"/>
        </w:rPr>
        <w:t>由评委独立根据工程情况及招标控制价编制情况，提出下浮率；将各评委提出的下浮率进行算术平均，所得平均值即为评标基准下浮率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5F7D28A7">
      <w:pPr>
        <w:bidi w:val="0"/>
        <w:rPr>
          <w:rFonts w:hint="default"/>
          <w:lang w:val="en-US" w:eastAsia="zh-CN"/>
        </w:rPr>
      </w:pPr>
    </w:p>
    <w:p w14:paraId="5E0C9465">
      <w:pPr>
        <w:bidi w:val="0"/>
        <w:rPr>
          <w:rFonts w:hint="eastAsia"/>
          <w:lang w:val="en-US" w:eastAsia="zh-CN"/>
        </w:rPr>
      </w:pPr>
      <w:r>
        <w:rPr>
          <w:rFonts w:hint="eastAsia"/>
          <w:lang w:val="en-US" w:eastAsia="zh-CN"/>
        </w:rPr>
        <w:t>2、摇珠下浮率：</w:t>
      </w:r>
    </w:p>
    <w:p w14:paraId="7CAD19BC">
      <w:pPr>
        <w:bidi w:val="0"/>
        <w:rPr>
          <w:rFonts w:hint="eastAsia"/>
        </w:rPr>
      </w:pPr>
      <w:r>
        <w:rPr>
          <w:rFonts w:hint="eastAsia"/>
          <w:lang w:val="en-US" w:eastAsia="zh-CN"/>
        </w:rPr>
        <w:t>摇珠（</w:t>
      </w:r>
      <w:r>
        <w:rPr>
          <w:rFonts w:hint="eastAsia"/>
        </w:rPr>
        <w:t>随机</w:t>
      </w:r>
      <w:r>
        <w:rPr>
          <w:rFonts w:hint="eastAsia"/>
          <w:lang w:val="en-US" w:eastAsia="zh-CN"/>
        </w:rPr>
        <w:t>）</w:t>
      </w:r>
      <w:r>
        <w:rPr>
          <w:rFonts w:hint="eastAsia"/>
        </w:rPr>
        <w:t>下浮率抽取的具体摇珠方法如下：将编号为</w:t>
      </w:r>
      <w:r>
        <w:rPr>
          <w:rFonts w:hint="eastAsia"/>
          <w:lang w:val="en-US" w:eastAsia="zh-CN"/>
        </w:rPr>
        <w:t>1</w:t>
      </w:r>
      <w:r>
        <w:rPr>
          <w:rFonts w:hint="eastAsia"/>
        </w:rPr>
        <w:t>～</w:t>
      </w:r>
      <w:r>
        <w:rPr>
          <w:rFonts w:hint="eastAsia"/>
          <w:lang w:val="en-US" w:eastAsia="zh-CN"/>
        </w:rPr>
        <w:t>N</w:t>
      </w:r>
      <w:r>
        <w:rPr>
          <w:rFonts w:hint="eastAsia"/>
        </w:rPr>
        <w:t>的号码球随机抽取，所抽取出号码球的十位数对应下浮系数的个位数，所抽取出号码球的个位数对应下浮系数的小数点后一位，例如：摇出号码球为20，则随机下浮率为2.0；如摇出号码球为45，则下浮系数为4.5，以此类推。</w:t>
      </w:r>
    </w:p>
    <w:p w14:paraId="026FF7F6">
      <w:pPr>
        <w:bidi w:val="0"/>
        <w:rPr>
          <w:rFonts w:hint="eastAsia"/>
        </w:rPr>
      </w:pPr>
    </w:p>
    <w:p w14:paraId="54EFB8EA">
      <w:pPr>
        <w:bidi w:val="0"/>
        <w:rPr>
          <w:rFonts w:hint="eastAsia"/>
        </w:rPr>
      </w:pPr>
      <w:r>
        <w:rPr>
          <w:rFonts w:hint="eastAsia"/>
          <w:lang w:val="en-US" w:eastAsia="zh-CN"/>
        </w:rPr>
        <w:t>3、评委及摇珠平均下浮率：</w:t>
      </w:r>
    </w:p>
    <w:p w14:paraId="44F4EC57">
      <w:pPr>
        <w:bidi w:val="0"/>
        <w:rPr>
          <w:rFonts w:hint="eastAsia"/>
          <w:lang w:val="en-US" w:eastAsia="zh-CN"/>
        </w:rPr>
      </w:pPr>
      <w:r>
        <w:rPr>
          <w:rFonts w:hint="default"/>
          <w:lang w:val="en-US" w:eastAsia="zh-CN"/>
        </w:rPr>
        <w:t>由评委独立根据工程情况及招标控制价编制情况，提出下浮率</w:t>
      </w:r>
      <w:r>
        <w:rPr>
          <w:rFonts w:hint="eastAsia"/>
          <w:lang w:val="en-US" w:eastAsia="zh-CN"/>
        </w:rPr>
        <w:t>，</w:t>
      </w:r>
      <w:r>
        <w:rPr>
          <w:rFonts w:hint="default"/>
          <w:lang w:val="en-US" w:eastAsia="zh-CN"/>
        </w:rPr>
        <w:t>将各评委提出的下浮率进行算术平均</w:t>
      </w:r>
      <w:r>
        <w:rPr>
          <w:rFonts w:hint="eastAsia"/>
          <w:lang w:val="en-US" w:eastAsia="zh-CN"/>
        </w:rPr>
        <w:t>A1。</w:t>
      </w:r>
    </w:p>
    <w:p w14:paraId="37AA505C">
      <w:pPr>
        <w:bidi w:val="0"/>
        <w:rPr>
          <w:rFonts w:hint="default"/>
          <w:lang w:val="en-US" w:eastAsia="zh-CN"/>
        </w:rPr>
      </w:pPr>
      <w:r>
        <w:rPr>
          <w:rFonts w:hint="eastAsia"/>
          <w:lang w:val="en-US" w:eastAsia="zh-CN"/>
        </w:rPr>
        <w:t>随机抽取号球得到一个下浮率A2。</w:t>
      </w:r>
    </w:p>
    <w:p w14:paraId="757679D9">
      <w:pPr>
        <w:bidi w:val="0"/>
        <w:rPr>
          <w:rFonts w:hint="eastAsia"/>
        </w:rPr>
      </w:pPr>
      <w:r>
        <w:rPr>
          <w:rFonts w:hint="eastAsia"/>
          <w:lang w:val="en-US" w:eastAsia="zh-CN"/>
        </w:rPr>
        <w:t>A1和A2平均</w:t>
      </w:r>
      <w:r>
        <w:rPr>
          <w:rFonts w:hint="default"/>
          <w:lang w:val="en-US" w:eastAsia="zh-CN"/>
        </w:rPr>
        <w:t>，所得平均值即为评标基准下浮率</w:t>
      </w:r>
      <w:r>
        <w:rPr>
          <w:rFonts w:hint="eastAsia"/>
          <w:lang w:val="en-US" w:eastAsia="zh-CN"/>
        </w:rPr>
        <w:t>A</w:t>
      </w:r>
      <w:r>
        <w:rPr>
          <w:rFonts w:hint="default"/>
          <w:lang w:val="en-US" w:eastAsia="zh-CN"/>
        </w:rPr>
        <w:t>（以百分比为单位，精确到小数点后3位）</w:t>
      </w:r>
    </w:p>
    <w:p w14:paraId="506FD450">
      <w:pPr>
        <w:bidi w:val="0"/>
        <w:rPr>
          <w:rFonts w:hint="eastAsia"/>
        </w:rPr>
      </w:pPr>
    </w:p>
    <w:p w14:paraId="53C6902A">
      <w:pPr>
        <w:bidi w:val="0"/>
        <w:rPr>
          <w:rFonts w:hint="eastAsia"/>
          <w:lang w:val="en-US" w:eastAsia="zh-CN"/>
        </w:rPr>
      </w:pPr>
      <w:r>
        <w:rPr>
          <w:rFonts w:hint="eastAsia"/>
          <w:lang w:val="en-US" w:eastAsia="zh-CN"/>
        </w:rPr>
        <w:t>4、投标人平均下浮率：</w:t>
      </w:r>
    </w:p>
    <w:p w14:paraId="70A3AF1A">
      <w:pPr>
        <w:bidi w:val="0"/>
        <w:rPr>
          <w:rFonts w:hint="default"/>
          <w:lang w:val="en-US" w:eastAsia="zh-CN"/>
        </w:rPr>
      </w:pPr>
      <w:r>
        <w:rPr>
          <w:rFonts w:hint="eastAsia"/>
          <w:lang w:val="en-US" w:eastAsia="zh-CN"/>
        </w:rPr>
        <w:t>对投标人的报价</w:t>
      </w:r>
      <w:r>
        <w:rPr>
          <w:rFonts w:hint="default"/>
          <w:lang w:val="en-US" w:eastAsia="zh-CN"/>
        </w:rPr>
        <w:t>下浮率进行算术平均，所得平均值即为评标基准下浮率</w:t>
      </w:r>
      <w:r>
        <w:rPr>
          <w:rFonts w:hint="eastAsia"/>
          <w:lang w:val="en-US" w:eastAsia="zh-CN"/>
        </w:rPr>
        <w:t>A</w:t>
      </w:r>
      <w:r>
        <w:rPr>
          <w:rFonts w:hint="default"/>
          <w:lang w:val="en-US" w:eastAsia="zh-CN"/>
        </w:rPr>
        <w:t>（以百分比为单位，精确到小数点后3位）。</w:t>
      </w:r>
    </w:p>
    <w:p w14:paraId="28F42F9C">
      <w:pPr>
        <w:bidi w:val="0"/>
        <w:rPr>
          <w:rFonts w:hint="default"/>
          <w:lang w:val="en-US" w:eastAsia="zh-CN"/>
        </w:rPr>
      </w:pPr>
    </w:p>
    <w:p w14:paraId="4F55EB56">
      <w:pPr>
        <w:bidi w:val="0"/>
        <w:rPr>
          <w:rFonts w:hint="eastAsia"/>
          <w:lang w:val="en-US" w:eastAsia="zh-CN"/>
        </w:rPr>
      </w:pPr>
      <w:r>
        <w:rPr>
          <w:rFonts w:hint="eastAsia"/>
          <w:lang w:val="en-US" w:eastAsia="zh-CN"/>
        </w:rPr>
        <w:t>5、自定义计算：（非施工类）</w:t>
      </w:r>
    </w:p>
    <w:p w14:paraId="0C9E0D0C">
      <w:pPr>
        <w:bidi w:val="0"/>
        <w:rPr>
          <w:rFonts w:hint="default"/>
          <w:lang w:val="en-US" w:eastAsia="zh-CN"/>
        </w:rPr>
      </w:pPr>
      <w:r>
        <w:rPr>
          <w:rFonts w:hint="eastAsia"/>
          <w:lang w:val="en-US" w:eastAsia="zh-CN"/>
        </w:rPr>
        <w:t>基准下浮率由评委计算并录入，根据录入的计算公式，对价格分进行计算</w:t>
      </w:r>
      <w:r>
        <w:rPr>
          <w:rFonts w:hint="default"/>
          <w:lang w:val="en-US" w:eastAsia="zh-CN"/>
        </w:rPr>
        <w:t>。</w:t>
      </w:r>
    </w:p>
    <w:p w14:paraId="49E2C8A9">
      <w:pPr>
        <w:bidi w:val="0"/>
        <w:rPr>
          <w:rFonts w:hint="default"/>
          <w:lang w:val="en-US" w:eastAsia="zh-CN"/>
        </w:rPr>
      </w:pPr>
    </w:p>
    <w:p w14:paraId="43099BBC">
      <w:pPr>
        <w:bidi w:val="0"/>
        <w:rPr>
          <w:rFonts w:hint="eastAsia"/>
          <w:lang w:val="en-US" w:eastAsia="zh-CN"/>
        </w:rPr>
      </w:pPr>
      <w:r>
        <w:rPr>
          <w:rFonts w:hint="eastAsia"/>
          <w:lang w:val="en-US" w:eastAsia="zh-CN"/>
        </w:rPr>
        <w:t>2、评分参数配置录入</w:t>
      </w:r>
    </w:p>
    <w:p w14:paraId="0BEAD91C">
      <w:pPr>
        <w:bidi w:val="0"/>
      </w:pPr>
      <w:r>
        <w:drawing>
          <wp:inline distT="0" distB="0" distL="114300" distR="114300">
            <wp:extent cx="6645910" cy="2959100"/>
            <wp:effectExtent l="0" t="0" r="13970" b="12700"/>
            <wp:docPr id="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
                    <pic:cNvPicPr>
                      <a:picLocks noChangeAspect="1"/>
                    </pic:cNvPicPr>
                  </pic:nvPicPr>
                  <pic:blipFill>
                    <a:blip r:embed="rId93"/>
                    <a:stretch>
                      <a:fillRect/>
                    </a:stretch>
                  </pic:blipFill>
                  <pic:spPr>
                    <a:xfrm>
                      <a:off x="0" y="0"/>
                      <a:ext cx="6645910" cy="2959100"/>
                    </a:xfrm>
                    <a:prstGeom prst="rect">
                      <a:avLst/>
                    </a:prstGeom>
                    <a:noFill/>
                    <a:ln>
                      <a:noFill/>
                    </a:ln>
                  </pic:spPr>
                </pic:pic>
              </a:graphicData>
            </a:graphic>
          </wp:inline>
        </w:drawing>
      </w:r>
    </w:p>
    <w:p w14:paraId="6E47EDC8">
      <w:pPr>
        <w:bidi w:val="0"/>
        <w:rPr>
          <w:rFonts w:hint="default"/>
          <w:lang w:val="en-US" w:eastAsia="zh-CN"/>
        </w:rPr>
      </w:pPr>
    </w:p>
    <w:p w14:paraId="7110F785">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评分办法：选“综合评分法”；</w:t>
      </w:r>
    </w:p>
    <w:p w14:paraId="48AF1C01">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1AB1B4DF">
      <w:pPr>
        <w:bidi w:val="0"/>
        <w:rPr>
          <w:rFonts w:hint="eastAsia"/>
          <w:lang w:val="en-US" w:eastAsia="zh-CN"/>
        </w:rPr>
      </w:pPr>
      <w:r>
        <w:rPr>
          <w:rFonts w:hint="eastAsia"/>
          <w:lang w:val="en-US" w:eastAsia="zh-CN"/>
        </w:rPr>
        <w:t>（3）是否限制评审数量：选“否”</w:t>
      </w:r>
    </w:p>
    <w:p w14:paraId="2A2F9848">
      <w:pPr>
        <w:bidi w:val="0"/>
        <w:rPr>
          <w:rFonts w:hint="eastAsia"/>
          <w:lang w:val="en-US" w:eastAsia="zh-CN"/>
        </w:rPr>
      </w:pPr>
      <w:r>
        <w:rPr>
          <w:rFonts w:hint="eastAsia"/>
          <w:lang w:val="en-US" w:eastAsia="zh-CN"/>
        </w:rPr>
        <w:t>（4）技术分、商务分、价格分、信用分：相加为100分</w:t>
      </w:r>
    </w:p>
    <w:p w14:paraId="1200EB50">
      <w:pPr>
        <w:bidi w:val="0"/>
        <w:rPr>
          <w:rFonts w:hint="default"/>
          <w:lang w:val="en-US" w:eastAsia="zh-CN"/>
        </w:rPr>
      </w:pPr>
      <w:r>
        <w:rPr>
          <w:rFonts w:hint="eastAsia"/>
          <w:lang w:val="en-US" w:eastAsia="zh-CN"/>
        </w:rPr>
        <w:t>（5）商务分是否包含价格分：建议选“否”</w:t>
      </w:r>
    </w:p>
    <w:p w14:paraId="2EF49355">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04ACD2EA">
      <w:pPr>
        <w:bidi w:val="0"/>
        <w:rPr>
          <w:rFonts w:hint="eastAsia"/>
          <w:lang w:val="en-US" w:eastAsia="zh-CN"/>
        </w:rPr>
      </w:pPr>
      <w:r>
        <w:rPr>
          <w:rFonts w:hint="eastAsia"/>
          <w:lang w:val="en-US" w:eastAsia="zh-CN"/>
        </w:rPr>
        <w:t>（7）报价得分计算系数：见价格分计算中的“报价得分计算系数”，有100,200,300,400选择；</w:t>
      </w:r>
    </w:p>
    <w:p w14:paraId="1A69CECC">
      <w:pPr>
        <w:bidi w:val="0"/>
        <w:rPr>
          <w:rFonts w:hint="eastAsia"/>
          <w:lang w:val="en-US" w:eastAsia="zh-CN"/>
        </w:rPr>
      </w:pPr>
      <w:r>
        <w:rPr>
          <w:rFonts w:hint="eastAsia"/>
          <w:lang w:val="en-US" w:eastAsia="zh-CN"/>
        </w:rPr>
        <w:t>（8）号球数：摇珠方式抽取下浮率时，有多少个号球；</w:t>
      </w:r>
    </w:p>
    <w:p w14:paraId="4EDA21B5">
      <w:pPr>
        <w:bidi w:val="0"/>
        <w:rPr>
          <w:rFonts w:hint="eastAsia"/>
          <w:lang w:val="en-US" w:eastAsia="zh-CN"/>
        </w:rPr>
      </w:pPr>
      <w:r>
        <w:rPr>
          <w:rFonts w:hint="eastAsia"/>
          <w:lang w:val="en-US" w:eastAsia="zh-CN"/>
        </w:rPr>
        <w:t>（9）提出下浮系数低值、提出下浮系数高值：评委提出下浮率的最低值和最高值；</w:t>
      </w:r>
    </w:p>
    <w:p w14:paraId="32F94F76">
      <w:pPr>
        <w:bidi w:val="0"/>
        <w:rPr>
          <w:rFonts w:hint="eastAsia"/>
          <w:lang w:val="en-US" w:eastAsia="zh-CN"/>
        </w:rPr>
      </w:pPr>
      <w:r>
        <w:rPr>
          <w:rFonts w:hint="eastAsia"/>
          <w:lang w:val="en-US" w:eastAsia="zh-CN"/>
        </w:rPr>
        <w:t>（10）抽取下浮系数低值：抽取下浮率时，第一个号球代表的系数；</w:t>
      </w:r>
    </w:p>
    <w:p w14:paraId="207A9760">
      <w:pPr>
        <w:bidi w:val="0"/>
        <w:rPr>
          <w:rFonts w:hint="eastAsia"/>
          <w:lang w:val="en-US" w:eastAsia="zh-CN"/>
        </w:rPr>
      </w:pPr>
      <w:r>
        <w:rPr>
          <w:rFonts w:hint="eastAsia"/>
          <w:lang w:val="en-US" w:eastAsia="zh-CN"/>
        </w:rPr>
        <w:t>（11）抽取下浮系数高值：抽取下浮率时，最后一个号球代表的系数；</w:t>
      </w:r>
    </w:p>
    <w:p w14:paraId="273F75A3">
      <w:pPr>
        <w:bidi w:val="0"/>
        <w:rPr>
          <w:rFonts w:hint="default"/>
          <w:lang w:val="en-US" w:eastAsia="zh-CN"/>
        </w:rPr>
      </w:pPr>
      <w:r>
        <w:rPr>
          <w:rFonts w:hint="eastAsia"/>
          <w:lang w:val="en-US" w:eastAsia="zh-CN"/>
        </w:rPr>
        <w:t>（12）技术得分计算方式：有两种方式，意义见字面。</w:t>
      </w:r>
    </w:p>
    <w:p w14:paraId="629A2C6A">
      <w:pPr>
        <w:bidi w:val="0"/>
      </w:pPr>
      <w:r>
        <w:drawing>
          <wp:inline distT="0" distB="0" distL="114300" distR="114300">
            <wp:extent cx="3872865" cy="607060"/>
            <wp:effectExtent l="0" t="0" r="13335" b="2540"/>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94"/>
                    <a:stretch>
                      <a:fillRect/>
                    </a:stretch>
                  </pic:blipFill>
                  <pic:spPr>
                    <a:xfrm>
                      <a:off x="0" y="0"/>
                      <a:ext cx="3872865" cy="607060"/>
                    </a:xfrm>
                    <a:prstGeom prst="rect">
                      <a:avLst/>
                    </a:prstGeom>
                    <a:noFill/>
                    <a:ln>
                      <a:noFill/>
                    </a:ln>
                  </pic:spPr>
                </pic:pic>
              </a:graphicData>
            </a:graphic>
          </wp:inline>
        </w:drawing>
      </w:r>
    </w:p>
    <w:p w14:paraId="3C94D8A5">
      <w:pPr>
        <w:bidi w:val="0"/>
        <w:rPr>
          <w:rFonts w:hint="eastAsia"/>
          <w:lang w:val="en-US" w:eastAsia="zh-CN"/>
        </w:rPr>
      </w:pPr>
      <w:r>
        <w:rPr>
          <w:rFonts w:hint="eastAsia"/>
          <w:lang w:eastAsia="zh-CN"/>
        </w:rPr>
        <w:t>（</w:t>
      </w:r>
      <w:r>
        <w:rPr>
          <w:rFonts w:hint="eastAsia"/>
          <w:lang w:val="en-US" w:eastAsia="zh-CN"/>
        </w:rPr>
        <w:t>13</w:t>
      </w:r>
      <w:r>
        <w:rPr>
          <w:rFonts w:hint="eastAsia"/>
          <w:lang w:eastAsia="zh-CN"/>
        </w:rPr>
        <w:t>）</w:t>
      </w:r>
      <w:r>
        <w:rPr>
          <w:rFonts w:hint="eastAsia"/>
          <w:lang w:val="en-US" w:eastAsia="zh-CN"/>
        </w:rPr>
        <w:t>信用评审说明：显示在评委评审界面的一个说明文字；</w:t>
      </w:r>
    </w:p>
    <w:p w14:paraId="05FE07E8">
      <w:pPr>
        <w:bidi w:val="0"/>
        <w:rPr>
          <w:rFonts w:hint="default"/>
          <w:lang w:val="en-US" w:eastAsia="zh-CN"/>
        </w:rPr>
      </w:pPr>
      <w:r>
        <w:rPr>
          <w:rFonts w:hint="eastAsia"/>
          <w:lang w:val="en-US" w:eastAsia="zh-CN"/>
        </w:rPr>
        <w:t>（14）</w:t>
      </w:r>
      <w:r>
        <w:rPr>
          <w:rFonts w:hint="default"/>
          <w:lang w:val="en-US" w:eastAsia="zh-CN"/>
        </w:rPr>
        <w:t>价格分计算公式</w:t>
      </w:r>
      <w:r>
        <w:rPr>
          <w:rFonts w:hint="eastAsia"/>
          <w:lang w:val="en-US" w:eastAsia="zh-CN"/>
        </w:rPr>
        <w:t>：自行录入价格分计算公式。公式中用到的变量包括以下这些：</w:t>
      </w:r>
    </w:p>
    <w:p w14:paraId="2FE43904">
      <w:pPr>
        <w:bidi w:val="0"/>
        <w:rPr>
          <w:rFonts w:hint="eastAsia"/>
          <w:lang w:val="en-US" w:eastAsia="zh-CN"/>
        </w:rPr>
      </w:pPr>
      <w:r>
        <w:rPr>
          <w:rFonts w:hint="eastAsia"/>
          <w:lang w:val="en-US" w:eastAsia="zh-CN"/>
        </w:rPr>
        <w:t>T：投标人报价/下浮率/费率</w:t>
      </w:r>
    </w:p>
    <w:p w14:paraId="760B6F0D">
      <w:pPr>
        <w:bidi w:val="0"/>
        <w:rPr>
          <w:rFonts w:hint="eastAsia"/>
          <w:lang w:val="en-US" w:eastAsia="zh-CN"/>
        </w:rPr>
      </w:pPr>
      <w:r>
        <w:rPr>
          <w:rFonts w:hint="eastAsia"/>
          <w:lang w:val="en-US" w:eastAsia="zh-CN"/>
        </w:rPr>
        <w:t>D：基准评标价格/基准下浮率/基准费率</w:t>
      </w:r>
    </w:p>
    <w:p w14:paraId="6355E1E0">
      <w:pPr>
        <w:bidi w:val="0"/>
        <w:rPr>
          <w:rFonts w:hint="eastAsia"/>
          <w:lang w:val="en-US" w:eastAsia="zh-CN"/>
        </w:rPr>
      </w:pPr>
      <w:r>
        <w:rPr>
          <w:rFonts w:hint="eastAsia"/>
          <w:lang w:val="en-US" w:eastAsia="zh-CN"/>
        </w:rPr>
        <w:t>E：扣分因子</w:t>
      </w:r>
    </w:p>
    <w:p w14:paraId="7E8DDD28">
      <w:pPr>
        <w:bidi w:val="0"/>
        <w:rPr>
          <w:rFonts w:hint="eastAsia"/>
          <w:lang w:val="en-US" w:eastAsia="zh-CN"/>
        </w:rPr>
      </w:pPr>
      <w:r>
        <w:rPr>
          <w:rFonts w:hint="eastAsia"/>
          <w:lang w:val="en-US" w:eastAsia="zh-CN"/>
        </w:rPr>
        <w:t>A：投标人报价平均值</w:t>
      </w:r>
    </w:p>
    <w:p w14:paraId="23160F04">
      <w:pPr>
        <w:bidi w:val="0"/>
        <w:rPr>
          <w:rFonts w:hint="eastAsia"/>
          <w:lang w:val="en-US" w:eastAsia="zh-CN"/>
        </w:rPr>
      </w:pPr>
      <w:r>
        <w:rPr>
          <w:rFonts w:hint="eastAsia"/>
          <w:lang w:val="en-US" w:eastAsia="zh-CN"/>
        </w:rPr>
        <w:t>A1,A2,A3,A4,A5：投标人报价去掉一个(五个)最高值一个(五个)最低值后的平均值</w:t>
      </w:r>
    </w:p>
    <w:p w14:paraId="4D00FFA0">
      <w:pPr>
        <w:bidi w:val="0"/>
        <w:rPr>
          <w:rFonts w:hint="eastAsia"/>
          <w:lang w:val="en-US" w:eastAsia="zh-CN"/>
        </w:rPr>
      </w:pPr>
      <w:r>
        <w:rPr>
          <w:rFonts w:hint="eastAsia"/>
          <w:lang w:val="en-US" w:eastAsia="zh-CN"/>
        </w:rPr>
        <w:t>N：进入评审的投标人数量</w:t>
      </w:r>
    </w:p>
    <w:p w14:paraId="12F004F5">
      <w:pPr>
        <w:bidi w:val="0"/>
        <w:rPr>
          <w:rFonts w:hint="eastAsia"/>
          <w:lang w:val="en-US" w:eastAsia="zh-CN"/>
        </w:rPr>
      </w:pPr>
      <w:r>
        <w:rPr>
          <w:rFonts w:hint="eastAsia"/>
          <w:lang w:val="en-US" w:eastAsia="zh-CN"/>
        </w:rPr>
        <w:t>SumT：投标人报价总和</w:t>
      </w:r>
    </w:p>
    <w:p w14:paraId="2645F696">
      <w:pPr>
        <w:bidi w:val="0"/>
        <w:rPr>
          <w:rFonts w:hint="eastAsia"/>
          <w:lang w:val="en-US" w:eastAsia="zh-CN"/>
        </w:rPr>
      </w:pPr>
      <w:r>
        <w:rPr>
          <w:rFonts w:hint="eastAsia"/>
          <w:lang w:val="en-US" w:eastAsia="zh-CN"/>
        </w:rPr>
        <w:t>MinT：最低投标人报价</w:t>
      </w:r>
    </w:p>
    <w:p w14:paraId="1E1278D3">
      <w:pPr>
        <w:bidi w:val="0"/>
        <w:rPr>
          <w:rFonts w:hint="eastAsia"/>
          <w:lang w:val="en-US" w:eastAsia="zh-CN"/>
        </w:rPr>
      </w:pPr>
      <w:r>
        <w:rPr>
          <w:rFonts w:hint="eastAsia"/>
          <w:lang w:val="en-US" w:eastAsia="zh-CN"/>
        </w:rPr>
        <w:t>MaxT：最高投标人报价</w:t>
      </w:r>
    </w:p>
    <w:p w14:paraId="42FC0FA9">
      <w:pPr>
        <w:bidi w:val="0"/>
        <w:rPr>
          <w:rFonts w:hint="eastAsia"/>
          <w:lang w:val="en-US" w:eastAsia="zh-CN"/>
        </w:rPr>
      </w:pPr>
      <w:r>
        <w:rPr>
          <w:rFonts w:hint="eastAsia"/>
          <w:lang w:val="en-US" w:eastAsia="zh-CN"/>
        </w:rPr>
        <w:t>公式中的可用函数包括：</w:t>
      </w:r>
    </w:p>
    <w:p w14:paraId="20B47C5D">
      <w:pPr>
        <w:bidi w:val="0"/>
        <w:rPr>
          <w:rFonts w:hint="eastAsia"/>
          <w:lang w:val="en-US" w:eastAsia="zh-CN"/>
        </w:rPr>
      </w:pPr>
      <w:r>
        <w:rPr>
          <w:rFonts w:hint="eastAsia"/>
          <w:lang w:val="en-US" w:eastAsia="zh-CN"/>
        </w:rPr>
        <w:t>abs：绝对值，例如投标报价与基准价差额绝对值，abs(T-D)</w:t>
      </w:r>
    </w:p>
    <w:p w14:paraId="3456649F">
      <w:pPr>
        <w:bidi w:val="0"/>
        <w:rPr>
          <w:rFonts w:hint="eastAsia"/>
          <w:lang w:val="en-US" w:eastAsia="zh-CN"/>
        </w:rPr>
      </w:pPr>
      <w:r>
        <w:rPr>
          <w:rFonts w:hint="eastAsia"/>
          <w:lang w:val="en-US" w:eastAsia="zh-CN"/>
        </w:rPr>
        <w:t>sqrt：开平方根，例如投标报价开平方根，sqrt(T)</w:t>
      </w:r>
    </w:p>
    <w:p w14:paraId="026F47AF">
      <w:pPr>
        <w:bidi w:val="0"/>
        <w:rPr>
          <w:rFonts w:hint="eastAsia"/>
          <w:lang w:val="en-US" w:eastAsia="zh-CN"/>
        </w:rPr>
      </w:pPr>
      <w:r>
        <w:rPr>
          <w:rFonts w:hint="eastAsia"/>
          <w:lang w:val="en-US" w:eastAsia="zh-CN"/>
        </w:rPr>
        <w:t>pow：乘方，例如投标报价平方，pow(T,2)</w:t>
      </w:r>
    </w:p>
    <w:p w14:paraId="23A91D95">
      <w:pPr>
        <w:bidi w:val="0"/>
        <w:rPr>
          <w:rFonts w:hint="eastAsia"/>
          <w:lang w:val="en-US" w:eastAsia="zh-CN"/>
        </w:rPr>
      </w:pPr>
      <w:r>
        <w:rPr>
          <w:rFonts w:hint="eastAsia"/>
          <w:lang w:val="en-US" w:eastAsia="zh-CN"/>
        </w:rPr>
        <w:t>max：最大值，例如max(x1,x2,x3,...)</w:t>
      </w:r>
    </w:p>
    <w:p w14:paraId="52831389">
      <w:pPr>
        <w:bidi w:val="0"/>
        <w:rPr>
          <w:rFonts w:hint="eastAsia"/>
          <w:lang w:val="en-US" w:eastAsia="zh-CN"/>
        </w:rPr>
      </w:pPr>
      <w:r>
        <w:rPr>
          <w:rFonts w:hint="eastAsia"/>
          <w:lang w:val="en-US" w:eastAsia="zh-CN"/>
        </w:rPr>
        <w:t>min：最小值，例如min(x1,x2,x3,...)</w:t>
      </w:r>
    </w:p>
    <w:p w14:paraId="03828085">
      <w:pPr>
        <w:bidi w:val="0"/>
        <w:rPr>
          <w:rFonts w:hint="eastAsia"/>
          <w:lang w:val="en-US" w:eastAsia="zh-CN"/>
        </w:rPr>
      </w:pPr>
      <w:r>
        <w:rPr>
          <w:rFonts w:hint="eastAsia"/>
          <w:lang w:val="en-US" w:eastAsia="zh-CN"/>
        </w:rPr>
        <w:t>sum：求和，例如sum(x,y,...)</w:t>
      </w:r>
    </w:p>
    <w:p w14:paraId="0975FABF">
      <w:pPr>
        <w:bidi w:val="0"/>
        <w:rPr>
          <w:rFonts w:hint="eastAsia"/>
          <w:lang w:val="en-US" w:eastAsia="zh-CN"/>
        </w:rPr>
      </w:pPr>
      <w:r>
        <w:rPr>
          <w:rFonts w:hint="eastAsia"/>
          <w:lang w:val="en-US" w:eastAsia="zh-CN"/>
        </w:rPr>
        <w:t>avg：平均值，例如avg(x1,x2,x3,...)</w:t>
      </w:r>
    </w:p>
    <w:p w14:paraId="2B0DA4E6">
      <w:pPr>
        <w:bidi w:val="0"/>
        <w:rPr>
          <w:rFonts w:hint="eastAsia"/>
          <w:lang w:val="en-US" w:eastAsia="zh-CN"/>
        </w:rPr>
      </w:pPr>
      <w:r>
        <w:rPr>
          <w:rFonts w:hint="eastAsia"/>
          <w:lang w:val="en-US" w:eastAsia="zh-CN"/>
        </w:rPr>
        <w:t>3、技术、商务评分项录入</w:t>
      </w:r>
    </w:p>
    <w:p w14:paraId="45F94FFE">
      <w:pPr>
        <w:bidi w:val="0"/>
        <w:rPr>
          <w:rFonts w:hint="default"/>
          <w:lang w:val="en-US" w:eastAsia="zh-CN"/>
        </w:rPr>
      </w:pPr>
      <w:r>
        <w:rPr>
          <w:rFonts w:hint="eastAsia"/>
          <w:lang w:val="en-US" w:eastAsia="zh-CN"/>
        </w:rPr>
        <w:t>同房建市政类项目</w:t>
      </w:r>
    </w:p>
    <w:p w14:paraId="4837ACD5">
      <w:pPr>
        <w:bidi w:val="0"/>
        <w:rPr>
          <w:rFonts w:hint="eastAsia"/>
          <w:lang w:val="en-US" w:eastAsia="zh-CN"/>
        </w:rPr>
      </w:pPr>
      <w:r>
        <w:rPr>
          <w:rFonts w:hint="eastAsia"/>
          <w:lang w:val="en-US" w:eastAsia="zh-CN"/>
        </w:rPr>
        <w:t>（二）合理低价法</w:t>
      </w:r>
    </w:p>
    <w:p w14:paraId="296F573F">
      <w:pPr>
        <w:bidi w:val="0"/>
        <w:rPr>
          <w:rFonts w:hint="eastAsia"/>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473"/>
        <w:gridCol w:w="1239"/>
        <w:gridCol w:w="1097"/>
        <w:gridCol w:w="818"/>
        <w:gridCol w:w="3382"/>
      </w:tblGrid>
      <w:tr w14:paraId="1B374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13A02CC7">
            <w:pPr>
              <w:widowControl w:val="0"/>
              <w:bidi w:val="0"/>
              <w:jc w:val="both"/>
              <w:rPr>
                <w:rFonts w:hint="default"/>
                <w:lang w:val="en-US" w:eastAsia="zh-CN"/>
              </w:rPr>
            </w:pPr>
            <w:r>
              <w:rPr>
                <w:rFonts w:hint="eastAsia"/>
                <w:lang w:val="en-US" w:eastAsia="zh-CN"/>
              </w:rPr>
              <w:t>评分法</w:t>
            </w:r>
          </w:p>
        </w:tc>
        <w:tc>
          <w:tcPr>
            <w:tcW w:w="1824" w:type="dxa"/>
          </w:tcPr>
          <w:p w14:paraId="47922F10">
            <w:pPr>
              <w:widowControl w:val="0"/>
              <w:bidi w:val="0"/>
              <w:jc w:val="both"/>
              <w:rPr>
                <w:rFonts w:hint="default"/>
                <w:lang w:val="en-US" w:eastAsia="zh-CN"/>
              </w:rPr>
            </w:pPr>
            <w:r>
              <w:rPr>
                <w:rFonts w:hint="eastAsia"/>
                <w:lang w:val="en-US" w:eastAsia="zh-CN"/>
              </w:rPr>
              <w:t>价格分计算参数</w:t>
            </w:r>
          </w:p>
        </w:tc>
        <w:tc>
          <w:tcPr>
            <w:tcW w:w="1592" w:type="dxa"/>
          </w:tcPr>
          <w:p w14:paraId="33F8A23A">
            <w:pPr>
              <w:widowControl w:val="0"/>
              <w:bidi w:val="0"/>
              <w:jc w:val="both"/>
              <w:rPr>
                <w:rFonts w:hint="default"/>
                <w:lang w:val="en-US" w:eastAsia="zh-CN"/>
              </w:rPr>
            </w:pPr>
            <w:r>
              <w:rPr>
                <w:rFonts w:hint="eastAsia"/>
                <w:lang w:val="en-US" w:eastAsia="zh-CN"/>
              </w:rPr>
              <w:t>技术分</w:t>
            </w:r>
          </w:p>
        </w:tc>
        <w:tc>
          <w:tcPr>
            <w:tcW w:w="1386" w:type="dxa"/>
          </w:tcPr>
          <w:p w14:paraId="01071833">
            <w:pPr>
              <w:widowControl w:val="0"/>
              <w:bidi w:val="0"/>
              <w:jc w:val="both"/>
              <w:rPr>
                <w:rFonts w:hint="default"/>
                <w:lang w:val="en-US" w:eastAsia="zh-CN"/>
              </w:rPr>
            </w:pPr>
            <w:r>
              <w:rPr>
                <w:rFonts w:hint="eastAsia"/>
                <w:lang w:val="en-US" w:eastAsia="zh-CN"/>
              </w:rPr>
              <w:t>商务分</w:t>
            </w:r>
          </w:p>
        </w:tc>
        <w:tc>
          <w:tcPr>
            <w:tcW w:w="982" w:type="dxa"/>
          </w:tcPr>
          <w:p w14:paraId="42D6E104">
            <w:pPr>
              <w:widowControl w:val="0"/>
              <w:bidi w:val="0"/>
              <w:jc w:val="both"/>
              <w:rPr>
                <w:rFonts w:hint="default"/>
                <w:lang w:val="en-US" w:eastAsia="zh-CN"/>
              </w:rPr>
            </w:pPr>
            <w:r>
              <w:rPr>
                <w:rFonts w:hint="eastAsia"/>
                <w:lang w:val="en-US" w:eastAsia="zh-CN"/>
              </w:rPr>
              <w:t>信用分</w:t>
            </w:r>
          </w:p>
        </w:tc>
        <w:tc>
          <w:tcPr>
            <w:tcW w:w="4199" w:type="dxa"/>
          </w:tcPr>
          <w:p w14:paraId="31493722">
            <w:pPr>
              <w:widowControl w:val="0"/>
              <w:bidi w:val="0"/>
              <w:jc w:val="both"/>
              <w:rPr>
                <w:rFonts w:hint="default"/>
                <w:lang w:val="en-US" w:eastAsia="zh-CN"/>
              </w:rPr>
            </w:pPr>
            <w:r>
              <w:rPr>
                <w:rFonts w:hint="eastAsia"/>
                <w:lang w:val="en-US" w:eastAsia="zh-CN"/>
              </w:rPr>
              <w:t>价格分</w:t>
            </w:r>
          </w:p>
        </w:tc>
      </w:tr>
      <w:tr w14:paraId="5E49F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72AC5D5D">
            <w:pPr>
              <w:widowControl w:val="0"/>
              <w:bidi w:val="0"/>
              <w:jc w:val="both"/>
              <w:rPr>
                <w:rFonts w:hint="default"/>
                <w:lang w:val="en-US" w:eastAsia="zh-CN"/>
              </w:rPr>
            </w:pPr>
            <w:r>
              <w:rPr>
                <w:rFonts w:hint="eastAsia"/>
                <w:lang w:val="en-US" w:eastAsia="zh-CN"/>
              </w:rPr>
              <w:t>合理低价法</w:t>
            </w:r>
          </w:p>
        </w:tc>
        <w:tc>
          <w:tcPr>
            <w:tcW w:w="1824" w:type="dxa"/>
          </w:tcPr>
          <w:p w14:paraId="6539D122">
            <w:pPr>
              <w:widowControl w:val="0"/>
              <w:bidi w:val="0"/>
              <w:jc w:val="both"/>
              <w:rPr>
                <w:rFonts w:hint="eastAsia"/>
                <w:lang w:val="en-US" w:eastAsia="zh-CN"/>
              </w:rPr>
            </w:pPr>
            <w:r>
              <w:rPr>
                <w:rFonts w:hint="eastAsia"/>
                <w:lang w:val="en-US" w:eastAsia="zh-CN"/>
              </w:rPr>
              <w:t>下浮率报价：评标基准下浮率A计算方法：评委平均值、摇珠下浮率、评委及摇珠平均下浮率、投标人平均下浮率</w:t>
            </w:r>
          </w:p>
          <w:p w14:paraId="0F8A2D94">
            <w:pPr>
              <w:widowControl w:val="0"/>
              <w:bidi w:val="0"/>
              <w:jc w:val="both"/>
              <w:rPr>
                <w:rFonts w:hint="eastAsia"/>
                <w:lang w:val="en-US" w:eastAsia="zh-CN"/>
              </w:rPr>
            </w:pPr>
          </w:p>
          <w:p w14:paraId="359CBAF2">
            <w:pPr>
              <w:widowControl w:val="0"/>
              <w:bidi w:val="0"/>
              <w:jc w:val="both"/>
              <w:rPr>
                <w:rFonts w:hint="default"/>
                <w:lang w:val="en-US" w:eastAsia="zh-CN"/>
              </w:rPr>
            </w:pPr>
            <w:r>
              <w:rPr>
                <w:rFonts w:hint="eastAsia"/>
                <w:lang w:val="en-US" w:eastAsia="zh-CN"/>
              </w:rPr>
              <w:t>自定义计算（非施工类）</w:t>
            </w:r>
          </w:p>
        </w:tc>
        <w:tc>
          <w:tcPr>
            <w:tcW w:w="1592" w:type="dxa"/>
          </w:tcPr>
          <w:p w14:paraId="649AA87C">
            <w:pPr>
              <w:widowControl w:val="0"/>
              <w:bidi w:val="0"/>
              <w:jc w:val="both"/>
              <w:rPr>
                <w:rFonts w:hint="default"/>
                <w:lang w:val="en-US" w:eastAsia="zh-CN"/>
              </w:rPr>
            </w:pPr>
            <w:r>
              <w:rPr>
                <w:rFonts w:hint="eastAsia"/>
                <w:lang w:val="en-US" w:eastAsia="zh-CN"/>
              </w:rPr>
              <w:t>无</w:t>
            </w:r>
          </w:p>
        </w:tc>
        <w:tc>
          <w:tcPr>
            <w:tcW w:w="1386" w:type="dxa"/>
          </w:tcPr>
          <w:p w14:paraId="772B1E85">
            <w:pPr>
              <w:widowControl w:val="0"/>
              <w:bidi w:val="0"/>
              <w:jc w:val="both"/>
              <w:rPr>
                <w:rFonts w:hint="default"/>
                <w:lang w:val="en-US" w:eastAsia="zh-CN"/>
              </w:rPr>
            </w:pPr>
            <w:r>
              <w:rPr>
                <w:rFonts w:hint="eastAsia"/>
                <w:lang w:val="en-US" w:eastAsia="zh-CN"/>
              </w:rPr>
              <w:t>无</w:t>
            </w:r>
          </w:p>
        </w:tc>
        <w:tc>
          <w:tcPr>
            <w:tcW w:w="982" w:type="dxa"/>
          </w:tcPr>
          <w:p w14:paraId="06417411">
            <w:pPr>
              <w:widowControl w:val="0"/>
              <w:bidi w:val="0"/>
              <w:jc w:val="both"/>
              <w:rPr>
                <w:rFonts w:hint="default"/>
                <w:lang w:val="en-US" w:eastAsia="zh-CN"/>
              </w:rPr>
            </w:pPr>
            <w:r>
              <w:rPr>
                <w:rFonts w:hint="eastAsia"/>
                <w:lang w:val="en-US" w:eastAsia="zh-CN"/>
              </w:rPr>
              <w:t>配置</w:t>
            </w:r>
          </w:p>
        </w:tc>
        <w:tc>
          <w:tcPr>
            <w:tcW w:w="4199" w:type="dxa"/>
          </w:tcPr>
          <w:p w14:paraId="0AB5D923">
            <w:pPr>
              <w:widowControl w:val="0"/>
              <w:bidi w:val="0"/>
              <w:jc w:val="both"/>
              <w:rPr>
                <w:rFonts w:hint="eastAsia"/>
                <w:lang w:val="en-US" w:eastAsia="zh-CN"/>
              </w:rPr>
            </w:pPr>
            <w:r>
              <w:rPr>
                <w:rFonts w:hint="eastAsia"/>
                <w:lang w:val="en-US" w:eastAsia="zh-CN"/>
              </w:rPr>
              <w:t>评标基准下浮率为A，投标人投标报价下浮率B（有效投标报价下浮率范围为≥0.000%，保留小数点后3位）投标报价得分计算系数为C（C取值范围为100-400）。投标报价得分为：配置价格分数-｜B-A｜×C（精确到小数点后3位）。</w:t>
            </w:r>
          </w:p>
          <w:p w14:paraId="26280E30">
            <w:pPr>
              <w:widowControl w:val="0"/>
              <w:bidi w:val="0"/>
              <w:jc w:val="both"/>
              <w:rPr>
                <w:rFonts w:hint="eastAsia"/>
                <w:lang w:val="en-US" w:eastAsia="zh-CN"/>
              </w:rPr>
            </w:pPr>
          </w:p>
          <w:p w14:paraId="1F52E6B1">
            <w:pPr>
              <w:widowControl w:val="0"/>
              <w:bidi w:val="0"/>
              <w:jc w:val="both"/>
              <w:rPr>
                <w:rFonts w:hint="eastAsia"/>
                <w:lang w:val="en-US" w:eastAsia="zh-CN"/>
              </w:rPr>
            </w:pPr>
            <w:r>
              <w:rPr>
                <w:rFonts w:hint="eastAsia"/>
                <w:lang w:val="en-US" w:eastAsia="zh-CN"/>
              </w:rPr>
              <w:t>自定义计算的价格分计算：</w:t>
            </w:r>
          </w:p>
          <w:p w14:paraId="14FB72A3">
            <w:pPr>
              <w:widowControl w:val="0"/>
              <w:bidi w:val="0"/>
              <w:jc w:val="both"/>
              <w:rPr>
                <w:rFonts w:hint="default"/>
                <w:lang w:val="en-US" w:eastAsia="zh-CN"/>
              </w:rPr>
            </w:pPr>
            <w:r>
              <w:rPr>
                <w:rFonts w:hint="eastAsia"/>
                <w:lang w:val="en-US" w:eastAsia="zh-CN"/>
              </w:rPr>
              <w:t>基准下浮率由评委计算并录入，然后根据代理配置的计算公式，自动进行系统试算</w:t>
            </w:r>
          </w:p>
        </w:tc>
      </w:tr>
    </w:tbl>
    <w:p w14:paraId="0AE6813A">
      <w:pPr>
        <w:bidi w:val="0"/>
        <w:rPr>
          <w:rFonts w:hint="eastAsia"/>
          <w:lang w:val="en-US" w:eastAsia="zh-CN"/>
        </w:rPr>
      </w:pPr>
    </w:p>
    <w:p w14:paraId="704801C2">
      <w:pPr>
        <w:bidi w:val="0"/>
        <w:rPr>
          <w:rFonts w:hint="default"/>
          <w:lang w:val="en-US" w:eastAsia="zh-CN"/>
        </w:rPr>
      </w:pPr>
      <w:r>
        <w:rPr>
          <w:rFonts w:hint="eastAsia"/>
          <w:lang w:val="en-US" w:eastAsia="zh-CN"/>
        </w:rPr>
        <w:t>评标基准下浮率A计算方法：同综合评分法</w:t>
      </w:r>
    </w:p>
    <w:p w14:paraId="592210A6">
      <w:pPr>
        <w:bidi w:val="0"/>
        <w:rPr>
          <w:rFonts w:hint="eastAsia"/>
          <w:lang w:val="en-US" w:eastAsia="zh-CN"/>
        </w:rPr>
      </w:pPr>
      <w:r>
        <w:rPr>
          <w:rFonts w:hint="eastAsia"/>
          <w:lang w:val="en-US" w:eastAsia="zh-CN"/>
        </w:rPr>
        <w:t>2、评分参数配置录入</w:t>
      </w:r>
    </w:p>
    <w:p w14:paraId="78BC2580">
      <w:pPr>
        <w:bidi w:val="0"/>
      </w:pPr>
      <w:r>
        <w:drawing>
          <wp:inline distT="0" distB="0" distL="114300" distR="114300">
            <wp:extent cx="6645910" cy="2776220"/>
            <wp:effectExtent l="0" t="0" r="13970" b="1270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95"/>
                    <a:stretch>
                      <a:fillRect/>
                    </a:stretch>
                  </pic:blipFill>
                  <pic:spPr>
                    <a:xfrm>
                      <a:off x="0" y="0"/>
                      <a:ext cx="6645910" cy="2776220"/>
                    </a:xfrm>
                    <a:prstGeom prst="rect">
                      <a:avLst/>
                    </a:prstGeom>
                    <a:noFill/>
                    <a:ln>
                      <a:noFill/>
                    </a:ln>
                  </pic:spPr>
                </pic:pic>
              </a:graphicData>
            </a:graphic>
          </wp:inline>
        </w:drawing>
      </w:r>
    </w:p>
    <w:p w14:paraId="6461123F">
      <w:pPr>
        <w:bidi w:val="0"/>
        <w:rPr>
          <w:rFonts w:hint="default"/>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评分办法：选“合理最低评标法”；</w:t>
      </w:r>
    </w:p>
    <w:p w14:paraId="0E1ED4A2">
      <w:pPr>
        <w:bidi w:val="0"/>
        <w:rPr>
          <w:rFonts w:hint="eastAsia"/>
          <w:lang w:val="en-US" w:eastAsia="zh-CN"/>
        </w:rPr>
      </w:pPr>
      <w:r>
        <w:rPr>
          <w:rFonts w:hint="eastAsia"/>
          <w:lang w:eastAsia="zh-CN"/>
        </w:rPr>
        <w:t>（</w:t>
      </w:r>
      <w:r>
        <w:rPr>
          <w:rFonts w:hint="eastAsia"/>
          <w:lang w:val="en-US" w:eastAsia="zh-CN"/>
        </w:rPr>
        <w:t>2</w:t>
      </w:r>
      <w:r>
        <w:rPr>
          <w:rFonts w:hint="eastAsia"/>
          <w:lang w:eastAsia="zh-CN"/>
        </w:rPr>
        <w:t>）</w:t>
      </w:r>
      <w:r>
        <w:rPr>
          <w:rFonts w:hint="eastAsia"/>
          <w:lang w:val="en-US" w:eastAsia="zh-CN"/>
        </w:rPr>
        <w:t>价格类型：下浮率</w:t>
      </w:r>
    </w:p>
    <w:p w14:paraId="250C3C49">
      <w:pPr>
        <w:bidi w:val="0"/>
        <w:rPr>
          <w:rFonts w:hint="default"/>
          <w:lang w:val="en-US" w:eastAsia="zh-CN"/>
        </w:rPr>
      </w:pPr>
      <w:r>
        <w:rPr>
          <w:rFonts w:hint="eastAsia"/>
          <w:lang w:val="en-US" w:eastAsia="zh-CN"/>
        </w:rPr>
        <w:t>（3）是否限制评审数量：可选“是”，如果选“是”，则需要填写“进入评审数量”。会根据投标下浮率与基准下浮率的差值（绝对值）进行排序，按最接近基准下浮率的优先进入评审。</w:t>
      </w:r>
    </w:p>
    <w:p w14:paraId="2EC57DC5">
      <w:pPr>
        <w:bidi w:val="0"/>
        <w:rPr>
          <w:rFonts w:hint="eastAsia"/>
          <w:lang w:val="en-US" w:eastAsia="zh-CN"/>
        </w:rPr>
      </w:pPr>
      <w:r>
        <w:rPr>
          <w:rFonts w:hint="eastAsia"/>
          <w:lang w:val="en-US" w:eastAsia="zh-CN"/>
        </w:rPr>
        <w:t>（4）价格分、信用分：相加为100分</w:t>
      </w:r>
    </w:p>
    <w:p w14:paraId="530C3580">
      <w:pPr>
        <w:bidi w:val="0"/>
        <w:rPr>
          <w:rFonts w:hint="default"/>
          <w:lang w:val="en-US" w:eastAsia="zh-CN"/>
        </w:rPr>
      </w:pPr>
      <w:r>
        <w:rPr>
          <w:rFonts w:hint="eastAsia"/>
          <w:lang w:val="en-US" w:eastAsia="zh-CN"/>
        </w:rPr>
        <w:t>（5）商务分是否包含价格分：选否；</w:t>
      </w:r>
    </w:p>
    <w:p w14:paraId="50D606E8">
      <w:pPr>
        <w:bidi w:val="0"/>
        <w:rPr>
          <w:rFonts w:hint="default"/>
          <w:lang w:val="en-US" w:eastAsia="zh-CN"/>
        </w:rPr>
      </w:pPr>
      <w:r>
        <w:rPr>
          <w:rFonts w:hint="eastAsia"/>
          <w:lang w:val="en-US" w:eastAsia="zh-CN"/>
        </w:rPr>
        <w:t>（6）基准下浮率计算：评委平均下浮率、摇珠下浮率、评委及摇珠平均下浮率、投标人平均下浮率、自定义计算</w:t>
      </w:r>
    </w:p>
    <w:p w14:paraId="55784EB1">
      <w:pPr>
        <w:bidi w:val="0"/>
        <w:rPr>
          <w:rFonts w:hint="eastAsia"/>
          <w:lang w:val="en-US" w:eastAsia="zh-CN"/>
        </w:rPr>
      </w:pPr>
      <w:r>
        <w:rPr>
          <w:rFonts w:hint="eastAsia"/>
          <w:lang w:val="en-US" w:eastAsia="zh-CN"/>
        </w:rPr>
        <w:t>（7）报价得分计算系数：见价格分计算中的“报价得分计算系数”，有100,200,300,400选择；</w:t>
      </w:r>
    </w:p>
    <w:p w14:paraId="4ECA7BFE">
      <w:pPr>
        <w:bidi w:val="0"/>
        <w:rPr>
          <w:rFonts w:hint="eastAsia"/>
          <w:lang w:val="en-US" w:eastAsia="zh-CN"/>
        </w:rPr>
      </w:pPr>
      <w:r>
        <w:rPr>
          <w:rFonts w:hint="eastAsia"/>
          <w:lang w:val="en-US" w:eastAsia="zh-CN"/>
        </w:rPr>
        <w:t>（8）号球数：摇珠方式抽取下浮率时，有多少个号球；</w:t>
      </w:r>
    </w:p>
    <w:p w14:paraId="32B3F581">
      <w:pPr>
        <w:bidi w:val="0"/>
        <w:rPr>
          <w:rFonts w:hint="eastAsia"/>
          <w:lang w:val="en-US" w:eastAsia="zh-CN"/>
        </w:rPr>
      </w:pPr>
      <w:r>
        <w:rPr>
          <w:rFonts w:hint="eastAsia"/>
          <w:lang w:val="en-US" w:eastAsia="zh-CN"/>
        </w:rPr>
        <w:t>（9）提出下浮系数低值、提出下浮系数高值：评委提出下浮率的最低值和最高值；</w:t>
      </w:r>
    </w:p>
    <w:p w14:paraId="3ACE3ADC">
      <w:pPr>
        <w:bidi w:val="0"/>
        <w:rPr>
          <w:rFonts w:hint="eastAsia"/>
          <w:lang w:val="en-US" w:eastAsia="zh-CN"/>
        </w:rPr>
      </w:pPr>
      <w:r>
        <w:rPr>
          <w:rFonts w:hint="eastAsia"/>
          <w:lang w:val="en-US" w:eastAsia="zh-CN"/>
        </w:rPr>
        <w:t>（10）抽取下浮系数低值：抽取下浮率时，第一个号球代表的系数；</w:t>
      </w:r>
    </w:p>
    <w:p w14:paraId="0E727BD7">
      <w:pPr>
        <w:bidi w:val="0"/>
        <w:rPr>
          <w:rFonts w:hint="eastAsia"/>
          <w:lang w:val="en-US" w:eastAsia="zh-CN"/>
        </w:rPr>
      </w:pPr>
      <w:r>
        <w:rPr>
          <w:rFonts w:hint="eastAsia"/>
          <w:lang w:val="en-US" w:eastAsia="zh-CN"/>
        </w:rPr>
        <w:t>（11）抽取下浮系数高值：抽取下浮率时，最后一个号球代表的系数；</w:t>
      </w:r>
    </w:p>
    <w:p w14:paraId="640DD553">
      <w:pPr>
        <w:bidi w:val="0"/>
        <w:rPr>
          <w:rFonts w:hint="eastAsia"/>
          <w:lang w:val="en-US" w:eastAsia="zh-CN"/>
        </w:rPr>
      </w:pPr>
      <w:r>
        <w:rPr>
          <w:rFonts w:hint="eastAsia"/>
          <w:lang w:eastAsia="zh-CN"/>
        </w:rPr>
        <w:t>（</w:t>
      </w:r>
      <w:r>
        <w:rPr>
          <w:rFonts w:hint="eastAsia"/>
          <w:lang w:val="en-US" w:eastAsia="zh-CN"/>
        </w:rPr>
        <w:t>12</w:t>
      </w:r>
      <w:r>
        <w:rPr>
          <w:rFonts w:hint="eastAsia"/>
          <w:lang w:eastAsia="zh-CN"/>
        </w:rPr>
        <w:t>）</w:t>
      </w:r>
      <w:r>
        <w:rPr>
          <w:rFonts w:hint="eastAsia"/>
          <w:lang w:val="en-US" w:eastAsia="zh-CN"/>
        </w:rPr>
        <w:t>信用评审说明：显示在评委评审界面的一个说明文字；</w:t>
      </w:r>
    </w:p>
    <w:p w14:paraId="59C465F8">
      <w:pPr>
        <w:bidi w:val="0"/>
        <w:rPr>
          <w:rFonts w:hint="default"/>
          <w:lang w:val="en-US" w:eastAsia="zh-CN"/>
        </w:rPr>
      </w:pPr>
      <w:r>
        <w:rPr>
          <w:rFonts w:hint="eastAsia"/>
          <w:lang w:val="en-US" w:eastAsia="zh-CN"/>
        </w:rPr>
        <w:t>（13）</w:t>
      </w:r>
      <w:r>
        <w:rPr>
          <w:rFonts w:hint="default"/>
          <w:lang w:val="en-US" w:eastAsia="zh-CN"/>
        </w:rPr>
        <w:t>价格分计算公式</w:t>
      </w:r>
      <w:r>
        <w:rPr>
          <w:rFonts w:hint="eastAsia"/>
          <w:lang w:val="en-US" w:eastAsia="zh-CN"/>
        </w:rPr>
        <w:t>：自行录入价格分计算公式。公式中用到的变量包括以下这些：</w:t>
      </w:r>
    </w:p>
    <w:p w14:paraId="408F4AFF">
      <w:pPr>
        <w:bidi w:val="0"/>
        <w:rPr>
          <w:rFonts w:hint="default"/>
          <w:lang w:val="en-US" w:eastAsia="zh-CN"/>
        </w:rPr>
      </w:pPr>
      <w:r>
        <w:rPr>
          <w:rFonts w:hint="default"/>
          <w:lang w:val="en-US" w:eastAsia="zh-CN"/>
        </w:rPr>
        <w:t>T：投标人报价/下浮率/费率</w:t>
      </w:r>
    </w:p>
    <w:p w14:paraId="3D763A71">
      <w:pPr>
        <w:bidi w:val="0"/>
        <w:rPr>
          <w:rFonts w:hint="default"/>
          <w:lang w:val="en-US" w:eastAsia="zh-CN"/>
        </w:rPr>
      </w:pPr>
      <w:r>
        <w:rPr>
          <w:rFonts w:hint="default"/>
          <w:lang w:val="en-US" w:eastAsia="zh-CN"/>
        </w:rPr>
        <w:t>D：基准评标价格/基准下浮率/基准费率</w:t>
      </w:r>
    </w:p>
    <w:p w14:paraId="14CF5709">
      <w:pPr>
        <w:bidi w:val="0"/>
        <w:rPr>
          <w:rFonts w:hint="default"/>
          <w:lang w:val="en-US" w:eastAsia="zh-CN"/>
        </w:rPr>
      </w:pPr>
      <w:r>
        <w:rPr>
          <w:rFonts w:hint="default"/>
          <w:lang w:val="en-US" w:eastAsia="zh-CN"/>
        </w:rPr>
        <w:t>E：扣分因子</w:t>
      </w:r>
    </w:p>
    <w:p w14:paraId="7D772245">
      <w:pPr>
        <w:bidi w:val="0"/>
        <w:rPr>
          <w:rFonts w:hint="default"/>
          <w:lang w:val="en-US" w:eastAsia="zh-CN"/>
        </w:rPr>
      </w:pPr>
      <w:r>
        <w:rPr>
          <w:rFonts w:hint="default"/>
          <w:lang w:val="en-US" w:eastAsia="zh-CN"/>
        </w:rPr>
        <w:t>A：投标人报价平均值</w:t>
      </w:r>
    </w:p>
    <w:p w14:paraId="310560BF">
      <w:pPr>
        <w:bidi w:val="0"/>
        <w:rPr>
          <w:rFonts w:hint="default"/>
          <w:lang w:val="en-US" w:eastAsia="zh-CN"/>
        </w:rPr>
      </w:pPr>
      <w:r>
        <w:rPr>
          <w:rFonts w:hint="default"/>
          <w:lang w:val="en-US" w:eastAsia="zh-CN"/>
        </w:rPr>
        <w:t>A1,A2,A3,A4,A5：投标人报价去掉一个(五个)最高值一个(五个)最低值后的平均值</w:t>
      </w:r>
    </w:p>
    <w:p w14:paraId="634371EE">
      <w:pPr>
        <w:bidi w:val="0"/>
        <w:rPr>
          <w:rFonts w:hint="default"/>
          <w:lang w:val="en-US" w:eastAsia="zh-CN"/>
        </w:rPr>
      </w:pPr>
      <w:r>
        <w:rPr>
          <w:rFonts w:hint="default"/>
          <w:lang w:val="en-US" w:eastAsia="zh-CN"/>
        </w:rPr>
        <w:t>N：进入评审的投标人数量</w:t>
      </w:r>
    </w:p>
    <w:p w14:paraId="4AE82878">
      <w:pPr>
        <w:bidi w:val="0"/>
        <w:rPr>
          <w:rFonts w:hint="default"/>
          <w:lang w:val="en-US" w:eastAsia="zh-CN"/>
        </w:rPr>
      </w:pPr>
      <w:r>
        <w:rPr>
          <w:rFonts w:hint="default"/>
          <w:lang w:val="en-US" w:eastAsia="zh-CN"/>
        </w:rPr>
        <w:t>SumT：投标人报价总和</w:t>
      </w:r>
    </w:p>
    <w:p w14:paraId="5C29E2CF">
      <w:pPr>
        <w:bidi w:val="0"/>
        <w:rPr>
          <w:rFonts w:hint="default"/>
          <w:lang w:val="en-US" w:eastAsia="zh-CN"/>
        </w:rPr>
      </w:pPr>
      <w:r>
        <w:rPr>
          <w:rFonts w:hint="default"/>
          <w:lang w:val="en-US" w:eastAsia="zh-CN"/>
        </w:rPr>
        <w:t>MinT：最低投标人报价</w:t>
      </w:r>
    </w:p>
    <w:p w14:paraId="3214E1B0">
      <w:pPr>
        <w:bidi w:val="0"/>
        <w:rPr>
          <w:rFonts w:hint="default"/>
          <w:lang w:val="en-US" w:eastAsia="zh-CN"/>
        </w:rPr>
      </w:pPr>
      <w:r>
        <w:rPr>
          <w:rFonts w:hint="default"/>
          <w:lang w:val="en-US" w:eastAsia="zh-CN"/>
        </w:rPr>
        <w:t>MaxT：最高投标人报价</w:t>
      </w:r>
    </w:p>
    <w:p w14:paraId="461330A3">
      <w:pPr>
        <w:bidi w:val="0"/>
        <w:rPr>
          <w:rFonts w:hint="default"/>
          <w:lang w:val="en-US" w:eastAsia="zh-CN"/>
        </w:rPr>
      </w:pPr>
      <w:r>
        <w:rPr>
          <w:rFonts w:hint="default"/>
          <w:lang w:val="en-US" w:eastAsia="zh-CN"/>
        </w:rPr>
        <w:t>公式中的可用函数包括：</w:t>
      </w:r>
    </w:p>
    <w:p w14:paraId="67DF0C55">
      <w:pPr>
        <w:bidi w:val="0"/>
        <w:rPr>
          <w:rFonts w:hint="default"/>
          <w:lang w:val="en-US" w:eastAsia="zh-CN"/>
        </w:rPr>
      </w:pPr>
      <w:r>
        <w:rPr>
          <w:rFonts w:hint="default"/>
          <w:lang w:val="en-US" w:eastAsia="zh-CN"/>
        </w:rPr>
        <w:t>abs：绝对值，例如投标报价与基准价差额绝对值，abs(T-D)</w:t>
      </w:r>
    </w:p>
    <w:p w14:paraId="52FCA2A3">
      <w:pPr>
        <w:bidi w:val="0"/>
        <w:rPr>
          <w:rFonts w:hint="default"/>
          <w:lang w:val="en-US" w:eastAsia="zh-CN"/>
        </w:rPr>
      </w:pPr>
      <w:r>
        <w:rPr>
          <w:rFonts w:hint="default"/>
          <w:lang w:val="en-US" w:eastAsia="zh-CN"/>
        </w:rPr>
        <w:t>sqrt：开平方根，例如投标报价开平方根，sqrt(T)</w:t>
      </w:r>
    </w:p>
    <w:p w14:paraId="7DFE7732">
      <w:pPr>
        <w:bidi w:val="0"/>
        <w:rPr>
          <w:rFonts w:hint="default"/>
          <w:lang w:val="en-US" w:eastAsia="zh-CN"/>
        </w:rPr>
      </w:pPr>
      <w:r>
        <w:rPr>
          <w:rFonts w:hint="default"/>
          <w:lang w:val="en-US" w:eastAsia="zh-CN"/>
        </w:rPr>
        <w:t>pow：乘方，例如投标报价平方，pow(T,2)</w:t>
      </w:r>
    </w:p>
    <w:p w14:paraId="03D43877">
      <w:pPr>
        <w:bidi w:val="0"/>
        <w:rPr>
          <w:rFonts w:hint="default"/>
          <w:lang w:val="en-US" w:eastAsia="zh-CN"/>
        </w:rPr>
      </w:pPr>
      <w:r>
        <w:rPr>
          <w:rFonts w:hint="default"/>
          <w:lang w:val="en-US" w:eastAsia="zh-CN"/>
        </w:rPr>
        <w:t>max：最大值，例如max(x1,x2,x3,...)</w:t>
      </w:r>
    </w:p>
    <w:p w14:paraId="31445430">
      <w:pPr>
        <w:bidi w:val="0"/>
        <w:rPr>
          <w:rFonts w:hint="default"/>
          <w:lang w:val="en-US" w:eastAsia="zh-CN"/>
        </w:rPr>
      </w:pPr>
      <w:r>
        <w:rPr>
          <w:rFonts w:hint="default"/>
          <w:lang w:val="en-US" w:eastAsia="zh-CN"/>
        </w:rPr>
        <w:t>min：最小值，例如min(x1,x2,x3,...)</w:t>
      </w:r>
    </w:p>
    <w:p w14:paraId="62782096">
      <w:pPr>
        <w:bidi w:val="0"/>
        <w:rPr>
          <w:rFonts w:hint="default"/>
          <w:lang w:val="en-US" w:eastAsia="zh-CN"/>
        </w:rPr>
      </w:pPr>
      <w:r>
        <w:rPr>
          <w:rFonts w:hint="default"/>
          <w:lang w:val="en-US" w:eastAsia="zh-CN"/>
        </w:rPr>
        <w:t>sum：求和，例如sum(x,y,...)</w:t>
      </w:r>
    </w:p>
    <w:p w14:paraId="1F5CAD22">
      <w:pPr>
        <w:bidi w:val="0"/>
        <w:rPr>
          <w:rFonts w:hint="default"/>
          <w:lang w:val="en-US" w:eastAsia="zh-CN"/>
        </w:rPr>
      </w:pPr>
      <w:r>
        <w:rPr>
          <w:rFonts w:hint="default"/>
          <w:lang w:val="en-US" w:eastAsia="zh-CN"/>
        </w:rPr>
        <w:t>avg：平均值，例如avg(x1,x2,x3,...)</w:t>
      </w:r>
    </w:p>
    <w:p w14:paraId="25D75B3B">
      <w:pPr>
        <w:bidi w:val="0"/>
        <w:rPr>
          <w:rFonts w:hint="eastAsia"/>
          <w:lang w:val="en-US" w:eastAsia="zh-CN"/>
        </w:rPr>
      </w:pPr>
      <w:r>
        <w:rPr>
          <w:rFonts w:hint="eastAsia"/>
          <w:lang w:val="en-US" w:eastAsia="zh-CN"/>
        </w:rPr>
        <w:t>3、技术评审项目录入</w:t>
      </w:r>
    </w:p>
    <w:p w14:paraId="0506E4C7">
      <w:pPr>
        <w:bidi w:val="0"/>
      </w:pPr>
      <w:r>
        <w:drawing>
          <wp:inline distT="0" distB="0" distL="114300" distR="114300">
            <wp:extent cx="6635750" cy="781685"/>
            <wp:effectExtent l="0" t="0" r="8890" b="1079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96"/>
                    <a:stretch>
                      <a:fillRect/>
                    </a:stretch>
                  </pic:blipFill>
                  <pic:spPr>
                    <a:xfrm>
                      <a:off x="0" y="0"/>
                      <a:ext cx="6635750" cy="781685"/>
                    </a:xfrm>
                    <a:prstGeom prst="rect">
                      <a:avLst/>
                    </a:prstGeom>
                    <a:noFill/>
                    <a:ln>
                      <a:noFill/>
                    </a:ln>
                  </pic:spPr>
                </pic:pic>
              </a:graphicData>
            </a:graphic>
          </wp:inline>
        </w:drawing>
      </w:r>
    </w:p>
    <w:p w14:paraId="385FBD62">
      <w:pPr>
        <w:bidi w:val="0"/>
        <w:rPr>
          <w:rFonts w:hint="default"/>
          <w:lang w:val="en-US" w:eastAsia="zh-CN"/>
        </w:rPr>
      </w:pPr>
    </w:p>
    <w:p w14:paraId="32EC4327">
      <w:pPr>
        <w:bidi w:val="0"/>
        <w:rPr>
          <w:rFonts w:hint="eastAsia"/>
          <w:lang w:val="en-US" w:eastAsia="zh-CN"/>
        </w:rPr>
      </w:pPr>
      <w:r>
        <w:rPr>
          <w:rFonts w:hint="eastAsia"/>
          <w:lang w:val="en-US" w:eastAsia="zh-CN"/>
        </w:rPr>
        <w:t>技术评审项目，是指投标人需要满足的技术评审项目，投标人需要全部通过这些评审项目，才能进入最终的价格评审。可以新增多条技术评审项目。</w:t>
      </w:r>
    </w:p>
    <w:p w14:paraId="5E41AB6E">
      <w:pPr>
        <w:bidi w:val="0"/>
        <w:rPr>
          <w:rFonts w:hint="default"/>
          <w:lang w:val="en-US" w:eastAsia="zh-CN"/>
        </w:rPr>
      </w:pPr>
      <w:r>
        <w:rPr>
          <w:rFonts w:hint="eastAsia"/>
          <w:lang w:val="en-US" w:eastAsia="zh-CN"/>
        </w:rPr>
        <w:t>三、公路类</w:t>
      </w:r>
    </w:p>
    <w:p w14:paraId="778B44A3">
      <w:pPr>
        <w:bidi w:val="0"/>
        <w:rPr>
          <w:rFonts w:hint="eastAsia"/>
          <w:lang w:val="en-US" w:eastAsia="zh-CN"/>
        </w:rPr>
      </w:pPr>
      <w:r>
        <w:rPr>
          <w:rFonts w:hint="eastAsia"/>
          <w:lang w:val="en-US" w:eastAsia="zh-CN"/>
        </w:rPr>
        <w:t>（一）双信封综合评分法</w:t>
      </w:r>
    </w:p>
    <w:p w14:paraId="3D9CFF8F">
      <w:pPr>
        <w:bidi w:val="0"/>
        <w:rPr>
          <w:rFonts w:hint="default"/>
          <w:lang w:val="en-US" w:eastAsia="zh-CN"/>
        </w:rPr>
      </w:pPr>
      <w:r>
        <w:rPr>
          <w:rFonts w:hint="eastAsia"/>
          <w:lang w:val="en-US" w:eastAsia="zh-CN"/>
        </w:rPr>
        <w:t>1、评分计算方法</w:t>
      </w:r>
    </w:p>
    <w:p w14:paraId="63EDADE9">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707"/>
        <w:gridCol w:w="1155"/>
        <w:gridCol w:w="1039"/>
        <w:gridCol w:w="4106"/>
      </w:tblGrid>
      <w:tr w14:paraId="5F160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E88699E">
            <w:pPr>
              <w:widowControl w:val="0"/>
              <w:bidi w:val="0"/>
              <w:jc w:val="both"/>
              <w:rPr>
                <w:rFonts w:hint="default"/>
                <w:lang w:val="en-US" w:eastAsia="zh-CN"/>
              </w:rPr>
            </w:pPr>
            <w:r>
              <w:rPr>
                <w:rFonts w:hint="eastAsia"/>
                <w:lang w:val="en-US" w:eastAsia="zh-CN"/>
              </w:rPr>
              <w:t>评分法</w:t>
            </w:r>
          </w:p>
        </w:tc>
        <w:tc>
          <w:tcPr>
            <w:tcW w:w="2118" w:type="dxa"/>
          </w:tcPr>
          <w:p w14:paraId="2E862907">
            <w:pPr>
              <w:widowControl w:val="0"/>
              <w:bidi w:val="0"/>
              <w:jc w:val="both"/>
              <w:rPr>
                <w:rFonts w:hint="default"/>
                <w:lang w:val="en-US" w:eastAsia="zh-CN"/>
              </w:rPr>
            </w:pPr>
            <w:r>
              <w:rPr>
                <w:rFonts w:hint="eastAsia"/>
                <w:lang w:val="en-US" w:eastAsia="zh-CN"/>
              </w:rPr>
              <w:t>价格分计算参数</w:t>
            </w:r>
          </w:p>
        </w:tc>
        <w:tc>
          <w:tcPr>
            <w:tcW w:w="1342" w:type="dxa"/>
          </w:tcPr>
          <w:p w14:paraId="52D87B1F">
            <w:pPr>
              <w:widowControl w:val="0"/>
              <w:bidi w:val="0"/>
              <w:jc w:val="both"/>
              <w:rPr>
                <w:rFonts w:hint="default"/>
                <w:lang w:val="en-US" w:eastAsia="zh-CN"/>
              </w:rPr>
            </w:pPr>
            <w:r>
              <w:rPr>
                <w:rFonts w:hint="eastAsia"/>
                <w:lang w:val="en-US" w:eastAsia="zh-CN"/>
              </w:rPr>
              <w:t>技术分</w:t>
            </w:r>
          </w:p>
        </w:tc>
        <w:tc>
          <w:tcPr>
            <w:tcW w:w="1276" w:type="dxa"/>
          </w:tcPr>
          <w:p w14:paraId="43362B6C">
            <w:pPr>
              <w:widowControl w:val="0"/>
              <w:bidi w:val="0"/>
              <w:jc w:val="both"/>
              <w:rPr>
                <w:rFonts w:hint="default"/>
                <w:lang w:val="en-US" w:eastAsia="zh-CN"/>
              </w:rPr>
            </w:pPr>
            <w:r>
              <w:rPr>
                <w:rFonts w:hint="eastAsia"/>
                <w:lang w:val="en-US" w:eastAsia="zh-CN"/>
              </w:rPr>
              <w:t>商务分</w:t>
            </w:r>
          </w:p>
        </w:tc>
        <w:tc>
          <w:tcPr>
            <w:tcW w:w="5117" w:type="dxa"/>
          </w:tcPr>
          <w:p w14:paraId="4836232D">
            <w:pPr>
              <w:widowControl w:val="0"/>
              <w:bidi w:val="0"/>
              <w:jc w:val="both"/>
              <w:rPr>
                <w:rFonts w:hint="default"/>
                <w:lang w:val="en-US" w:eastAsia="zh-CN"/>
              </w:rPr>
            </w:pPr>
            <w:r>
              <w:rPr>
                <w:rFonts w:hint="eastAsia"/>
                <w:lang w:val="en-US" w:eastAsia="zh-CN"/>
              </w:rPr>
              <w:t>价格分</w:t>
            </w:r>
          </w:p>
        </w:tc>
      </w:tr>
      <w:tr w14:paraId="007D6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2130F631">
            <w:pPr>
              <w:widowControl w:val="0"/>
              <w:bidi w:val="0"/>
              <w:jc w:val="both"/>
              <w:rPr>
                <w:rFonts w:hint="default"/>
                <w:lang w:val="en-US" w:eastAsia="zh-CN"/>
              </w:rPr>
            </w:pPr>
            <w:r>
              <w:rPr>
                <w:rFonts w:hint="eastAsia"/>
                <w:lang w:val="en-US" w:eastAsia="zh-CN"/>
              </w:rPr>
              <w:t>综合评分法</w:t>
            </w:r>
          </w:p>
        </w:tc>
        <w:tc>
          <w:tcPr>
            <w:tcW w:w="2118" w:type="dxa"/>
          </w:tcPr>
          <w:p w14:paraId="5E3F3A58">
            <w:pPr>
              <w:widowControl w:val="0"/>
              <w:bidi w:val="0"/>
              <w:jc w:val="both"/>
              <w:rPr>
                <w:rFonts w:hint="default"/>
                <w:lang w:val="en-US" w:eastAsia="zh-CN"/>
              </w:rPr>
            </w:pPr>
            <w:r>
              <w:rPr>
                <w:rFonts w:hint="default"/>
                <w:lang w:val="en-US" w:eastAsia="zh-CN"/>
              </w:rPr>
              <w:t xml:space="preserve">评标价的确定： </w:t>
            </w:r>
          </w:p>
          <w:p w14:paraId="3ACB915E">
            <w:pPr>
              <w:widowControl w:val="0"/>
              <w:bidi w:val="0"/>
              <w:jc w:val="both"/>
              <w:rPr>
                <w:rFonts w:hint="default"/>
                <w:lang w:val="en-US" w:eastAsia="zh-CN"/>
              </w:rPr>
            </w:pPr>
            <w:r>
              <w:rPr>
                <w:rFonts w:hint="default"/>
                <w:lang w:val="en-US" w:eastAsia="zh-CN"/>
              </w:rPr>
              <w:t xml:space="preserve">方法一 </w:t>
            </w:r>
          </w:p>
          <w:p w14:paraId="138F283C">
            <w:pPr>
              <w:widowControl w:val="0"/>
              <w:bidi w:val="0"/>
              <w:jc w:val="both"/>
              <w:rPr>
                <w:rFonts w:hint="default"/>
                <w:lang w:val="en-US" w:eastAsia="zh-CN"/>
              </w:rPr>
            </w:pPr>
            <w:r>
              <w:rPr>
                <w:rFonts w:hint="default"/>
                <w:lang w:val="en-US" w:eastAsia="zh-CN"/>
              </w:rPr>
              <w:t xml:space="preserve">方法二 </w:t>
            </w:r>
          </w:p>
          <w:p w14:paraId="22C220D8">
            <w:pPr>
              <w:widowControl w:val="0"/>
              <w:bidi w:val="0"/>
              <w:jc w:val="both"/>
            </w:pPr>
            <w:r>
              <w:rPr>
                <w:rFonts w:hint="default"/>
                <w:lang w:val="en-US" w:eastAsia="zh-CN"/>
              </w:rPr>
              <w:t>方法三</w:t>
            </w:r>
          </w:p>
          <w:p w14:paraId="4A83825A">
            <w:pPr>
              <w:widowControl w:val="0"/>
              <w:bidi w:val="0"/>
              <w:jc w:val="both"/>
              <w:rPr>
                <w:rFonts w:hint="default"/>
                <w:lang w:val="en-US" w:eastAsia="zh-CN"/>
              </w:rPr>
            </w:pPr>
          </w:p>
          <w:p w14:paraId="72DE30C4">
            <w:pPr>
              <w:widowControl w:val="0"/>
              <w:bidi w:val="0"/>
              <w:jc w:val="both"/>
              <w:rPr>
                <w:rFonts w:hint="default"/>
                <w:lang w:val="en-US" w:eastAsia="zh-CN"/>
              </w:rPr>
            </w:pPr>
          </w:p>
          <w:p w14:paraId="31C68F11">
            <w:pPr>
              <w:widowControl w:val="0"/>
              <w:bidi w:val="0"/>
              <w:jc w:val="both"/>
              <w:rPr>
                <w:rFonts w:hint="default"/>
                <w:lang w:val="en-US" w:eastAsia="zh-CN"/>
              </w:rPr>
            </w:pPr>
            <w:r>
              <w:rPr>
                <w:rFonts w:hint="default"/>
                <w:lang w:val="en-US" w:eastAsia="zh-CN"/>
              </w:rPr>
              <w:t xml:space="preserve">报价评标基准价的确定： </w:t>
            </w:r>
          </w:p>
          <w:p w14:paraId="08F8521C">
            <w:pPr>
              <w:widowControl w:val="0"/>
              <w:bidi w:val="0"/>
              <w:jc w:val="both"/>
              <w:rPr>
                <w:rFonts w:hint="default"/>
                <w:lang w:val="en-US" w:eastAsia="zh-CN"/>
              </w:rPr>
            </w:pPr>
            <w:r>
              <w:rPr>
                <w:rFonts w:hint="default"/>
                <w:lang w:val="en-US" w:eastAsia="zh-CN"/>
              </w:rPr>
              <w:t xml:space="preserve">方法一 </w:t>
            </w:r>
          </w:p>
          <w:p w14:paraId="3C13A2D9">
            <w:pPr>
              <w:widowControl w:val="0"/>
              <w:bidi w:val="0"/>
              <w:jc w:val="both"/>
              <w:rPr>
                <w:rFonts w:hint="default"/>
                <w:lang w:val="en-US" w:eastAsia="zh-CN"/>
              </w:rPr>
            </w:pPr>
            <w:r>
              <w:rPr>
                <w:rFonts w:hint="default"/>
                <w:lang w:val="en-US" w:eastAsia="zh-CN"/>
              </w:rPr>
              <w:t>方法二</w:t>
            </w:r>
          </w:p>
          <w:p w14:paraId="53B146D5">
            <w:pPr>
              <w:widowControl w:val="0"/>
              <w:bidi w:val="0"/>
              <w:jc w:val="both"/>
              <w:rPr>
                <w:rFonts w:hint="eastAsia"/>
                <w:lang w:val="en-US" w:eastAsia="zh-CN"/>
              </w:rPr>
            </w:pPr>
            <w:r>
              <w:rPr>
                <w:rFonts w:hint="eastAsia"/>
                <w:lang w:val="en-US" w:eastAsia="zh-CN"/>
              </w:rPr>
              <w:t>方法三</w:t>
            </w:r>
          </w:p>
          <w:p w14:paraId="10855E3A">
            <w:pPr>
              <w:widowControl w:val="0"/>
              <w:bidi w:val="0"/>
              <w:jc w:val="both"/>
              <w:rPr>
                <w:rFonts w:hint="eastAsia"/>
                <w:lang w:val="en-US" w:eastAsia="zh-CN"/>
              </w:rPr>
            </w:pPr>
            <w:r>
              <w:rPr>
                <w:rFonts w:hint="eastAsia"/>
                <w:lang w:val="en-US" w:eastAsia="zh-CN"/>
              </w:rPr>
              <w:t>方法四</w:t>
            </w:r>
          </w:p>
          <w:p w14:paraId="4DA6E6C6">
            <w:pPr>
              <w:widowControl w:val="0"/>
              <w:bidi w:val="0"/>
              <w:jc w:val="both"/>
              <w:rPr>
                <w:rFonts w:hint="default"/>
                <w:lang w:val="en-US" w:eastAsia="zh-CN"/>
              </w:rPr>
            </w:pPr>
            <w:r>
              <w:rPr>
                <w:rFonts w:hint="eastAsia"/>
                <w:lang w:val="en-US" w:eastAsia="zh-CN"/>
              </w:rPr>
              <w:t>方法五</w:t>
            </w:r>
          </w:p>
        </w:tc>
        <w:tc>
          <w:tcPr>
            <w:tcW w:w="1342" w:type="dxa"/>
          </w:tcPr>
          <w:p w14:paraId="4A6F6CA2">
            <w:pPr>
              <w:widowControl w:val="0"/>
              <w:bidi w:val="0"/>
              <w:jc w:val="both"/>
            </w:pPr>
            <w:r>
              <w:rPr>
                <w:rFonts w:hint="eastAsia"/>
                <w:lang w:val="en-US" w:eastAsia="zh-CN"/>
              </w:rPr>
              <w:t>对各评分因素细分项中取消一个最高、一个最低分后计算算术平均值的和为投标人的最终技术得分，平均值计算四舍五入保留小数点后三位</w:t>
            </w:r>
          </w:p>
          <w:p w14:paraId="6175FC1F">
            <w:pPr>
              <w:widowControl w:val="0"/>
              <w:bidi w:val="0"/>
              <w:jc w:val="both"/>
              <w:rPr>
                <w:rFonts w:hint="default"/>
                <w:lang w:val="en-US" w:eastAsia="zh-CN"/>
              </w:rPr>
            </w:pPr>
          </w:p>
        </w:tc>
        <w:tc>
          <w:tcPr>
            <w:tcW w:w="1276" w:type="dxa"/>
          </w:tcPr>
          <w:p w14:paraId="5E3FDBD7">
            <w:pPr>
              <w:widowControl w:val="0"/>
              <w:bidi w:val="0"/>
              <w:jc w:val="both"/>
              <w:rPr>
                <w:rFonts w:hint="default"/>
                <w:lang w:val="en-US" w:eastAsia="zh-CN"/>
              </w:rPr>
            </w:pPr>
            <w:r>
              <w:rPr>
                <w:rFonts w:hint="eastAsia"/>
                <w:lang w:eastAsia="zh-CN"/>
              </w:rPr>
              <w:t>算术平均值</w:t>
            </w:r>
          </w:p>
        </w:tc>
        <w:tc>
          <w:tcPr>
            <w:tcW w:w="5117" w:type="dxa"/>
          </w:tcPr>
          <w:p w14:paraId="4C30308E">
            <w:pPr>
              <w:widowControl w:val="0"/>
              <w:bidi w:val="0"/>
              <w:jc w:val="both"/>
              <w:rPr>
                <w:rFonts w:hint="default"/>
                <w:lang w:val="en-US" w:eastAsia="zh-CN"/>
              </w:rPr>
            </w:pPr>
            <w:r>
              <w:rPr>
                <w:rFonts w:hint="default"/>
                <w:lang w:val="en-US" w:eastAsia="zh-CN"/>
              </w:rPr>
              <w:t xml:space="preserve">评标价的确定： </w:t>
            </w:r>
          </w:p>
          <w:p w14:paraId="309BCE80">
            <w:pPr>
              <w:widowControl w:val="0"/>
              <w:bidi w:val="0"/>
              <w:jc w:val="both"/>
              <w:rPr>
                <w:rFonts w:hint="default"/>
                <w:lang w:val="en-US" w:eastAsia="zh-CN"/>
              </w:rPr>
            </w:pPr>
            <w:r>
              <w:rPr>
                <w:rFonts w:hint="default"/>
                <w:lang w:val="en-US" w:eastAsia="zh-CN"/>
              </w:rPr>
              <w:t xml:space="preserve">方法一：评标价=投标报价 </w:t>
            </w:r>
          </w:p>
          <w:p w14:paraId="43C15E51">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41736BC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F63B022">
            <w:pPr>
              <w:widowControl w:val="0"/>
              <w:bidi w:val="0"/>
              <w:jc w:val="both"/>
              <w:rPr>
                <w:rFonts w:hint="default"/>
                <w:lang w:val="en-US" w:eastAsia="zh-CN"/>
              </w:rPr>
            </w:pPr>
          </w:p>
          <w:p w14:paraId="6C5670E8">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8477D4F">
            <w:pPr>
              <w:widowControl w:val="0"/>
              <w:bidi w:val="0"/>
              <w:jc w:val="both"/>
              <w:rPr>
                <w:rFonts w:hint="default"/>
                <w:lang w:val="en-US" w:eastAsia="zh-CN"/>
              </w:rPr>
            </w:pPr>
          </w:p>
          <w:p w14:paraId="1971FB4F">
            <w:pPr>
              <w:widowControl w:val="0"/>
              <w:bidi w:val="0"/>
              <w:jc w:val="both"/>
              <w:rPr>
                <w:rFonts w:hint="default"/>
                <w:lang w:val="en-US" w:eastAsia="zh-CN"/>
              </w:rPr>
            </w:pPr>
            <w:r>
              <w:rPr>
                <w:rFonts w:hint="default"/>
                <w:lang w:val="en-US" w:eastAsia="zh-CN"/>
              </w:rPr>
              <w:t>评标基准价计算</w:t>
            </w:r>
          </w:p>
          <w:p w14:paraId="0EC81CAC">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w:t>
            </w:r>
            <w:r>
              <w:rPr>
                <w:rFonts w:hint="eastAsia"/>
                <w:lang w:val="en-US" w:eastAsia="zh-CN"/>
              </w:rPr>
              <w:t>评标</w:t>
            </w:r>
            <w:r>
              <w:rPr>
                <w:rFonts w:hint="default"/>
                <w:lang w:val="en-US" w:eastAsia="zh-CN"/>
              </w:rPr>
              <w:t>限价的85%的评标价不参与评标基准价的计算，但仍参与评标价的得分计算。</w:t>
            </w:r>
          </w:p>
          <w:p w14:paraId="79100A02">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14FCEB46">
            <w:pPr>
              <w:widowControl w:val="0"/>
              <w:bidi w:val="0"/>
              <w:jc w:val="both"/>
              <w:rPr>
                <w:rFonts w:hint="default"/>
                <w:lang w:val="en-US" w:eastAsia="zh-CN"/>
              </w:rPr>
            </w:pPr>
            <w:r>
              <w:rPr>
                <w:rFonts w:hint="default"/>
                <w:lang w:val="en-US" w:eastAsia="zh-CN"/>
              </w:rPr>
              <w:t>备注：算术平均值四舍五入至小数点后两位</w:t>
            </w:r>
          </w:p>
          <w:p w14:paraId="11251A21">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6DB7867F">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26E39C05">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1639D2BC">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70C7AA3E">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2AD00B9D">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570E6A39">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6DE1856B">
            <w:pPr>
              <w:widowControl w:val="0"/>
              <w:bidi w:val="0"/>
              <w:jc w:val="both"/>
              <w:rPr>
                <w:rFonts w:hint="default"/>
                <w:lang w:val="en-US" w:eastAsia="zh-CN"/>
              </w:rPr>
            </w:pPr>
            <w:r>
              <w:rPr>
                <w:rFonts w:hint="default"/>
                <w:lang w:val="en-US" w:eastAsia="zh-CN"/>
              </w:rPr>
              <w:t>（M 可选择 0.5、0.6、0.7、0.8、0.9、1.0；N 可对应选择 0.5、0.4、0.3、0.2、0.1、0,且 M+N=1）</w:t>
            </w:r>
          </w:p>
          <w:p w14:paraId="18AE66A4">
            <w:pPr>
              <w:widowControl w:val="0"/>
              <w:bidi w:val="0"/>
              <w:jc w:val="both"/>
              <w:rPr>
                <w:rFonts w:hint="eastAsia"/>
                <w:lang w:val="en-US" w:eastAsia="zh-CN"/>
              </w:rPr>
            </w:pPr>
          </w:p>
          <w:p w14:paraId="085F74C4">
            <w:pPr>
              <w:widowControl w:val="0"/>
              <w:bidi w:val="0"/>
              <w:jc w:val="both"/>
              <w:rPr>
                <w:rFonts w:hint="eastAsia"/>
                <w:lang w:val="en-US" w:eastAsia="zh-CN"/>
              </w:rPr>
            </w:pPr>
            <w:r>
              <w:rPr>
                <w:rFonts w:hint="eastAsia"/>
                <w:lang w:val="en-US" w:eastAsia="zh-CN"/>
              </w:rPr>
              <w:t>偏差率=100% ×(投标人评标价－评标基准价)/评标基准价。（</w:t>
            </w:r>
            <w:r>
              <w:rPr>
                <w:rFonts w:hint="default"/>
                <w:lang w:val="en-US" w:eastAsia="zh-CN"/>
              </w:rPr>
              <w:t>备注：偏差率保留四位小数</w:t>
            </w:r>
            <w:r>
              <w:rPr>
                <w:rFonts w:hint="eastAsia"/>
                <w:lang w:val="en-US" w:eastAsia="zh-CN"/>
              </w:rPr>
              <w:t>）</w:t>
            </w:r>
          </w:p>
          <w:p w14:paraId="426991C9">
            <w:pPr>
              <w:widowControl w:val="0"/>
              <w:bidi w:val="0"/>
              <w:jc w:val="both"/>
              <w:rPr>
                <w:rFonts w:hint="eastAsia"/>
                <w:lang w:val="en-US" w:eastAsia="zh-CN"/>
              </w:rPr>
            </w:pPr>
          </w:p>
          <w:p w14:paraId="5A43DBE0">
            <w:pPr>
              <w:widowControl w:val="0"/>
              <w:bidi w:val="0"/>
              <w:jc w:val="both"/>
            </w:pPr>
            <w:r>
              <w:rPr>
                <w:rFonts w:hint="eastAsia"/>
                <w:lang w:val="en-US" w:eastAsia="zh-CN"/>
              </w:rPr>
              <w:t xml:space="preserve">评标价得分计算公式： </w:t>
            </w:r>
          </w:p>
          <w:p w14:paraId="057FF1D2">
            <w:pPr>
              <w:widowControl w:val="0"/>
              <w:bidi w:val="0"/>
              <w:jc w:val="both"/>
            </w:pPr>
            <w:r>
              <w:rPr>
                <w:rFonts w:hint="eastAsia"/>
                <w:lang w:val="en-US" w:eastAsia="zh-CN"/>
              </w:rPr>
              <w:t xml:space="preserve">(1)如果投标人的评标价&gt;评标基准价，则评标价得分＝【价格分值】－偏差率×100×D1；扣分因子D1 取 【1.5～3】； </w:t>
            </w:r>
          </w:p>
          <w:p w14:paraId="65F8C5E0">
            <w:pPr>
              <w:widowControl w:val="0"/>
              <w:bidi w:val="0"/>
              <w:jc w:val="both"/>
            </w:pPr>
            <w:r>
              <w:rPr>
                <w:rFonts w:hint="eastAsia"/>
                <w:lang w:val="en-US" w:eastAsia="zh-CN"/>
              </w:rPr>
              <w:t xml:space="preserve">(2)如果投标人的评标价≤评标基准价，则评标价得分＝【价格分值】＋偏差率×100×D2；扣分因子D2取【0.5～1】。 </w:t>
            </w:r>
          </w:p>
          <w:p w14:paraId="2684DC03">
            <w:pPr>
              <w:widowControl w:val="0"/>
              <w:bidi w:val="0"/>
              <w:jc w:val="both"/>
            </w:pPr>
            <w:r>
              <w:rPr>
                <w:rFonts w:hint="eastAsia"/>
                <w:lang w:val="en-US" w:eastAsia="zh-CN"/>
              </w:rPr>
              <w:t xml:space="preserve">其中：一般原则上 D1 是 D2 的 3 倍。 </w:t>
            </w:r>
          </w:p>
          <w:p w14:paraId="2977E5A0">
            <w:pPr>
              <w:widowControl w:val="0"/>
              <w:bidi w:val="0"/>
              <w:jc w:val="both"/>
            </w:pPr>
            <w:r>
              <w:rPr>
                <w:rFonts w:hint="eastAsia"/>
                <w:lang w:val="en-US" w:eastAsia="zh-CN"/>
              </w:rPr>
              <w:t>注：评标价得分四舍五入至小数点后四位。</w:t>
            </w:r>
          </w:p>
          <w:p w14:paraId="77671655">
            <w:pPr>
              <w:widowControl w:val="0"/>
              <w:bidi w:val="0"/>
              <w:jc w:val="both"/>
              <w:rPr>
                <w:rFonts w:hint="default"/>
                <w:lang w:val="en-US" w:eastAsia="zh-CN"/>
              </w:rPr>
            </w:pPr>
          </w:p>
        </w:tc>
      </w:tr>
    </w:tbl>
    <w:p w14:paraId="01813B7B">
      <w:pPr>
        <w:bidi w:val="0"/>
        <w:rPr>
          <w:rFonts w:hint="default"/>
          <w:lang w:val="en-US" w:eastAsia="zh-CN"/>
        </w:rPr>
      </w:pPr>
    </w:p>
    <w:p w14:paraId="51A12ECA">
      <w:pPr>
        <w:bidi w:val="0"/>
        <w:rPr>
          <w:rFonts w:hint="default"/>
          <w:lang w:val="en-US" w:eastAsia="zh-CN"/>
        </w:rPr>
      </w:pPr>
      <w:r>
        <w:rPr>
          <w:rFonts w:hint="eastAsia"/>
          <w:lang w:val="en-US" w:eastAsia="zh-CN"/>
        </w:rPr>
        <w:t>2、评分参数配置录入</w:t>
      </w:r>
    </w:p>
    <w:p w14:paraId="06597255">
      <w:pPr>
        <w:bidi w:val="0"/>
      </w:pPr>
      <w:r>
        <w:drawing>
          <wp:inline distT="0" distB="0" distL="114300" distR="114300">
            <wp:extent cx="6642100" cy="1608455"/>
            <wp:effectExtent l="0" t="0" r="2540" b="6985"/>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97"/>
                    <a:stretch>
                      <a:fillRect/>
                    </a:stretch>
                  </pic:blipFill>
                  <pic:spPr>
                    <a:xfrm>
                      <a:off x="0" y="0"/>
                      <a:ext cx="6642100" cy="1608455"/>
                    </a:xfrm>
                    <a:prstGeom prst="rect">
                      <a:avLst/>
                    </a:prstGeom>
                    <a:noFill/>
                    <a:ln>
                      <a:noFill/>
                    </a:ln>
                  </pic:spPr>
                </pic:pic>
              </a:graphicData>
            </a:graphic>
          </wp:inline>
        </w:drawing>
      </w:r>
    </w:p>
    <w:p w14:paraId="5955FFB8">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评标办法：选“双信封的综合评分法”</w:t>
      </w:r>
    </w:p>
    <w:p w14:paraId="124ACF8C">
      <w:pPr>
        <w:bidi w:val="0"/>
        <w:rPr>
          <w:rFonts w:hint="eastAsia"/>
          <w:lang w:val="en-US" w:eastAsia="zh-CN"/>
        </w:rPr>
      </w:pPr>
      <w:r>
        <w:rPr>
          <w:rFonts w:hint="eastAsia"/>
          <w:lang w:val="en-US" w:eastAsia="zh-CN"/>
        </w:rPr>
        <w:t>（2）价格类型：总价</w:t>
      </w:r>
    </w:p>
    <w:p w14:paraId="41E19111">
      <w:pPr>
        <w:bidi w:val="0"/>
        <w:rPr>
          <w:rFonts w:hint="eastAsia"/>
          <w:lang w:val="en-US" w:eastAsia="zh-CN"/>
        </w:rPr>
      </w:pPr>
      <w:r>
        <w:rPr>
          <w:rFonts w:hint="eastAsia"/>
          <w:lang w:val="en-US" w:eastAsia="zh-CN"/>
        </w:rPr>
        <w:t>（3）技术分、商务分、价格分：相加等于100</w:t>
      </w:r>
    </w:p>
    <w:p w14:paraId="0DB7439A">
      <w:pPr>
        <w:bidi w:val="0"/>
        <w:rPr>
          <w:rFonts w:hint="eastAsia"/>
          <w:lang w:val="en-US" w:eastAsia="zh-CN"/>
        </w:rPr>
      </w:pPr>
      <w:r>
        <w:rPr>
          <w:rFonts w:hint="eastAsia"/>
          <w:lang w:val="en-US" w:eastAsia="zh-CN"/>
        </w:rPr>
        <w:t>（4）扣分因子：低于或高于基准价的扣分因子</w:t>
      </w:r>
    </w:p>
    <w:p w14:paraId="640DA3F2">
      <w:pPr>
        <w:bidi w:val="0"/>
        <w:rPr>
          <w:rFonts w:hint="eastAsia"/>
          <w:lang w:val="en-US" w:eastAsia="zh-CN"/>
        </w:rPr>
      </w:pPr>
      <w:r>
        <w:rPr>
          <w:rFonts w:hint="eastAsia"/>
          <w:lang w:val="en-US" w:eastAsia="zh-CN"/>
        </w:rPr>
        <w:t>（5）公路评标价方法：</w:t>
      </w:r>
    </w:p>
    <w:p w14:paraId="3C23AFF0">
      <w:pPr>
        <w:bidi w:val="0"/>
      </w:pPr>
      <w:r>
        <w:drawing>
          <wp:inline distT="0" distB="0" distL="114300" distR="114300">
            <wp:extent cx="3704590" cy="728980"/>
            <wp:effectExtent l="0" t="0" r="13970" b="254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a:blip r:embed="rId98"/>
                    <a:stretch>
                      <a:fillRect/>
                    </a:stretch>
                  </pic:blipFill>
                  <pic:spPr>
                    <a:xfrm>
                      <a:off x="0" y="0"/>
                      <a:ext cx="3704590" cy="728980"/>
                    </a:xfrm>
                    <a:prstGeom prst="rect">
                      <a:avLst/>
                    </a:prstGeom>
                    <a:noFill/>
                    <a:ln>
                      <a:noFill/>
                    </a:ln>
                  </pic:spPr>
                </pic:pic>
              </a:graphicData>
            </a:graphic>
          </wp:inline>
        </w:drawing>
      </w:r>
    </w:p>
    <w:p w14:paraId="610F2F9D">
      <w:pPr>
        <w:bidi w:val="0"/>
        <w:rPr>
          <w:rFonts w:hint="eastAsia"/>
          <w:lang w:val="en-US" w:eastAsia="zh-CN"/>
        </w:rPr>
      </w:pPr>
      <w:r>
        <w:rPr>
          <w:rFonts w:hint="eastAsia"/>
          <w:lang w:eastAsia="zh-CN"/>
        </w:rPr>
        <w:t>（</w:t>
      </w:r>
      <w:r>
        <w:rPr>
          <w:rFonts w:hint="eastAsia"/>
          <w:lang w:val="en-US" w:eastAsia="zh-CN"/>
        </w:rPr>
        <w:t>6</w:t>
      </w:r>
      <w:r>
        <w:rPr>
          <w:rFonts w:hint="eastAsia"/>
          <w:lang w:eastAsia="zh-CN"/>
        </w:rPr>
        <w:t>）</w:t>
      </w:r>
      <w:r>
        <w:rPr>
          <w:rFonts w:hint="eastAsia"/>
          <w:lang w:val="en-US" w:eastAsia="zh-CN"/>
        </w:rPr>
        <w:t>公路评标基准价方法：</w:t>
      </w:r>
    </w:p>
    <w:p w14:paraId="11EE3881">
      <w:pPr>
        <w:bidi w:val="0"/>
        <w:rPr>
          <w:rFonts w:hint="default"/>
          <w:lang w:val="en-US" w:eastAsia="zh-CN"/>
        </w:rPr>
      </w:pPr>
      <w:r>
        <w:rPr>
          <w:rFonts w:hint="eastAsia"/>
          <w:lang w:val="en-US" w:eastAsia="zh-CN"/>
        </w:rPr>
        <w:t>方法一：评标价平均值</w:t>
      </w:r>
    </w:p>
    <w:p w14:paraId="335FD59D">
      <w:pPr>
        <w:bidi w:val="0"/>
        <w:rPr>
          <w:rFonts w:hint="default"/>
          <w:lang w:val="en-US" w:eastAsia="zh-CN"/>
        </w:rPr>
      </w:pPr>
      <w:r>
        <w:drawing>
          <wp:inline distT="0" distB="0" distL="114300" distR="114300">
            <wp:extent cx="6642735" cy="1099820"/>
            <wp:effectExtent l="0" t="0" r="1905" b="1270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99"/>
                    <a:stretch>
                      <a:fillRect/>
                    </a:stretch>
                  </pic:blipFill>
                  <pic:spPr>
                    <a:xfrm>
                      <a:off x="0" y="0"/>
                      <a:ext cx="6642735" cy="1099820"/>
                    </a:xfrm>
                    <a:prstGeom prst="rect">
                      <a:avLst/>
                    </a:prstGeom>
                    <a:noFill/>
                    <a:ln>
                      <a:noFill/>
                    </a:ln>
                  </pic:spPr>
                </pic:pic>
              </a:graphicData>
            </a:graphic>
          </wp:inline>
        </w:drawing>
      </w:r>
    </w:p>
    <w:p w14:paraId="73D04D93">
      <w:pPr>
        <w:bidi w:val="0"/>
        <w:rPr>
          <w:rFonts w:hint="default"/>
          <w:lang w:val="en-US" w:eastAsia="zh-CN"/>
        </w:rPr>
      </w:pPr>
      <w:r>
        <w:rPr>
          <w:rFonts w:hint="eastAsia"/>
          <w:lang w:val="en-US" w:eastAsia="zh-CN"/>
        </w:rPr>
        <w:t>方法二：评标价平均值*(1-K%)</w:t>
      </w:r>
    </w:p>
    <w:p w14:paraId="1E2715E5">
      <w:pPr>
        <w:bidi w:val="0"/>
        <w:rPr>
          <w:rFonts w:hint="eastAsia"/>
          <w:lang w:val="en-US" w:eastAsia="zh-CN"/>
        </w:rPr>
      </w:pPr>
      <w:r>
        <w:drawing>
          <wp:inline distT="0" distB="0" distL="114300" distR="114300">
            <wp:extent cx="6639560" cy="1062990"/>
            <wp:effectExtent l="0" t="0" r="5080" b="3810"/>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100"/>
                    <a:stretch>
                      <a:fillRect/>
                    </a:stretch>
                  </pic:blipFill>
                  <pic:spPr>
                    <a:xfrm>
                      <a:off x="0" y="0"/>
                      <a:ext cx="6639560" cy="1062990"/>
                    </a:xfrm>
                    <a:prstGeom prst="rect">
                      <a:avLst/>
                    </a:prstGeom>
                    <a:noFill/>
                    <a:ln>
                      <a:noFill/>
                    </a:ln>
                  </pic:spPr>
                </pic:pic>
              </a:graphicData>
            </a:graphic>
          </wp:inline>
        </w:drawing>
      </w:r>
    </w:p>
    <w:p w14:paraId="281F73EC">
      <w:pPr>
        <w:bidi w:val="0"/>
        <w:rPr>
          <w:rFonts w:hint="eastAsia"/>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50F0B1A4">
      <w:pPr>
        <w:bidi w:val="0"/>
        <w:rPr>
          <w:rFonts w:hint="eastAsia"/>
          <w:lang w:val="en-US" w:eastAsia="zh-CN"/>
        </w:rPr>
      </w:pPr>
      <w:r>
        <w:drawing>
          <wp:inline distT="0" distB="0" distL="114300" distR="114300">
            <wp:extent cx="6637655" cy="1010285"/>
            <wp:effectExtent l="0" t="0" r="6985" b="10795"/>
            <wp:docPr id="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pic:cNvPicPr>
                      <a:picLocks noChangeAspect="1"/>
                    </pic:cNvPicPr>
                  </pic:nvPicPr>
                  <pic:blipFill>
                    <a:blip r:embed="rId101"/>
                    <a:stretch>
                      <a:fillRect/>
                    </a:stretch>
                  </pic:blipFill>
                  <pic:spPr>
                    <a:xfrm>
                      <a:off x="0" y="0"/>
                      <a:ext cx="6637655" cy="1010285"/>
                    </a:xfrm>
                    <a:prstGeom prst="rect">
                      <a:avLst/>
                    </a:prstGeom>
                    <a:noFill/>
                    <a:ln>
                      <a:noFill/>
                    </a:ln>
                  </pic:spPr>
                </pic:pic>
              </a:graphicData>
            </a:graphic>
          </wp:inline>
        </w:drawing>
      </w:r>
    </w:p>
    <w:p w14:paraId="174D9C40">
      <w:pPr>
        <w:bidi w:val="0"/>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(1-K%)。其中最高评标限价可以通过抽取号球确定，这里还要配置号球数，以及号球1和最后一个号球对应的抽取下浮系数低值、抽取下浮系数高值。</w:t>
      </w:r>
    </w:p>
    <w:p w14:paraId="0C943A42">
      <w:pPr>
        <w:bidi w:val="0"/>
        <w:rPr>
          <w:rFonts w:hint="eastAsia"/>
          <w:lang w:val="en-US" w:eastAsia="zh-CN"/>
        </w:rPr>
      </w:pPr>
      <w:r>
        <w:drawing>
          <wp:inline distT="0" distB="0" distL="114300" distR="114300">
            <wp:extent cx="6641465" cy="1330325"/>
            <wp:effectExtent l="0" t="0" r="3175" b="10795"/>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102"/>
                    <a:stretch>
                      <a:fillRect/>
                    </a:stretch>
                  </pic:blipFill>
                  <pic:spPr>
                    <a:xfrm>
                      <a:off x="0" y="0"/>
                      <a:ext cx="6641465" cy="1330325"/>
                    </a:xfrm>
                    <a:prstGeom prst="rect">
                      <a:avLst/>
                    </a:prstGeom>
                    <a:noFill/>
                    <a:ln>
                      <a:noFill/>
                    </a:ln>
                  </pic:spPr>
                </pic:pic>
              </a:graphicData>
            </a:graphic>
          </wp:inline>
        </w:drawing>
      </w:r>
    </w:p>
    <w:p w14:paraId="75CECE67">
      <w:pPr>
        <w:bidi w:val="0"/>
        <w:rPr>
          <w:rFonts w:hint="eastAsia"/>
          <w:lang w:val="en-US" w:eastAsia="zh-CN"/>
        </w:rPr>
      </w:pPr>
      <w:r>
        <w:rPr>
          <w:rFonts w:hint="eastAsia"/>
          <w:lang w:val="en-US" w:eastAsia="zh-CN"/>
        </w:rPr>
        <w:t>方法五：( M ×最高评标限价 + N ×参与评标基准价计算的有效评标价的平均值）。其中最高评标限价可以通过抽取号球确定，这里还要配置号球数，以及号球1和最后一个号球对应的抽取下浮系数低值、抽取下浮系数高值。</w:t>
      </w:r>
    </w:p>
    <w:p w14:paraId="593066C3">
      <w:pPr>
        <w:bidi w:val="0"/>
        <w:rPr>
          <w:rFonts w:hint="default"/>
          <w:lang w:val="en-US" w:eastAsia="zh-CN"/>
        </w:rPr>
      </w:pPr>
      <w:r>
        <w:drawing>
          <wp:inline distT="0" distB="0" distL="114300" distR="114300">
            <wp:extent cx="6635750" cy="1014095"/>
            <wp:effectExtent l="0" t="0" r="8890" b="6985"/>
            <wp:docPr id="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1"/>
                    <pic:cNvPicPr>
                      <a:picLocks noChangeAspect="1"/>
                    </pic:cNvPicPr>
                  </pic:nvPicPr>
                  <pic:blipFill>
                    <a:blip r:embed="rId103"/>
                    <a:stretch>
                      <a:fillRect/>
                    </a:stretch>
                  </pic:blipFill>
                  <pic:spPr>
                    <a:xfrm>
                      <a:off x="0" y="0"/>
                      <a:ext cx="6635750" cy="1014095"/>
                    </a:xfrm>
                    <a:prstGeom prst="rect">
                      <a:avLst/>
                    </a:prstGeom>
                    <a:noFill/>
                    <a:ln>
                      <a:noFill/>
                    </a:ln>
                  </pic:spPr>
                </pic:pic>
              </a:graphicData>
            </a:graphic>
          </wp:inline>
        </w:drawing>
      </w:r>
    </w:p>
    <w:p w14:paraId="3633D728">
      <w:pPr>
        <w:bidi w:val="0"/>
        <w:rPr>
          <w:rFonts w:hint="eastAsia"/>
          <w:lang w:val="en-US" w:eastAsia="zh-CN"/>
        </w:rPr>
      </w:pPr>
      <w:r>
        <w:rPr>
          <w:rFonts w:hint="eastAsia"/>
          <w:lang w:val="en-US" w:eastAsia="zh-CN"/>
        </w:rPr>
        <w:t>3、技术、商务评分项录入</w:t>
      </w:r>
    </w:p>
    <w:p w14:paraId="5FA7BE8C">
      <w:pPr>
        <w:bidi w:val="0"/>
        <w:rPr>
          <w:rFonts w:hint="eastAsia"/>
          <w:lang w:val="en-US" w:eastAsia="zh-CN"/>
        </w:rPr>
      </w:pPr>
      <w:r>
        <w:rPr>
          <w:rFonts w:hint="eastAsia"/>
          <w:lang w:val="en-US" w:eastAsia="zh-CN"/>
        </w:rPr>
        <w:t>同房建市政类项目。</w:t>
      </w:r>
    </w:p>
    <w:p w14:paraId="71240A8B">
      <w:pPr>
        <w:bidi w:val="0"/>
        <w:rPr>
          <w:rFonts w:hint="default"/>
          <w:lang w:val="en-US" w:eastAsia="zh-CN"/>
        </w:rPr>
      </w:pPr>
      <w:r>
        <w:rPr>
          <w:rFonts w:hint="eastAsia"/>
          <w:lang w:val="en-US" w:eastAsia="zh-CN"/>
        </w:rPr>
        <w:t>技术评分这里，增加了汇总小项，可以把几个细项的分数汇总成一个汇总项。</w:t>
      </w:r>
    </w:p>
    <w:p w14:paraId="2D725A4D">
      <w:pPr>
        <w:bidi w:val="0"/>
      </w:pPr>
      <w:r>
        <w:drawing>
          <wp:inline distT="0" distB="0" distL="114300" distR="114300">
            <wp:extent cx="6637020" cy="2919095"/>
            <wp:effectExtent l="0" t="0" r="7620" b="698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04"/>
                    <a:stretch>
                      <a:fillRect/>
                    </a:stretch>
                  </pic:blipFill>
                  <pic:spPr>
                    <a:xfrm>
                      <a:off x="0" y="0"/>
                      <a:ext cx="6637020" cy="2919095"/>
                    </a:xfrm>
                    <a:prstGeom prst="rect">
                      <a:avLst/>
                    </a:prstGeom>
                    <a:noFill/>
                    <a:ln>
                      <a:noFill/>
                    </a:ln>
                  </pic:spPr>
                </pic:pic>
              </a:graphicData>
            </a:graphic>
          </wp:inline>
        </w:drawing>
      </w:r>
    </w:p>
    <w:p w14:paraId="60688F53">
      <w:pPr>
        <w:bidi w:val="0"/>
      </w:pPr>
      <w:r>
        <w:drawing>
          <wp:inline distT="0" distB="0" distL="114300" distR="114300">
            <wp:extent cx="4064635" cy="2179320"/>
            <wp:effectExtent l="0" t="0" r="444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05"/>
                    <a:stretch>
                      <a:fillRect/>
                    </a:stretch>
                  </pic:blipFill>
                  <pic:spPr>
                    <a:xfrm>
                      <a:off x="0" y="0"/>
                      <a:ext cx="4064635" cy="2179320"/>
                    </a:xfrm>
                    <a:prstGeom prst="rect">
                      <a:avLst/>
                    </a:prstGeom>
                    <a:noFill/>
                    <a:ln>
                      <a:noFill/>
                    </a:ln>
                  </pic:spPr>
                </pic:pic>
              </a:graphicData>
            </a:graphic>
          </wp:inline>
        </w:drawing>
      </w:r>
    </w:p>
    <w:p w14:paraId="05907F96">
      <w:pPr>
        <w:bidi w:val="0"/>
        <w:rPr>
          <w:rFonts w:hint="default"/>
          <w:lang w:val="en-US" w:eastAsia="zh-CN"/>
        </w:rPr>
      </w:pPr>
    </w:p>
    <w:p w14:paraId="33A2DB8A">
      <w:pPr>
        <w:bidi w:val="0"/>
        <w:rPr>
          <w:rFonts w:hint="eastAsia"/>
          <w:lang w:val="en-US" w:eastAsia="zh-CN"/>
        </w:rPr>
      </w:pPr>
      <w:r>
        <w:rPr>
          <w:rFonts w:hint="eastAsia"/>
          <w:lang w:val="en-US" w:eastAsia="zh-CN"/>
        </w:rPr>
        <w:t>（二）双信封的合理最低评标法</w:t>
      </w:r>
    </w:p>
    <w:p w14:paraId="6F883DFC">
      <w:pPr>
        <w:bidi w:val="0"/>
        <w:rPr>
          <w:rFonts w:hint="default"/>
          <w:lang w:val="en-US" w:eastAsia="zh-CN"/>
        </w:rPr>
      </w:pPr>
      <w:r>
        <w:rPr>
          <w:rFonts w:hint="eastAsia"/>
          <w:lang w:val="en-US" w:eastAsia="zh-CN"/>
        </w:rPr>
        <w:t>1、评分计算方法</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
        <w:gridCol w:w="1868"/>
        <w:gridCol w:w="1077"/>
        <w:gridCol w:w="1031"/>
        <w:gridCol w:w="4033"/>
      </w:tblGrid>
      <w:tr w14:paraId="5FB11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4EEC5556">
            <w:pPr>
              <w:widowControl w:val="0"/>
              <w:bidi w:val="0"/>
              <w:jc w:val="both"/>
              <w:rPr>
                <w:rFonts w:hint="default"/>
                <w:lang w:val="en-US" w:eastAsia="zh-CN"/>
              </w:rPr>
            </w:pPr>
            <w:r>
              <w:rPr>
                <w:rFonts w:hint="eastAsia"/>
                <w:lang w:val="en-US" w:eastAsia="zh-CN"/>
              </w:rPr>
              <w:t>评分法</w:t>
            </w:r>
          </w:p>
        </w:tc>
        <w:tc>
          <w:tcPr>
            <w:tcW w:w="2118" w:type="dxa"/>
          </w:tcPr>
          <w:p w14:paraId="0D1E68CF">
            <w:pPr>
              <w:widowControl w:val="0"/>
              <w:bidi w:val="0"/>
              <w:jc w:val="both"/>
              <w:rPr>
                <w:rFonts w:hint="default"/>
                <w:lang w:val="en-US" w:eastAsia="zh-CN"/>
              </w:rPr>
            </w:pPr>
            <w:r>
              <w:rPr>
                <w:rFonts w:hint="eastAsia"/>
                <w:lang w:val="en-US" w:eastAsia="zh-CN"/>
              </w:rPr>
              <w:t>价格分计算参数</w:t>
            </w:r>
          </w:p>
        </w:tc>
        <w:tc>
          <w:tcPr>
            <w:tcW w:w="1342" w:type="dxa"/>
          </w:tcPr>
          <w:p w14:paraId="1206FD81">
            <w:pPr>
              <w:widowControl w:val="0"/>
              <w:bidi w:val="0"/>
              <w:jc w:val="both"/>
              <w:rPr>
                <w:rFonts w:hint="default"/>
                <w:lang w:val="en-US" w:eastAsia="zh-CN"/>
              </w:rPr>
            </w:pPr>
            <w:r>
              <w:rPr>
                <w:rFonts w:hint="eastAsia"/>
                <w:lang w:val="en-US" w:eastAsia="zh-CN"/>
              </w:rPr>
              <w:t>技术分</w:t>
            </w:r>
          </w:p>
        </w:tc>
        <w:tc>
          <w:tcPr>
            <w:tcW w:w="1276" w:type="dxa"/>
          </w:tcPr>
          <w:p w14:paraId="35D25FFE">
            <w:pPr>
              <w:widowControl w:val="0"/>
              <w:bidi w:val="0"/>
              <w:jc w:val="both"/>
              <w:rPr>
                <w:rFonts w:hint="default"/>
                <w:lang w:val="en-US" w:eastAsia="zh-CN"/>
              </w:rPr>
            </w:pPr>
            <w:r>
              <w:rPr>
                <w:rFonts w:hint="eastAsia"/>
                <w:lang w:val="en-US" w:eastAsia="zh-CN"/>
              </w:rPr>
              <w:t>商务分</w:t>
            </w:r>
          </w:p>
        </w:tc>
        <w:tc>
          <w:tcPr>
            <w:tcW w:w="5117" w:type="dxa"/>
          </w:tcPr>
          <w:p w14:paraId="58735077">
            <w:pPr>
              <w:widowControl w:val="0"/>
              <w:bidi w:val="0"/>
              <w:jc w:val="both"/>
              <w:rPr>
                <w:rFonts w:hint="default"/>
                <w:lang w:val="en-US" w:eastAsia="zh-CN"/>
              </w:rPr>
            </w:pPr>
            <w:r>
              <w:rPr>
                <w:rFonts w:hint="eastAsia"/>
                <w:lang w:val="en-US" w:eastAsia="zh-CN"/>
              </w:rPr>
              <w:t>价格分</w:t>
            </w:r>
          </w:p>
        </w:tc>
      </w:tr>
      <w:tr w14:paraId="3F9ED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85AE543">
            <w:pPr>
              <w:widowControl w:val="0"/>
              <w:bidi w:val="0"/>
              <w:jc w:val="both"/>
              <w:rPr>
                <w:rFonts w:hint="default"/>
                <w:lang w:val="en-US" w:eastAsia="zh-CN"/>
              </w:rPr>
            </w:pPr>
            <w:r>
              <w:rPr>
                <w:rFonts w:hint="default"/>
                <w:lang w:val="en-US" w:eastAsia="zh-CN"/>
              </w:rPr>
              <w:t>合理低价法</w:t>
            </w:r>
          </w:p>
        </w:tc>
        <w:tc>
          <w:tcPr>
            <w:tcW w:w="2118" w:type="dxa"/>
          </w:tcPr>
          <w:p w14:paraId="38AB4CC3">
            <w:pPr>
              <w:widowControl w:val="0"/>
              <w:bidi w:val="0"/>
              <w:jc w:val="both"/>
              <w:rPr>
                <w:rFonts w:hint="default"/>
                <w:lang w:val="en-US" w:eastAsia="zh-CN"/>
              </w:rPr>
            </w:pPr>
            <w:r>
              <w:rPr>
                <w:rFonts w:hint="default"/>
                <w:lang w:val="en-US" w:eastAsia="zh-CN"/>
              </w:rPr>
              <w:t xml:space="preserve">评标价的确定： </w:t>
            </w:r>
          </w:p>
          <w:p w14:paraId="3BA586B7">
            <w:pPr>
              <w:widowControl w:val="0"/>
              <w:bidi w:val="0"/>
              <w:jc w:val="both"/>
              <w:rPr>
                <w:rFonts w:hint="default"/>
                <w:lang w:val="en-US" w:eastAsia="zh-CN"/>
              </w:rPr>
            </w:pPr>
            <w:r>
              <w:rPr>
                <w:rFonts w:hint="default"/>
                <w:lang w:val="en-US" w:eastAsia="zh-CN"/>
              </w:rPr>
              <w:t xml:space="preserve">方法一：评标价=投标报价 </w:t>
            </w:r>
          </w:p>
          <w:p w14:paraId="1A534B6B">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05BFFBC3">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2239A708">
            <w:pPr>
              <w:widowControl w:val="0"/>
              <w:bidi w:val="0"/>
              <w:jc w:val="both"/>
              <w:rPr>
                <w:rFonts w:hint="default"/>
                <w:lang w:val="en-US" w:eastAsia="zh-CN"/>
              </w:rPr>
            </w:pPr>
          </w:p>
          <w:p w14:paraId="7178F92A">
            <w:pPr>
              <w:widowControl w:val="0"/>
              <w:bidi w:val="0"/>
              <w:jc w:val="both"/>
              <w:rPr>
                <w:rFonts w:hint="default"/>
                <w:lang w:val="en-US" w:eastAsia="zh-CN"/>
              </w:rPr>
            </w:pPr>
            <w:r>
              <w:rPr>
                <w:rFonts w:hint="default"/>
                <w:lang w:val="en-US" w:eastAsia="zh-CN"/>
              </w:rPr>
              <w:t xml:space="preserve">最高评标限价的确定 </w:t>
            </w:r>
          </w:p>
          <w:p w14:paraId="1BE41E2E">
            <w:pPr>
              <w:widowControl w:val="0"/>
              <w:bidi w:val="0"/>
              <w:jc w:val="both"/>
              <w:rPr>
                <w:rFonts w:hint="default"/>
                <w:lang w:val="en-US" w:eastAsia="zh-CN"/>
              </w:rPr>
            </w:pP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 xml:space="preserve">： </w:t>
            </w:r>
          </w:p>
          <w:p w14:paraId="4145DB62">
            <w:pPr>
              <w:widowControl w:val="0"/>
              <w:bidi w:val="0"/>
              <w:jc w:val="both"/>
              <w:rPr>
                <w:rFonts w:hint="default"/>
                <w:lang w:val="en-US" w:eastAsia="zh-CN"/>
              </w:rPr>
            </w:pPr>
            <w:r>
              <w:rPr>
                <w:rFonts w:hint="default"/>
                <w:lang w:val="en-US" w:eastAsia="zh-CN"/>
              </w:rPr>
              <w:t>最高评标限价＝最高投标限价</w:t>
            </w:r>
          </w:p>
          <w:p w14:paraId="1C26B571">
            <w:pPr>
              <w:widowControl w:val="0"/>
              <w:bidi w:val="0"/>
              <w:jc w:val="both"/>
              <w:rPr>
                <w:rFonts w:hint="default"/>
                <w:lang w:val="en-US" w:eastAsia="zh-CN"/>
              </w:rPr>
            </w:pPr>
            <w:r>
              <w:rPr>
                <w:rFonts w:hint="default"/>
                <w:lang w:val="en-US" w:eastAsia="zh-CN"/>
              </w:rPr>
              <w:t>×（1-下浮率</w:t>
            </w:r>
            <w:r>
              <w:rPr>
                <w:rFonts w:hint="eastAsia"/>
                <w:lang w:val="en-US" w:eastAsia="zh-CN"/>
              </w:rPr>
              <w:t>n</w:t>
            </w:r>
            <w:r>
              <w:rPr>
                <w:rFonts w:hint="default"/>
                <w:lang w:val="en-US" w:eastAsia="zh-CN"/>
              </w:rPr>
              <w:t>）</w:t>
            </w:r>
          </w:p>
          <w:p w14:paraId="65689CE2">
            <w:pPr>
              <w:widowControl w:val="0"/>
              <w:bidi w:val="0"/>
              <w:jc w:val="both"/>
              <w:rPr>
                <w:rFonts w:hint="default"/>
                <w:lang w:val="en-US" w:eastAsia="zh-CN"/>
              </w:rPr>
            </w:pPr>
          </w:p>
          <w:p w14:paraId="51972787">
            <w:pPr>
              <w:widowControl w:val="0"/>
              <w:bidi w:val="0"/>
              <w:jc w:val="both"/>
              <w:rPr>
                <w:rFonts w:hint="default"/>
                <w:lang w:val="en-US" w:eastAsia="zh-CN"/>
              </w:rPr>
            </w:pPr>
            <w:r>
              <w:rPr>
                <w:rFonts w:hint="default"/>
                <w:lang w:val="en-US" w:eastAsia="zh-CN"/>
              </w:rPr>
              <w:t xml:space="preserve">报价评标基准价的确定： </w:t>
            </w:r>
          </w:p>
          <w:p w14:paraId="5A1BA8BA">
            <w:pPr>
              <w:widowControl w:val="0"/>
              <w:bidi w:val="0"/>
              <w:jc w:val="both"/>
              <w:rPr>
                <w:rFonts w:hint="default"/>
                <w:lang w:val="en-US" w:eastAsia="zh-CN"/>
              </w:rPr>
            </w:pPr>
            <w:r>
              <w:rPr>
                <w:rFonts w:hint="default"/>
                <w:lang w:val="en-US" w:eastAsia="zh-CN"/>
              </w:rPr>
              <w:t xml:space="preserve">方法一：( M ×最高评标限价 + N ×参与评标基准价计算的有效评标价的平均值） </w:t>
            </w:r>
          </w:p>
          <w:p w14:paraId="143E5CAB">
            <w:pPr>
              <w:widowControl w:val="0"/>
              <w:bidi w:val="0"/>
              <w:jc w:val="both"/>
              <w:rPr>
                <w:rFonts w:hint="default"/>
                <w:lang w:val="en-US" w:eastAsia="zh-CN"/>
              </w:rPr>
            </w:pPr>
            <w:r>
              <w:rPr>
                <w:rFonts w:hint="default"/>
                <w:lang w:val="en-US" w:eastAsia="zh-CN"/>
              </w:rPr>
              <w:t xml:space="preserve">（M 可选择 0.5、0.6、0.7、0.8、0.9、1.0；N 可对应选择 0.5、0.4、0.3、0.2、0.1、0,且 M+N=1） </w:t>
            </w:r>
          </w:p>
          <w:p w14:paraId="1E243807">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252BC06F">
            <w:pPr>
              <w:widowControl w:val="0"/>
              <w:bidi w:val="0"/>
              <w:jc w:val="both"/>
              <w:rPr>
                <w:rFonts w:hint="default"/>
                <w:lang w:val="en-US" w:eastAsia="zh-CN"/>
              </w:rPr>
            </w:pPr>
          </w:p>
        </w:tc>
        <w:tc>
          <w:tcPr>
            <w:tcW w:w="1342" w:type="dxa"/>
          </w:tcPr>
          <w:p w14:paraId="5777EC7F">
            <w:pPr>
              <w:widowControl w:val="0"/>
              <w:bidi w:val="0"/>
              <w:jc w:val="both"/>
              <w:rPr>
                <w:rFonts w:hint="default"/>
                <w:lang w:val="en-US" w:eastAsia="zh-CN"/>
              </w:rPr>
            </w:pPr>
            <w:r>
              <w:rPr>
                <w:rFonts w:hint="eastAsia"/>
                <w:lang w:val="en-US" w:eastAsia="zh-CN"/>
              </w:rPr>
              <w:t>无</w:t>
            </w:r>
          </w:p>
        </w:tc>
        <w:tc>
          <w:tcPr>
            <w:tcW w:w="1276" w:type="dxa"/>
          </w:tcPr>
          <w:p w14:paraId="1A2F6491">
            <w:pPr>
              <w:widowControl w:val="0"/>
              <w:bidi w:val="0"/>
              <w:jc w:val="both"/>
              <w:rPr>
                <w:rFonts w:hint="default"/>
                <w:lang w:val="en-US" w:eastAsia="zh-CN"/>
              </w:rPr>
            </w:pPr>
            <w:r>
              <w:rPr>
                <w:rFonts w:hint="eastAsia"/>
                <w:lang w:val="en-US" w:eastAsia="zh-CN"/>
              </w:rPr>
              <w:t>无</w:t>
            </w:r>
          </w:p>
        </w:tc>
        <w:tc>
          <w:tcPr>
            <w:tcW w:w="5117" w:type="dxa"/>
          </w:tcPr>
          <w:p w14:paraId="3832E057">
            <w:pPr>
              <w:widowControl w:val="0"/>
              <w:bidi w:val="0"/>
              <w:jc w:val="both"/>
              <w:rPr>
                <w:rFonts w:hint="default"/>
                <w:lang w:val="en-US" w:eastAsia="zh-CN"/>
              </w:rPr>
            </w:pPr>
            <w:r>
              <w:rPr>
                <w:rFonts w:hint="default"/>
                <w:lang w:val="en-US" w:eastAsia="zh-CN"/>
              </w:rPr>
              <w:t>评标价：95分</w:t>
            </w:r>
            <w:r>
              <w:rPr>
                <w:rFonts w:hint="eastAsia"/>
                <w:lang w:val="en-US" w:eastAsia="zh-CN"/>
              </w:rPr>
              <w:t>，</w:t>
            </w:r>
            <w:r>
              <w:rPr>
                <w:rFonts w:hint="default"/>
                <w:lang w:val="en-US" w:eastAsia="zh-CN"/>
              </w:rPr>
              <w:t>其它因素：5分</w:t>
            </w:r>
          </w:p>
          <w:p w14:paraId="0246A733">
            <w:pPr>
              <w:widowControl w:val="0"/>
              <w:bidi w:val="0"/>
              <w:jc w:val="both"/>
              <w:rPr>
                <w:rFonts w:hint="default"/>
                <w:lang w:val="en-US" w:eastAsia="zh-CN"/>
              </w:rPr>
            </w:pPr>
          </w:p>
          <w:p w14:paraId="23ADF56F">
            <w:pPr>
              <w:widowControl w:val="0"/>
              <w:bidi w:val="0"/>
              <w:jc w:val="both"/>
              <w:rPr>
                <w:rFonts w:hint="default"/>
                <w:lang w:val="en-US" w:eastAsia="zh-CN"/>
              </w:rPr>
            </w:pPr>
            <w:r>
              <w:rPr>
                <w:rFonts w:hint="default"/>
                <w:lang w:val="en-US" w:eastAsia="zh-CN"/>
              </w:rPr>
              <w:t xml:space="preserve">评标价的确定： </w:t>
            </w:r>
          </w:p>
          <w:p w14:paraId="3248E6FF">
            <w:pPr>
              <w:widowControl w:val="0"/>
              <w:bidi w:val="0"/>
              <w:jc w:val="both"/>
              <w:rPr>
                <w:rFonts w:hint="default"/>
                <w:lang w:val="en-US" w:eastAsia="zh-CN"/>
              </w:rPr>
            </w:pPr>
            <w:r>
              <w:rPr>
                <w:rFonts w:hint="default"/>
                <w:lang w:val="en-US" w:eastAsia="zh-CN"/>
              </w:rPr>
              <w:t xml:space="preserve">方法一：评标价=投标报价 </w:t>
            </w:r>
          </w:p>
          <w:p w14:paraId="3506B817">
            <w:pPr>
              <w:widowControl w:val="0"/>
              <w:bidi w:val="0"/>
              <w:jc w:val="both"/>
              <w:rPr>
                <w:rFonts w:hint="default"/>
                <w:lang w:val="en-US" w:eastAsia="zh-CN"/>
              </w:rPr>
            </w:pPr>
            <w:r>
              <w:rPr>
                <w:rFonts w:hint="default"/>
                <w:lang w:val="en-US" w:eastAsia="zh-CN"/>
              </w:rPr>
              <w:t>方法二：评标价=投标报价</w:t>
            </w:r>
            <w:r>
              <w:rPr>
                <w:rFonts w:hint="eastAsia"/>
                <w:lang w:val="en-US" w:eastAsia="zh-CN"/>
              </w:rPr>
              <w:t>-</w:t>
            </w:r>
            <w:r>
              <w:rPr>
                <w:rFonts w:hint="default"/>
                <w:lang w:val="en-US" w:eastAsia="zh-CN"/>
              </w:rPr>
              <w:t>暂估价</w:t>
            </w:r>
            <w:r>
              <w:rPr>
                <w:rFonts w:hint="eastAsia"/>
                <w:lang w:val="en-US" w:eastAsia="zh-CN"/>
              </w:rPr>
              <w:t>-</w:t>
            </w:r>
            <w:r>
              <w:rPr>
                <w:rFonts w:hint="default"/>
                <w:lang w:val="en-US" w:eastAsia="zh-CN"/>
              </w:rPr>
              <w:t xml:space="preserve">暂列金额（不含计日工总额） </w:t>
            </w:r>
          </w:p>
          <w:p w14:paraId="5E4AE1E9">
            <w:pPr>
              <w:widowControl w:val="0"/>
              <w:bidi w:val="0"/>
              <w:jc w:val="both"/>
              <w:rPr>
                <w:rFonts w:hint="default"/>
                <w:lang w:val="en-US" w:eastAsia="zh-CN"/>
              </w:rPr>
            </w:pPr>
            <w:r>
              <w:rPr>
                <w:rFonts w:hint="default"/>
                <w:lang w:val="en-US" w:eastAsia="zh-CN"/>
              </w:rPr>
              <w:t>方法三：评标价=投标报价</w:t>
            </w:r>
            <w:r>
              <w:rPr>
                <w:rFonts w:hint="eastAsia"/>
                <w:lang w:val="en-US" w:eastAsia="zh-CN"/>
              </w:rPr>
              <w:t>-</w:t>
            </w:r>
            <w:r>
              <w:rPr>
                <w:rFonts w:hint="default"/>
                <w:lang w:val="en-US" w:eastAsia="zh-CN"/>
              </w:rPr>
              <w:t>安全生产经费</w:t>
            </w:r>
          </w:p>
          <w:p w14:paraId="1DEB9175">
            <w:pPr>
              <w:widowControl w:val="0"/>
              <w:bidi w:val="0"/>
              <w:jc w:val="both"/>
              <w:rPr>
                <w:rFonts w:hint="default"/>
                <w:lang w:val="en-US" w:eastAsia="zh-CN"/>
              </w:rPr>
            </w:pPr>
          </w:p>
          <w:p w14:paraId="1450D435">
            <w:pPr>
              <w:widowControl w:val="0"/>
              <w:bidi w:val="0"/>
              <w:jc w:val="both"/>
              <w:rPr>
                <w:rFonts w:hint="default"/>
                <w:lang w:val="en-US" w:eastAsia="zh-CN"/>
              </w:rPr>
            </w:pPr>
            <w:r>
              <w:rPr>
                <w:rFonts w:hint="default"/>
                <w:lang w:val="en-US" w:eastAsia="zh-CN"/>
              </w:rPr>
              <w:t>最高评标限价的确定</w:t>
            </w:r>
            <w:r>
              <w:rPr>
                <w:rFonts w:hint="eastAsia"/>
                <w:lang w:val="en-US" w:eastAsia="zh-CN"/>
              </w:rPr>
              <w:t>：</w:t>
            </w:r>
            <w:r>
              <w:rPr>
                <w:rFonts w:hint="default"/>
                <w:lang w:val="en-US" w:eastAsia="zh-CN"/>
              </w:rPr>
              <w:t>在开标现场摇珠方式</w:t>
            </w:r>
            <w:r>
              <w:rPr>
                <w:rFonts w:hint="eastAsia"/>
                <w:lang w:val="en-US" w:eastAsia="zh-CN"/>
              </w:rPr>
              <w:t>抽取下浮率n，</w:t>
            </w:r>
            <w:r>
              <w:rPr>
                <w:rFonts w:hint="default"/>
                <w:lang w:val="en-US" w:eastAsia="zh-CN"/>
              </w:rPr>
              <w:t>最高评标限价＝最高投标限价×（1-下浮率</w:t>
            </w:r>
            <w:r>
              <w:rPr>
                <w:rFonts w:hint="eastAsia"/>
                <w:lang w:val="en-US" w:eastAsia="zh-CN"/>
              </w:rPr>
              <w:t>n</w:t>
            </w:r>
            <w:r>
              <w:rPr>
                <w:rFonts w:hint="default"/>
                <w:lang w:val="en-US" w:eastAsia="zh-CN"/>
              </w:rPr>
              <w:t>）</w:t>
            </w:r>
          </w:p>
          <w:p w14:paraId="4D968387">
            <w:pPr>
              <w:widowControl w:val="0"/>
              <w:bidi w:val="0"/>
              <w:jc w:val="both"/>
              <w:rPr>
                <w:rFonts w:hint="default"/>
                <w:lang w:val="en-US" w:eastAsia="zh-CN"/>
              </w:rPr>
            </w:pPr>
          </w:p>
          <w:p w14:paraId="041EC791">
            <w:pPr>
              <w:widowControl w:val="0"/>
              <w:bidi w:val="0"/>
              <w:jc w:val="both"/>
              <w:rPr>
                <w:rFonts w:hint="default"/>
                <w:lang w:val="en-US" w:eastAsia="zh-CN"/>
              </w:rPr>
            </w:pPr>
            <w:r>
              <w:rPr>
                <w:rFonts w:hint="default"/>
                <w:lang w:val="en-US" w:eastAsia="zh-CN"/>
              </w:rPr>
              <w:t>评标基准价计算</w:t>
            </w:r>
          </w:p>
          <w:p w14:paraId="215248D2">
            <w:pPr>
              <w:widowControl w:val="0"/>
              <w:bidi w:val="0"/>
              <w:jc w:val="both"/>
              <w:rPr>
                <w:rFonts w:hint="default"/>
                <w:lang w:val="en-US" w:eastAsia="zh-CN"/>
              </w:rPr>
            </w:pPr>
            <w:r>
              <w:rPr>
                <w:rFonts w:hint="eastAsia"/>
                <w:lang w:val="en-US" w:eastAsia="zh-CN"/>
              </w:rPr>
              <w:t>1、</w:t>
            </w:r>
            <w:r>
              <w:rPr>
                <w:rFonts w:hint="default"/>
                <w:lang w:val="en-US" w:eastAsia="zh-CN"/>
              </w:rPr>
              <w:t>参与评标基准价计算的评标价的范围：最高</w:t>
            </w:r>
            <w:r>
              <w:rPr>
                <w:rFonts w:hint="eastAsia"/>
                <w:lang w:val="en-US" w:eastAsia="zh-CN"/>
              </w:rPr>
              <w:t>评标</w:t>
            </w:r>
            <w:r>
              <w:rPr>
                <w:rFonts w:hint="default"/>
                <w:lang w:val="en-US" w:eastAsia="zh-CN"/>
              </w:rPr>
              <w:t>限价的85%≤参与评标基准价计算的评标价≤最高</w:t>
            </w:r>
            <w:r>
              <w:rPr>
                <w:rFonts w:hint="eastAsia"/>
                <w:lang w:val="en-US" w:eastAsia="zh-CN"/>
              </w:rPr>
              <w:t>评标</w:t>
            </w:r>
            <w:r>
              <w:rPr>
                <w:rFonts w:hint="default"/>
                <w:lang w:val="en-US" w:eastAsia="zh-CN"/>
              </w:rPr>
              <w:t>限价的100%，小于最高投标限价的85%的评标价不参与评标基准价的计算，但仍参与评标价的得分计算。</w:t>
            </w:r>
          </w:p>
          <w:p w14:paraId="4523C80A">
            <w:pPr>
              <w:widowControl w:val="0"/>
              <w:bidi w:val="0"/>
              <w:jc w:val="both"/>
              <w:rPr>
                <w:rFonts w:hint="default"/>
                <w:lang w:val="en-US" w:eastAsia="zh-CN"/>
              </w:rPr>
            </w:pPr>
            <w:r>
              <w:rPr>
                <w:rFonts w:hint="eastAsia"/>
                <w:lang w:val="en-US" w:eastAsia="zh-CN"/>
              </w:rPr>
              <w:t>2、</w:t>
            </w:r>
            <w:r>
              <w:rPr>
                <w:rFonts w:hint="default"/>
                <w:lang w:val="en-US" w:eastAsia="zh-CN"/>
              </w:rPr>
              <w:t>参与评标基准价的评标价平均值计算：除开标现场被宣布否决其投标的投标报价之外，在上述确定的参与评标基准价计算的评标价中去掉一个最高值和一个最低值后的算术平均值即为参与评标基准价计算的有效评标价平均值(如果参与计算投标人少于5 家，则不去掉最高值和最低值)；若投标人的评标价均小于最高</w:t>
            </w:r>
            <w:r>
              <w:rPr>
                <w:rFonts w:hint="eastAsia"/>
                <w:lang w:val="en-US" w:eastAsia="zh-CN"/>
              </w:rPr>
              <w:t>评标</w:t>
            </w:r>
            <w:r>
              <w:rPr>
                <w:rFonts w:hint="default"/>
                <w:lang w:val="en-US" w:eastAsia="zh-CN"/>
              </w:rPr>
              <w:t>限价的85%时，则以最高投标限价的85%为评标基准价</w:t>
            </w:r>
            <w:r>
              <w:rPr>
                <w:rFonts w:hint="eastAsia"/>
                <w:lang w:val="en-US" w:eastAsia="zh-CN"/>
              </w:rPr>
              <w:t>。</w:t>
            </w:r>
          </w:p>
          <w:p w14:paraId="37B9742E">
            <w:pPr>
              <w:widowControl w:val="0"/>
              <w:bidi w:val="0"/>
              <w:jc w:val="both"/>
              <w:rPr>
                <w:rFonts w:hint="default"/>
                <w:lang w:val="en-US" w:eastAsia="zh-CN"/>
              </w:rPr>
            </w:pPr>
            <w:r>
              <w:rPr>
                <w:rFonts w:hint="default"/>
                <w:lang w:val="en-US" w:eastAsia="zh-CN"/>
              </w:rPr>
              <w:t>备注：算术平均值四舍五入至小数点后两位</w:t>
            </w:r>
          </w:p>
          <w:p w14:paraId="5AEAD162">
            <w:pPr>
              <w:widowControl w:val="0"/>
              <w:bidi w:val="0"/>
              <w:jc w:val="both"/>
              <w:rPr>
                <w:rFonts w:hint="default"/>
                <w:lang w:val="en-US" w:eastAsia="zh-CN"/>
              </w:rPr>
            </w:pPr>
            <w:r>
              <w:rPr>
                <w:rFonts w:hint="eastAsia"/>
                <w:lang w:val="en-US" w:eastAsia="zh-CN"/>
              </w:rPr>
              <w:t>3、</w:t>
            </w:r>
            <w:r>
              <w:rPr>
                <w:rFonts w:hint="default"/>
                <w:lang w:val="en-US" w:eastAsia="zh-CN"/>
              </w:rPr>
              <w:t>若投标人的评标价均小于最高</w:t>
            </w:r>
            <w:r>
              <w:rPr>
                <w:rFonts w:hint="eastAsia"/>
                <w:lang w:val="en-US" w:eastAsia="zh-CN"/>
              </w:rPr>
              <w:t>评标</w:t>
            </w:r>
            <w:r>
              <w:rPr>
                <w:rFonts w:hint="default"/>
                <w:lang w:val="en-US" w:eastAsia="zh-CN"/>
              </w:rPr>
              <w:t>限价的85%时，应对投标报价小于85%的启动澄清程序，要求投标人作出书面说明并提供相关证明材料。投标人不能合理说明或者不能提供相关证明资料的，评标委员会认定该投标人以低于成本报价竞标，否决其投标。</w:t>
            </w:r>
          </w:p>
          <w:p w14:paraId="5B970859">
            <w:pPr>
              <w:widowControl w:val="0"/>
              <w:bidi w:val="0"/>
              <w:jc w:val="both"/>
              <w:rPr>
                <w:rFonts w:hint="default"/>
                <w:lang w:val="en-US" w:eastAsia="zh-CN"/>
              </w:rPr>
            </w:pPr>
            <w:r>
              <w:rPr>
                <w:rFonts w:hint="eastAsia"/>
                <w:lang w:val="en-US" w:eastAsia="zh-CN"/>
              </w:rPr>
              <w:t>4、</w:t>
            </w:r>
            <w:r>
              <w:rPr>
                <w:rFonts w:hint="default"/>
                <w:lang w:val="en-US" w:eastAsia="zh-CN"/>
              </w:rPr>
              <w:t>评标基准价</w:t>
            </w:r>
          </w:p>
          <w:p w14:paraId="78944500">
            <w:pPr>
              <w:widowControl w:val="0"/>
              <w:bidi w:val="0"/>
              <w:jc w:val="both"/>
              <w:rPr>
                <w:rFonts w:hint="default"/>
                <w:lang w:val="en-US" w:eastAsia="zh-CN"/>
              </w:rPr>
            </w:pPr>
            <w:r>
              <w:rPr>
                <w:rFonts w:hint="default"/>
                <w:lang w:val="en-US" w:eastAsia="zh-CN"/>
              </w:rPr>
              <w:t>方法一：</w:t>
            </w:r>
            <w:r>
              <w:rPr>
                <w:rFonts w:hint="eastAsia"/>
                <w:lang w:val="en-US" w:eastAsia="zh-CN"/>
              </w:rPr>
              <w:t>投标价平均值</w:t>
            </w:r>
            <w:r>
              <w:rPr>
                <w:rFonts w:hint="default"/>
                <w:lang w:val="en-US" w:eastAsia="zh-CN"/>
              </w:rPr>
              <w:t xml:space="preserve"> </w:t>
            </w:r>
          </w:p>
          <w:p w14:paraId="37317719">
            <w:pPr>
              <w:widowControl w:val="0"/>
              <w:bidi w:val="0"/>
              <w:jc w:val="both"/>
              <w:rPr>
                <w:rFonts w:hint="default"/>
                <w:lang w:val="en-US" w:eastAsia="zh-CN"/>
              </w:rPr>
            </w:pPr>
            <w:r>
              <w:rPr>
                <w:rFonts w:hint="default"/>
                <w:lang w:val="en-US" w:eastAsia="zh-CN"/>
              </w:rPr>
              <w:t>方法二：最高评标限价下浮一定比例（K），作为评标基准价。K 值范围可取 1.0%、2.0%、3.0%</w:t>
            </w:r>
          </w:p>
          <w:p w14:paraId="66D50FE1">
            <w:pPr>
              <w:widowControl w:val="0"/>
              <w:bidi w:val="0"/>
              <w:jc w:val="both"/>
              <w:rPr>
                <w:rFonts w:hint="default"/>
                <w:lang w:val="en-US" w:eastAsia="zh-CN"/>
              </w:rPr>
            </w:pPr>
            <w:r>
              <w:rPr>
                <w:rFonts w:hint="eastAsia"/>
                <w:lang w:val="en-US" w:eastAsia="zh-CN"/>
              </w:rPr>
              <w:t>方法三：评标价平均值</w:t>
            </w:r>
            <w:r>
              <w:rPr>
                <w:rFonts w:hint="default"/>
                <w:lang w:val="en-US" w:eastAsia="zh-CN"/>
              </w:rPr>
              <w:t>×</w:t>
            </w:r>
            <w:r>
              <w:rPr>
                <w:rFonts w:hint="eastAsia"/>
                <w:lang w:val="en-US" w:eastAsia="zh-CN"/>
              </w:rPr>
              <w:t>现场抽取的系数</w:t>
            </w:r>
          </w:p>
          <w:p w14:paraId="00492527">
            <w:pPr>
              <w:widowControl w:val="0"/>
              <w:bidi w:val="0"/>
              <w:jc w:val="both"/>
              <w:rPr>
                <w:rFonts w:hint="default"/>
                <w:lang w:val="en-US" w:eastAsia="zh-CN"/>
              </w:rPr>
            </w:pPr>
            <w:r>
              <w:rPr>
                <w:rFonts w:hint="eastAsia"/>
                <w:lang w:val="en-US" w:eastAsia="zh-CN"/>
              </w:rPr>
              <w:t>方法四：最高评标限价</w:t>
            </w:r>
            <w:r>
              <w:rPr>
                <w:rFonts w:hint="default"/>
                <w:lang w:val="en-US" w:eastAsia="zh-CN"/>
              </w:rPr>
              <w:t>×</w:t>
            </w:r>
            <w:r>
              <w:rPr>
                <w:rFonts w:hint="eastAsia"/>
                <w:lang w:val="en-US" w:eastAsia="zh-CN"/>
              </w:rPr>
              <w:t xml:space="preserve">(1-K%)。K可配置 </w:t>
            </w:r>
          </w:p>
          <w:p w14:paraId="7A439ADC">
            <w:pPr>
              <w:widowControl w:val="0"/>
              <w:bidi w:val="0"/>
              <w:jc w:val="both"/>
              <w:rPr>
                <w:rFonts w:hint="default"/>
                <w:lang w:val="en-US" w:eastAsia="zh-CN"/>
              </w:rPr>
            </w:pPr>
            <w:r>
              <w:rPr>
                <w:rFonts w:hint="eastAsia"/>
                <w:lang w:val="en-US" w:eastAsia="zh-CN"/>
              </w:rPr>
              <w:t>方法五：</w:t>
            </w:r>
            <w:r>
              <w:rPr>
                <w:rFonts w:hint="default"/>
                <w:lang w:val="en-US" w:eastAsia="zh-CN"/>
              </w:rPr>
              <w:t xml:space="preserve">( M ×最高评标限价 + N ×参与评标基准价计算的有效评标价的平均值） </w:t>
            </w:r>
          </w:p>
          <w:p w14:paraId="4D0F5E87">
            <w:pPr>
              <w:widowControl w:val="0"/>
              <w:bidi w:val="0"/>
              <w:jc w:val="both"/>
              <w:rPr>
                <w:rFonts w:hint="default"/>
                <w:lang w:val="en-US" w:eastAsia="zh-CN"/>
              </w:rPr>
            </w:pPr>
            <w:r>
              <w:rPr>
                <w:rFonts w:hint="default"/>
                <w:lang w:val="en-US" w:eastAsia="zh-CN"/>
              </w:rPr>
              <w:t>（M 可选择 0.5、0.6、0.7、0.8、0.9、1.0；N 可对应选择 0.5、0.4、0.3、0.2、0.1、0,且 M+N=1）</w:t>
            </w:r>
          </w:p>
          <w:p w14:paraId="41AABFD3">
            <w:pPr>
              <w:widowControl w:val="0"/>
              <w:bidi w:val="0"/>
              <w:jc w:val="both"/>
              <w:rPr>
                <w:rFonts w:hint="default"/>
                <w:lang w:val="en-US" w:eastAsia="zh-CN"/>
              </w:rPr>
            </w:pPr>
          </w:p>
          <w:p w14:paraId="4DD0D2CB">
            <w:pPr>
              <w:widowControl w:val="0"/>
              <w:bidi w:val="0"/>
              <w:jc w:val="both"/>
              <w:rPr>
                <w:rFonts w:hint="default"/>
                <w:lang w:val="en-US" w:eastAsia="zh-CN"/>
              </w:rPr>
            </w:pPr>
            <w:r>
              <w:rPr>
                <w:rFonts w:hint="eastAsia"/>
                <w:lang w:val="en-US" w:eastAsia="zh-CN"/>
              </w:rPr>
              <w:t>偏差率计算：</w:t>
            </w:r>
          </w:p>
          <w:p w14:paraId="6FD24809">
            <w:pPr>
              <w:widowControl w:val="0"/>
              <w:bidi w:val="0"/>
              <w:jc w:val="both"/>
              <w:rPr>
                <w:rFonts w:hint="eastAsia"/>
                <w:lang w:val="en-US" w:eastAsia="zh-CN"/>
              </w:rPr>
            </w:pPr>
            <w:r>
              <w:rPr>
                <w:rFonts w:hint="default"/>
                <w:lang w:val="en-US" w:eastAsia="zh-CN"/>
              </w:rPr>
              <w:t>偏差率=100% ×(投标人评标价</w:t>
            </w:r>
            <w:r>
              <w:rPr>
                <w:rFonts w:hint="eastAsia"/>
                <w:lang w:val="en-US" w:eastAsia="zh-CN"/>
              </w:rPr>
              <w:t>-</w:t>
            </w:r>
            <w:r>
              <w:rPr>
                <w:rFonts w:hint="default"/>
                <w:lang w:val="en-US" w:eastAsia="zh-CN"/>
              </w:rPr>
              <w:t>评标基准价）/评标基准价</w:t>
            </w:r>
            <w:r>
              <w:rPr>
                <w:rFonts w:hint="eastAsia"/>
                <w:lang w:val="en-US" w:eastAsia="zh-CN"/>
              </w:rPr>
              <w:t xml:space="preserve"> （</w:t>
            </w:r>
            <w:r>
              <w:rPr>
                <w:rFonts w:hint="default"/>
                <w:lang w:val="en-US" w:eastAsia="zh-CN"/>
              </w:rPr>
              <w:t>备注：偏差率保留四位小数</w:t>
            </w:r>
            <w:r>
              <w:rPr>
                <w:rFonts w:hint="eastAsia"/>
                <w:lang w:val="en-US" w:eastAsia="zh-CN"/>
              </w:rPr>
              <w:t>）</w:t>
            </w:r>
          </w:p>
          <w:p w14:paraId="5E1B0F14">
            <w:pPr>
              <w:widowControl w:val="0"/>
              <w:bidi w:val="0"/>
              <w:jc w:val="both"/>
              <w:rPr>
                <w:rFonts w:hint="eastAsia"/>
                <w:lang w:val="en-US" w:eastAsia="zh-CN"/>
              </w:rPr>
            </w:pPr>
          </w:p>
          <w:p w14:paraId="7581EF33">
            <w:pPr>
              <w:widowControl w:val="0"/>
              <w:bidi w:val="0"/>
              <w:jc w:val="both"/>
              <w:rPr>
                <w:rFonts w:hint="default"/>
                <w:lang w:val="en-US" w:eastAsia="zh-CN"/>
              </w:rPr>
            </w:pPr>
            <w:r>
              <w:rPr>
                <w:rFonts w:hint="default"/>
                <w:lang w:val="en-US" w:eastAsia="zh-CN"/>
              </w:rPr>
              <w:t>评标价得分计算公式：</w:t>
            </w:r>
          </w:p>
          <w:p w14:paraId="7BAEF381">
            <w:pPr>
              <w:widowControl w:val="0"/>
              <w:bidi w:val="0"/>
              <w:jc w:val="both"/>
              <w:rPr>
                <w:rFonts w:hint="default"/>
                <w:lang w:val="en-US" w:eastAsia="zh-CN"/>
              </w:rPr>
            </w:pPr>
            <w:r>
              <w:rPr>
                <w:rFonts w:hint="default"/>
                <w:lang w:val="en-US" w:eastAsia="zh-CN"/>
              </w:rPr>
              <w:t>(1)如果投标人的评标价&gt;评标基准价，则评标价得分＝95－偏差率×100×D1；</w:t>
            </w:r>
            <w:r>
              <w:rPr>
                <w:rFonts w:hint="eastAsia"/>
                <w:lang w:val="en-US" w:eastAsia="zh-CN"/>
              </w:rPr>
              <w:t>扣分因子</w:t>
            </w:r>
            <w:r>
              <w:rPr>
                <w:rFonts w:hint="default"/>
                <w:lang w:val="en-US" w:eastAsia="zh-CN"/>
              </w:rPr>
              <w:t xml:space="preserve">D1 取 </w:t>
            </w:r>
            <w:r>
              <w:rPr>
                <w:rFonts w:hint="eastAsia"/>
                <w:lang w:val="en-US" w:eastAsia="zh-CN"/>
              </w:rPr>
              <w:t>【</w:t>
            </w:r>
            <w:r>
              <w:rPr>
                <w:rFonts w:hint="default"/>
                <w:lang w:val="en-US" w:eastAsia="zh-CN"/>
              </w:rPr>
              <w:t>3</w:t>
            </w:r>
            <w:r>
              <w:rPr>
                <w:rFonts w:hint="eastAsia"/>
                <w:lang w:val="en-US" w:eastAsia="zh-CN"/>
              </w:rPr>
              <w:t>】</w:t>
            </w:r>
            <w:r>
              <w:rPr>
                <w:rFonts w:hint="default"/>
                <w:lang w:val="en-US" w:eastAsia="zh-CN"/>
              </w:rPr>
              <w:tab/>
            </w:r>
            <w:r>
              <w:rPr>
                <w:rFonts w:hint="default"/>
                <w:lang w:val="en-US" w:eastAsia="zh-CN"/>
              </w:rPr>
              <w:t>；</w:t>
            </w:r>
          </w:p>
          <w:p w14:paraId="62510D42">
            <w:pPr>
              <w:widowControl w:val="0"/>
              <w:bidi w:val="0"/>
              <w:jc w:val="both"/>
              <w:rPr>
                <w:rFonts w:hint="default"/>
                <w:lang w:val="en-US" w:eastAsia="zh-CN"/>
              </w:rPr>
            </w:pPr>
            <w:r>
              <w:rPr>
                <w:rFonts w:hint="default"/>
                <w:lang w:val="en-US" w:eastAsia="zh-CN"/>
              </w:rPr>
              <w:t>(2)如果投标人的评标价≤评标基准价，则评标价得分＝95＋偏差率×100×D2；</w:t>
            </w:r>
            <w:r>
              <w:rPr>
                <w:rFonts w:hint="eastAsia"/>
                <w:lang w:val="en-US" w:eastAsia="zh-CN"/>
              </w:rPr>
              <w:t>扣分因子</w:t>
            </w:r>
            <w:r>
              <w:rPr>
                <w:rFonts w:hint="default"/>
                <w:lang w:val="en-US" w:eastAsia="zh-CN"/>
              </w:rPr>
              <w:t xml:space="preserve">D2 取 </w:t>
            </w:r>
            <w:r>
              <w:rPr>
                <w:rFonts w:hint="eastAsia"/>
                <w:lang w:val="en-US" w:eastAsia="zh-CN"/>
              </w:rPr>
              <w:t>【</w:t>
            </w:r>
            <w:r>
              <w:rPr>
                <w:rFonts w:hint="default"/>
                <w:lang w:val="en-US" w:eastAsia="zh-CN"/>
              </w:rPr>
              <w:t>1</w:t>
            </w:r>
            <w:r>
              <w:rPr>
                <w:rFonts w:hint="eastAsia"/>
                <w:lang w:val="en-US" w:eastAsia="zh-CN"/>
              </w:rPr>
              <w:t>】</w:t>
            </w:r>
            <w:r>
              <w:rPr>
                <w:rFonts w:hint="default"/>
                <w:lang w:val="en-US" w:eastAsia="zh-CN"/>
              </w:rPr>
              <w:t>。</w:t>
            </w:r>
          </w:p>
          <w:p w14:paraId="0A80FCAE">
            <w:pPr>
              <w:widowControl w:val="0"/>
              <w:bidi w:val="0"/>
              <w:jc w:val="both"/>
              <w:rPr>
                <w:rFonts w:hint="default"/>
                <w:lang w:val="en-US" w:eastAsia="zh-CN"/>
              </w:rPr>
            </w:pPr>
            <w:r>
              <w:rPr>
                <w:rFonts w:hint="default"/>
                <w:lang w:val="en-US" w:eastAsia="zh-CN"/>
              </w:rPr>
              <w:t>备注：评标价保留小数点后四位。</w:t>
            </w:r>
          </w:p>
          <w:p w14:paraId="482148DD">
            <w:pPr>
              <w:widowControl w:val="0"/>
              <w:bidi w:val="0"/>
              <w:jc w:val="both"/>
              <w:rPr>
                <w:rFonts w:hint="eastAsia"/>
                <w:lang w:val="en-US" w:eastAsia="zh-CN"/>
              </w:rPr>
            </w:pPr>
          </w:p>
          <w:p w14:paraId="16D91DAA">
            <w:pPr>
              <w:widowControl w:val="0"/>
              <w:bidi w:val="0"/>
              <w:jc w:val="both"/>
              <w:rPr>
                <w:rFonts w:hint="default"/>
                <w:lang w:val="en-US" w:eastAsia="zh-CN"/>
              </w:rPr>
            </w:pPr>
            <w:r>
              <w:rPr>
                <w:rFonts w:hint="eastAsia"/>
                <w:lang w:val="en-US" w:eastAsia="zh-CN"/>
              </w:rPr>
              <w:t>其他因素评分：根据评分规则，单项评分，可以负分。（多个评委取平均值）</w:t>
            </w:r>
          </w:p>
          <w:p w14:paraId="286B5379">
            <w:pPr>
              <w:widowControl w:val="0"/>
              <w:bidi w:val="0"/>
              <w:jc w:val="both"/>
              <w:rPr>
                <w:rFonts w:hint="default"/>
                <w:lang w:val="en-US" w:eastAsia="zh-CN"/>
              </w:rPr>
            </w:pPr>
          </w:p>
        </w:tc>
      </w:tr>
    </w:tbl>
    <w:p w14:paraId="7CE56CB9">
      <w:pPr>
        <w:bidi w:val="0"/>
        <w:rPr>
          <w:rFonts w:hint="default"/>
          <w:lang w:val="en-US" w:eastAsia="zh-CN"/>
        </w:rPr>
      </w:pPr>
    </w:p>
    <w:p w14:paraId="5B068F4E">
      <w:pPr>
        <w:bidi w:val="0"/>
        <w:rPr>
          <w:rFonts w:hint="default"/>
          <w:lang w:val="en-US" w:eastAsia="zh-CN"/>
        </w:rPr>
      </w:pPr>
      <w:r>
        <w:rPr>
          <w:rFonts w:hint="eastAsia"/>
          <w:lang w:val="en-US" w:eastAsia="zh-CN"/>
        </w:rPr>
        <w:t>2、评分参数配置录入</w:t>
      </w:r>
    </w:p>
    <w:p w14:paraId="1F6A05D0">
      <w:pPr>
        <w:bidi w:val="0"/>
      </w:pPr>
      <w:r>
        <w:drawing>
          <wp:inline distT="0" distB="0" distL="114300" distR="114300">
            <wp:extent cx="6645910" cy="1403350"/>
            <wp:effectExtent l="0" t="0" r="13970" b="13970"/>
            <wp:docPr id="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2"/>
                    <pic:cNvPicPr>
                      <a:picLocks noChangeAspect="1"/>
                    </pic:cNvPicPr>
                  </pic:nvPicPr>
                  <pic:blipFill>
                    <a:blip r:embed="rId106"/>
                    <a:stretch>
                      <a:fillRect/>
                    </a:stretch>
                  </pic:blipFill>
                  <pic:spPr>
                    <a:xfrm>
                      <a:off x="0" y="0"/>
                      <a:ext cx="6645910" cy="1403350"/>
                    </a:xfrm>
                    <a:prstGeom prst="rect">
                      <a:avLst/>
                    </a:prstGeom>
                    <a:noFill/>
                    <a:ln>
                      <a:noFill/>
                    </a:ln>
                  </pic:spPr>
                </pic:pic>
              </a:graphicData>
            </a:graphic>
          </wp:inline>
        </w:drawing>
      </w:r>
    </w:p>
    <w:p w14:paraId="60293990">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评标办法：选“双信封的合理最低评标法”</w:t>
      </w:r>
    </w:p>
    <w:p w14:paraId="5D2305A8">
      <w:pPr>
        <w:bidi w:val="0"/>
        <w:rPr>
          <w:rFonts w:hint="eastAsia"/>
          <w:lang w:val="en-US" w:eastAsia="zh-CN"/>
        </w:rPr>
      </w:pPr>
      <w:r>
        <w:rPr>
          <w:rFonts w:hint="eastAsia"/>
          <w:lang w:val="en-US" w:eastAsia="zh-CN"/>
        </w:rPr>
        <w:t>（2）价格类型：总价</w:t>
      </w:r>
    </w:p>
    <w:p w14:paraId="14AF4663">
      <w:pPr>
        <w:bidi w:val="0"/>
        <w:rPr>
          <w:rFonts w:hint="default"/>
          <w:lang w:val="en-US" w:eastAsia="zh-CN"/>
        </w:rPr>
      </w:pPr>
      <w:r>
        <w:rPr>
          <w:rFonts w:hint="eastAsia"/>
          <w:lang w:val="en-US" w:eastAsia="zh-CN"/>
        </w:rPr>
        <w:t>（3）价格分：固定95</w:t>
      </w:r>
    </w:p>
    <w:p w14:paraId="0DBBA121">
      <w:pPr>
        <w:bidi w:val="0"/>
        <w:rPr>
          <w:rFonts w:hint="eastAsia"/>
          <w:lang w:val="en-US" w:eastAsia="zh-CN"/>
        </w:rPr>
      </w:pPr>
      <w:r>
        <w:rPr>
          <w:rFonts w:hint="eastAsia"/>
          <w:lang w:val="en-US" w:eastAsia="zh-CN"/>
        </w:rPr>
        <w:t>（4）扣分因子：低于或高于基准价的扣分因子</w:t>
      </w:r>
    </w:p>
    <w:p w14:paraId="59C1B1F2">
      <w:pPr>
        <w:bidi w:val="0"/>
        <w:rPr>
          <w:rFonts w:hint="default"/>
          <w:lang w:val="en-US" w:eastAsia="zh-CN"/>
        </w:rPr>
      </w:pPr>
      <w:r>
        <w:rPr>
          <w:rFonts w:hint="eastAsia"/>
          <w:lang w:val="en-US" w:eastAsia="zh-CN"/>
        </w:rPr>
        <w:t>（5）公路评标价方法：</w:t>
      </w:r>
    </w:p>
    <w:p w14:paraId="080AB986">
      <w:pPr>
        <w:bidi w:val="0"/>
        <w:rPr>
          <w:rFonts w:hint="default"/>
          <w:lang w:val="en-US" w:eastAsia="zh-CN"/>
        </w:rPr>
      </w:pPr>
      <w:r>
        <w:drawing>
          <wp:inline distT="0" distB="0" distL="114300" distR="114300">
            <wp:extent cx="3842385" cy="794385"/>
            <wp:effectExtent l="0" t="0" r="13335" b="13335"/>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107"/>
                    <a:stretch>
                      <a:fillRect/>
                    </a:stretch>
                  </pic:blipFill>
                  <pic:spPr>
                    <a:xfrm>
                      <a:off x="0" y="0"/>
                      <a:ext cx="3842385" cy="794385"/>
                    </a:xfrm>
                    <a:prstGeom prst="rect">
                      <a:avLst/>
                    </a:prstGeom>
                    <a:noFill/>
                    <a:ln>
                      <a:noFill/>
                    </a:ln>
                  </pic:spPr>
                </pic:pic>
              </a:graphicData>
            </a:graphic>
          </wp:inline>
        </w:drawing>
      </w:r>
    </w:p>
    <w:p w14:paraId="7001835A">
      <w:pPr>
        <w:bidi w:val="0"/>
        <w:rPr>
          <w:rFonts w:hint="default"/>
          <w:lang w:val="en-US" w:eastAsia="zh-CN"/>
        </w:rPr>
      </w:pPr>
      <w:r>
        <w:rPr>
          <w:rFonts w:hint="eastAsia"/>
          <w:lang w:val="en-US" w:eastAsia="zh-CN"/>
        </w:rPr>
        <w:t>（6）公路评标基准价方法：同综合评分法</w:t>
      </w:r>
    </w:p>
    <w:p w14:paraId="03054013">
      <w:pPr>
        <w:bidi w:val="0"/>
      </w:pPr>
      <w:r>
        <w:drawing>
          <wp:inline distT="0" distB="0" distL="114300" distR="114300">
            <wp:extent cx="4293870" cy="1019810"/>
            <wp:effectExtent l="0" t="0" r="3810" b="127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08"/>
                    <a:stretch>
                      <a:fillRect/>
                    </a:stretch>
                  </pic:blipFill>
                  <pic:spPr>
                    <a:xfrm>
                      <a:off x="0" y="0"/>
                      <a:ext cx="4293870" cy="1019810"/>
                    </a:xfrm>
                    <a:prstGeom prst="rect">
                      <a:avLst/>
                    </a:prstGeom>
                    <a:noFill/>
                    <a:ln>
                      <a:noFill/>
                    </a:ln>
                  </pic:spPr>
                </pic:pic>
              </a:graphicData>
            </a:graphic>
          </wp:inline>
        </w:drawing>
      </w:r>
    </w:p>
    <w:p w14:paraId="6BC76B16">
      <w:pPr>
        <w:bidi w:val="0"/>
        <w:rPr>
          <w:rFonts w:hint="eastAsia"/>
          <w:lang w:val="en-US" w:eastAsia="zh-CN"/>
        </w:rPr>
      </w:pPr>
      <w:r>
        <w:rPr>
          <w:rFonts w:hint="eastAsia"/>
          <w:lang w:val="en-US" w:eastAsia="zh-CN"/>
        </w:rPr>
        <w:t>3、其他因素评分项目录入</w:t>
      </w:r>
    </w:p>
    <w:p w14:paraId="38FCC346">
      <w:pPr>
        <w:bidi w:val="0"/>
        <w:rPr>
          <w:rFonts w:hint="eastAsia"/>
          <w:lang w:val="en-US" w:eastAsia="zh-CN"/>
        </w:rPr>
      </w:pPr>
      <w:r>
        <w:drawing>
          <wp:inline distT="0" distB="0" distL="114300" distR="114300">
            <wp:extent cx="6636385" cy="804545"/>
            <wp:effectExtent l="0" t="0" r="8255" b="3175"/>
            <wp:docPr id="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
                    <pic:cNvPicPr>
                      <a:picLocks noChangeAspect="1"/>
                    </pic:cNvPicPr>
                  </pic:nvPicPr>
                  <pic:blipFill>
                    <a:blip r:embed="rId109"/>
                    <a:stretch>
                      <a:fillRect/>
                    </a:stretch>
                  </pic:blipFill>
                  <pic:spPr>
                    <a:xfrm>
                      <a:off x="0" y="0"/>
                      <a:ext cx="6636385" cy="804545"/>
                    </a:xfrm>
                    <a:prstGeom prst="rect">
                      <a:avLst/>
                    </a:prstGeom>
                    <a:noFill/>
                    <a:ln>
                      <a:noFill/>
                    </a:ln>
                  </pic:spPr>
                </pic:pic>
              </a:graphicData>
            </a:graphic>
          </wp:inline>
        </w:drawing>
      </w:r>
    </w:p>
    <w:p w14:paraId="5CFFCF60">
      <w:pPr>
        <w:bidi w:val="0"/>
        <w:rPr>
          <w:rFonts w:hint="default"/>
          <w:lang w:val="en-US" w:eastAsia="zh-CN"/>
        </w:rPr>
      </w:pPr>
      <w:r>
        <w:rPr>
          <w:rFonts w:hint="eastAsia"/>
          <w:lang w:val="en-US" w:eastAsia="zh-CN"/>
        </w:rPr>
        <w:t>可以录入多条其他因素评分项目，总分为5分。</w:t>
      </w:r>
    </w:p>
    <w:p w14:paraId="61320340">
      <w:pPr>
        <w:bidi w:val="0"/>
        <w:rPr>
          <w:rFonts w:hint="default"/>
          <w:lang w:val="en-US" w:eastAsia="zh-CN"/>
        </w:rPr>
      </w:pPr>
    </w:p>
    <w:p w14:paraId="530DED0D">
      <w:pPr>
        <w:bidi w:val="0"/>
        <w:rPr>
          <w:rFonts w:hint="eastAsia"/>
          <w:lang w:val="en-US" w:eastAsia="zh-CN"/>
        </w:rPr>
      </w:pPr>
      <w:r>
        <w:rPr>
          <w:rFonts w:hint="eastAsia"/>
          <w:lang w:val="en-US" w:eastAsia="zh-CN"/>
        </w:rPr>
        <w:t>（三）双信封的</w:t>
      </w:r>
      <w:r>
        <w:rPr>
          <w:rFonts w:hint="default"/>
          <w:lang w:val="en-US" w:eastAsia="zh-CN"/>
        </w:rPr>
        <w:t>技术评分最低标价法</w:t>
      </w:r>
    </w:p>
    <w:p w14:paraId="0ADFC8BB">
      <w:pPr>
        <w:bidi w:val="0"/>
        <w:rPr>
          <w:rFonts w:hint="eastAsia"/>
          <w:lang w:val="en-US" w:eastAsia="zh-CN"/>
        </w:rPr>
      </w:pPr>
      <w:r>
        <w:rPr>
          <w:rFonts w:hint="eastAsia"/>
          <w:lang w:val="en-US" w:eastAsia="zh-CN"/>
        </w:rPr>
        <w:t>1、评分计算方法</w:t>
      </w:r>
    </w:p>
    <w:p w14:paraId="7BD6556C">
      <w:pPr>
        <w:bidi w:val="0"/>
        <w:rPr>
          <w:rFonts w:hint="default"/>
          <w:lang w:val="en-US" w:eastAsia="zh-CN"/>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
        <w:gridCol w:w="1708"/>
        <w:gridCol w:w="1162"/>
        <w:gridCol w:w="1074"/>
        <w:gridCol w:w="4060"/>
      </w:tblGrid>
      <w:tr w14:paraId="24AC5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31703A10">
            <w:pPr>
              <w:widowControl w:val="0"/>
              <w:bidi w:val="0"/>
              <w:jc w:val="both"/>
              <w:rPr>
                <w:rFonts w:hint="default"/>
                <w:lang w:val="en-US" w:eastAsia="zh-CN"/>
              </w:rPr>
            </w:pPr>
            <w:r>
              <w:rPr>
                <w:rFonts w:hint="eastAsia"/>
                <w:lang w:val="en-US" w:eastAsia="zh-CN"/>
              </w:rPr>
              <w:t>评分法</w:t>
            </w:r>
          </w:p>
        </w:tc>
        <w:tc>
          <w:tcPr>
            <w:tcW w:w="2118" w:type="dxa"/>
          </w:tcPr>
          <w:p w14:paraId="5310D3CA">
            <w:pPr>
              <w:widowControl w:val="0"/>
              <w:bidi w:val="0"/>
              <w:jc w:val="both"/>
              <w:rPr>
                <w:rFonts w:hint="default"/>
                <w:lang w:val="en-US" w:eastAsia="zh-CN"/>
              </w:rPr>
            </w:pPr>
            <w:r>
              <w:rPr>
                <w:rFonts w:hint="eastAsia"/>
                <w:lang w:val="en-US" w:eastAsia="zh-CN"/>
              </w:rPr>
              <w:t>价格分计算参数</w:t>
            </w:r>
          </w:p>
        </w:tc>
        <w:tc>
          <w:tcPr>
            <w:tcW w:w="1342" w:type="dxa"/>
          </w:tcPr>
          <w:p w14:paraId="69BF95F6">
            <w:pPr>
              <w:widowControl w:val="0"/>
              <w:bidi w:val="0"/>
              <w:jc w:val="both"/>
              <w:rPr>
                <w:rFonts w:hint="default"/>
                <w:lang w:val="en-US" w:eastAsia="zh-CN"/>
              </w:rPr>
            </w:pPr>
            <w:r>
              <w:rPr>
                <w:rFonts w:hint="eastAsia"/>
                <w:lang w:val="en-US" w:eastAsia="zh-CN"/>
              </w:rPr>
              <w:t>技术分</w:t>
            </w:r>
          </w:p>
        </w:tc>
        <w:tc>
          <w:tcPr>
            <w:tcW w:w="1276" w:type="dxa"/>
          </w:tcPr>
          <w:p w14:paraId="637F9B70">
            <w:pPr>
              <w:widowControl w:val="0"/>
              <w:bidi w:val="0"/>
              <w:jc w:val="both"/>
              <w:rPr>
                <w:rFonts w:hint="default"/>
                <w:lang w:val="en-US" w:eastAsia="zh-CN"/>
              </w:rPr>
            </w:pPr>
            <w:r>
              <w:rPr>
                <w:rFonts w:hint="eastAsia"/>
                <w:lang w:val="en-US" w:eastAsia="zh-CN"/>
              </w:rPr>
              <w:t>商务分</w:t>
            </w:r>
          </w:p>
        </w:tc>
        <w:tc>
          <w:tcPr>
            <w:tcW w:w="5117" w:type="dxa"/>
          </w:tcPr>
          <w:p w14:paraId="5925C2AA">
            <w:pPr>
              <w:widowControl w:val="0"/>
              <w:bidi w:val="0"/>
              <w:jc w:val="both"/>
              <w:rPr>
                <w:rFonts w:hint="default"/>
                <w:lang w:val="en-US" w:eastAsia="zh-CN"/>
              </w:rPr>
            </w:pPr>
            <w:r>
              <w:rPr>
                <w:rFonts w:hint="eastAsia"/>
                <w:lang w:val="en-US" w:eastAsia="zh-CN"/>
              </w:rPr>
              <w:t>价格分</w:t>
            </w:r>
          </w:p>
        </w:tc>
      </w:tr>
      <w:tr w14:paraId="3F798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9" w:type="dxa"/>
          </w:tcPr>
          <w:p w14:paraId="6BC50865">
            <w:pPr>
              <w:widowControl w:val="0"/>
              <w:bidi w:val="0"/>
              <w:jc w:val="both"/>
              <w:rPr>
                <w:rFonts w:hint="default"/>
                <w:lang w:val="en-US" w:eastAsia="zh-CN"/>
              </w:rPr>
            </w:pPr>
            <w:r>
              <w:rPr>
                <w:rFonts w:hint="default"/>
                <w:lang w:val="en-US" w:eastAsia="zh-CN"/>
              </w:rPr>
              <w:t>技术评分最低标价法</w:t>
            </w:r>
          </w:p>
        </w:tc>
        <w:tc>
          <w:tcPr>
            <w:tcW w:w="2118" w:type="dxa"/>
          </w:tcPr>
          <w:p w14:paraId="6D7A3A2E">
            <w:pPr>
              <w:widowControl w:val="0"/>
              <w:bidi w:val="0"/>
              <w:jc w:val="both"/>
              <w:rPr>
                <w:rFonts w:hint="default"/>
                <w:lang w:val="en-US" w:eastAsia="zh-CN"/>
              </w:rPr>
            </w:pPr>
            <w:r>
              <w:rPr>
                <w:rFonts w:hint="eastAsia"/>
                <w:lang w:val="en-US" w:eastAsia="zh-CN"/>
              </w:rPr>
              <w:t>无</w:t>
            </w:r>
          </w:p>
        </w:tc>
        <w:tc>
          <w:tcPr>
            <w:tcW w:w="1342" w:type="dxa"/>
            <w:vAlign w:val="top"/>
          </w:tcPr>
          <w:p w14:paraId="25694BBE">
            <w:pPr>
              <w:widowControl w:val="0"/>
              <w:bidi w:val="0"/>
              <w:jc w:val="both"/>
              <w:rPr>
                <w:rFonts w:hint="eastAsia"/>
                <w:lang w:val="en-US" w:eastAsia="zh-CN"/>
              </w:rPr>
            </w:pPr>
            <w:r>
              <w:rPr>
                <w:rFonts w:hint="eastAsia"/>
                <w:lang w:val="en-US" w:eastAsia="zh-CN"/>
              </w:rPr>
              <w:t>100</w:t>
            </w:r>
          </w:p>
          <w:p w14:paraId="715F4D24">
            <w:pPr>
              <w:widowControl w:val="0"/>
              <w:bidi w:val="0"/>
              <w:jc w:val="both"/>
              <w:rPr>
                <w:rFonts w:hint="default"/>
                <w:lang w:val="en-US" w:eastAsia="zh-CN"/>
              </w:rPr>
            </w:pPr>
            <w:r>
              <w:rPr>
                <w:rFonts w:hint="eastAsia"/>
                <w:lang w:val="en-US" w:eastAsia="zh-CN"/>
              </w:rPr>
              <w:t>技术评分项目可配置</w:t>
            </w:r>
          </w:p>
        </w:tc>
        <w:tc>
          <w:tcPr>
            <w:tcW w:w="1276" w:type="dxa"/>
            <w:vAlign w:val="top"/>
          </w:tcPr>
          <w:p w14:paraId="3CFE1DCB">
            <w:pPr>
              <w:widowControl w:val="0"/>
              <w:bidi w:val="0"/>
              <w:jc w:val="both"/>
              <w:rPr>
                <w:rFonts w:hint="default"/>
                <w:lang w:val="en-US" w:eastAsia="zh-CN"/>
              </w:rPr>
            </w:pPr>
            <w:r>
              <w:rPr>
                <w:rFonts w:hint="eastAsia"/>
                <w:lang w:val="en-US" w:eastAsia="zh-CN"/>
              </w:rPr>
              <w:t>无</w:t>
            </w:r>
          </w:p>
        </w:tc>
        <w:tc>
          <w:tcPr>
            <w:tcW w:w="5117" w:type="dxa"/>
          </w:tcPr>
          <w:p w14:paraId="46D1810B">
            <w:pPr>
              <w:widowControl w:val="0"/>
              <w:bidi w:val="0"/>
              <w:jc w:val="both"/>
              <w:rPr>
                <w:rFonts w:hint="default"/>
                <w:lang w:val="en-US" w:eastAsia="zh-CN"/>
              </w:rPr>
            </w:pPr>
            <w:r>
              <w:rPr>
                <w:rFonts w:hint="eastAsia"/>
                <w:lang w:val="en-US" w:eastAsia="zh-CN"/>
              </w:rPr>
              <w:t>根据技术分排序，取前【5】（不足则全部）进入排名。</w:t>
            </w:r>
          </w:p>
          <w:p w14:paraId="6B94CD05">
            <w:pPr>
              <w:widowControl w:val="0"/>
              <w:bidi w:val="0"/>
              <w:jc w:val="both"/>
              <w:rPr>
                <w:rFonts w:hint="eastAsia"/>
                <w:lang w:val="en-US" w:eastAsia="zh-CN"/>
              </w:rPr>
            </w:pPr>
            <w:r>
              <w:rPr>
                <w:rFonts w:hint="eastAsia"/>
                <w:lang w:val="en-US" w:eastAsia="zh-CN"/>
              </w:rPr>
              <w:t>排名根据报价从低至高排列。</w:t>
            </w:r>
          </w:p>
          <w:p w14:paraId="28742AC0">
            <w:pPr>
              <w:widowControl w:val="0"/>
              <w:bidi w:val="0"/>
              <w:jc w:val="both"/>
              <w:rPr>
                <w:rFonts w:hint="eastAsia"/>
                <w:lang w:val="en-US" w:eastAsia="zh-CN"/>
              </w:rPr>
            </w:pPr>
          </w:p>
          <w:p w14:paraId="49616BB0">
            <w:pPr>
              <w:widowControl w:val="0"/>
              <w:bidi w:val="0"/>
              <w:jc w:val="both"/>
            </w:pPr>
            <w:r>
              <w:rPr>
                <w:rFonts w:hint="eastAsia"/>
                <w:lang w:val="en-US" w:eastAsia="zh-CN"/>
              </w:rPr>
              <w:t>若投标人的评标价小于最高投标限价 85％的，启动澄清程序，要求投标人作出书面说明并提供相关证明材料。如不能提供，评标委员会可认定投标人以低于成本报价竞标，否决其投标。</w:t>
            </w:r>
          </w:p>
          <w:p w14:paraId="21DAE4CF">
            <w:pPr>
              <w:widowControl w:val="0"/>
              <w:bidi w:val="0"/>
              <w:jc w:val="both"/>
            </w:pPr>
          </w:p>
          <w:p w14:paraId="73C42142">
            <w:pPr>
              <w:widowControl w:val="0"/>
              <w:bidi w:val="0"/>
              <w:jc w:val="both"/>
              <w:rPr>
                <w:rFonts w:hint="default"/>
                <w:lang w:val="en-US" w:eastAsia="zh-CN"/>
              </w:rPr>
            </w:pPr>
          </w:p>
        </w:tc>
      </w:tr>
    </w:tbl>
    <w:p w14:paraId="042CA198">
      <w:pPr>
        <w:bidi w:val="0"/>
        <w:rPr>
          <w:rFonts w:hint="default"/>
          <w:lang w:val="en-US" w:eastAsia="zh-CN"/>
        </w:rPr>
      </w:pPr>
    </w:p>
    <w:p w14:paraId="5CC400D6">
      <w:pPr>
        <w:bidi w:val="0"/>
        <w:rPr>
          <w:rFonts w:hint="default"/>
          <w:lang w:val="en-US" w:eastAsia="zh-CN"/>
        </w:rPr>
      </w:pPr>
      <w:r>
        <w:rPr>
          <w:rFonts w:hint="eastAsia"/>
          <w:lang w:val="en-US" w:eastAsia="zh-CN"/>
        </w:rPr>
        <w:t>2、评分参数配置录入：</w:t>
      </w:r>
    </w:p>
    <w:p w14:paraId="505DF28E">
      <w:pPr>
        <w:bidi w:val="0"/>
      </w:pPr>
      <w:r>
        <w:drawing>
          <wp:inline distT="0" distB="0" distL="114300" distR="114300">
            <wp:extent cx="6640195" cy="852805"/>
            <wp:effectExtent l="0" t="0" r="4445" b="635"/>
            <wp:docPr id="8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8"/>
                    <pic:cNvPicPr>
                      <a:picLocks noChangeAspect="1"/>
                    </pic:cNvPicPr>
                  </pic:nvPicPr>
                  <pic:blipFill>
                    <a:blip r:embed="rId110"/>
                    <a:stretch>
                      <a:fillRect/>
                    </a:stretch>
                  </pic:blipFill>
                  <pic:spPr>
                    <a:xfrm>
                      <a:off x="0" y="0"/>
                      <a:ext cx="6640195" cy="852805"/>
                    </a:xfrm>
                    <a:prstGeom prst="rect">
                      <a:avLst/>
                    </a:prstGeom>
                    <a:noFill/>
                    <a:ln>
                      <a:noFill/>
                    </a:ln>
                  </pic:spPr>
                </pic:pic>
              </a:graphicData>
            </a:graphic>
          </wp:inline>
        </w:drawing>
      </w:r>
    </w:p>
    <w:p w14:paraId="32629DBA">
      <w:pPr>
        <w:bidi w:val="0"/>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lang w:val="en-US" w:eastAsia="zh-CN"/>
        </w:rPr>
        <w:t>评标办法：经评审的最低投标价法；</w:t>
      </w:r>
    </w:p>
    <w:p w14:paraId="21E3FD25">
      <w:pPr>
        <w:bidi w:val="0"/>
        <w:rPr>
          <w:rFonts w:hint="eastAsia"/>
          <w:lang w:val="en-US" w:eastAsia="zh-CN"/>
        </w:rPr>
      </w:pPr>
      <w:r>
        <w:rPr>
          <w:rFonts w:hint="eastAsia"/>
          <w:lang w:val="en-US" w:eastAsia="zh-CN"/>
        </w:rPr>
        <w:t>（2）价格类型：总价</w:t>
      </w:r>
    </w:p>
    <w:p w14:paraId="3955E762">
      <w:pPr>
        <w:bidi w:val="0"/>
        <w:rPr>
          <w:rFonts w:hint="eastAsia"/>
          <w:lang w:val="en-US" w:eastAsia="zh-CN"/>
        </w:rPr>
      </w:pPr>
      <w:r>
        <w:rPr>
          <w:rFonts w:hint="eastAsia"/>
          <w:lang w:val="en-US" w:eastAsia="zh-CN"/>
        </w:rPr>
        <w:t>（3）技术分：100分</w:t>
      </w:r>
    </w:p>
    <w:p w14:paraId="0A582769">
      <w:pPr>
        <w:bidi w:val="0"/>
        <w:rPr>
          <w:rFonts w:hint="eastAsia"/>
          <w:lang w:val="en-US" w:eastAsia="zh-CN"/>
        </w:rPr>
      </w:pPr>
      <w:r>
        <w:rPr>
          <w:rFonts w:hint="eastAsia"/>
          <w:lang w:val="en-US" w:eastAsia="zh-CN"/>
        </w:rPr>
        <w:t>3、技术评分项目录入</w:t>
      </w:r>
    </w:p>
    <w:p w14:paraId="67D8E040">
      <w:pPr>
        <w:bidi w:val="0"/>
      </w:pPr>
      <w:r>
        <w:drawing>
          <wp:inline distT="0" distB="0" distL="114300" distR="114300">
            <wp:extent cx="6644005" cy="834390"/>
            <wp:effectExtent l="0" t="0" r="635" b="381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111"/>
                    <a:stretch>
                      <a:fillRect/>
                    </a:stretch>
                  </pic:blipFill>
                  <pic:spPr>
                    <a:xfrm>
                      <a:off x="0" y="0"/>
                      <a:ext cx="6644005" cy="834390"/>
                    </a:xfrm>
                    <a:prstGeom prst="rect">
                      <a:avLst/>
                    </a:prstGeom>
                    <a:noFill/>
                    <a:ln>
                      <a:noFill/>
                    </a:ln>
                  </pic:spPr>
                </pic:pic>
              </a:graphicData>
            </a:graphic>
          </wp:inline>
        </w:drawing>
      </w:r>
    </w:p>
    <w:p w14:paraId="6D05E938">
      <w:pPr>
        <w:bidi w:val="0"/>
        <w:rPr>
          <w:rFonts w:hint="default"/>
          <w:lang w:val="en-US" w:eastAsia="zh-CN"/>
        </w:rPr>
      </w:pPr>
    </w:p>
    <w:p w14:paraId="06B10B7E">
      <w:pPr>
        <w:bidi w:val="0"/>
        <w:rPr>
          <w:rFonts w:hint="eastAsia"/>
          <w:lang w:val="en-US" w:eastAsia="zh-CN"/>
        </w:rPr>
      </w:pPr>
      <w:r>
        <w:rPr>
          <w:rFonts w:hint="eastAsia"/>
          <w:lang w:val="en-US" w:eastAsia="zh-CN"/>
        </w:rPr>
        <w:t>技术评分项目，是指录入技术评分项目，可以新增多条技术评分项目，所有项目分数相加为100。</w:t>
      </w:r>
    </w:p>
    <w:p w14:paraId="3EBC4FB7">
      <w:pPr>
        <w:pStyle w:val="12"/>
        <w:numPr>
          <w:ilvl w:val="0"/>
          <w:numId w:val="0"/>
        </w:numPr>
        <w:rPr>
          <w:rFonts w:hint="default"/>
          <w:lang w:val="en-US" w:eastAsia="zh-CN"/>
        </w:rPr>
      </w:pPr>
    </w:p>
    <w:p w14:paraId="34A3F1E9">
      <w:pPr>
        <w:pStyle w:val="12"/>
        <w:numPr>
          <w:ilvl w:val="0"/>
          <w:numId w:val="0"/>
        </w:numPr>
        <w:rPr>
          <w:rFonts w:hint="default"/>
          <w:lang w:val="en-US" w:eastAsia="zh-CN"/>
        </w:rPr>
      </w:pPr>
    </w:p>
    <w:p w14:paraId="6EA257C0">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p w14:paraId="00B87EA9">
      <w:pPr>
        <w:widowControl w:val="0"/>
        <w:adjustRightInd/>
        <w:snapToGrid/>
        <w:spacing w:before="62" w:beforeLines="20" w:after="62" w:afterLines="20" w:line="360" w:lineRule="auto"/>
        <w:ind w:firstLine="480" w:firstLineChars="200"/>
        <w:jc w:val="both"/>
        <w:rPr>
          <w:rFonts w:ascii="宋体" w:hAnsi="宋体" w:eastAsia="宋体" w:cs="Times New Roman"/>
          <w:kern w:val="2"/>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12113">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73931">
    <w:pPr>
      <w:pStyle w:val="1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1AA69AF4">
                    <w:pPr>
                      <w:pStyle w:val="17"/>
                    </w:pPr>
                    <w:r>
                      <w:rPr>
                        <w:rFonts w:hint="eastAsia"/>
                      </w:rPr>
                      <w:fldChar w:fldCharType="begin"/>
                    </w:r>
                    <w:r>
                      <w:rPr>
                        <w:rFonts w:hint="eastAsia"/>
                      </w:rPr>
                      <w:instrText xml:space="preserve"> PAGE  \* MERGEFORMAT </w:instrText>
                    </w:r>
                    <w:r>
                      <w:rPr>
                        <w:rFonts w:hint="eastAsia"/>
                      </w:rPr>
                      <w:fldChar w:fldCharType="separate"/>
                    </w:r>
                    <w:r>
                      <w:t>22</w:t>
                    </w:r>
                    <w:r>
                      <w:rPr>
                        <w:rFonts w:hint="eastAsi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A00140">
    <w:pPr>
      <w:pStyle w:val="1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E6752C"/>
    <w:multiLevelType w:val="multilevel"/>
    <w:tmpl w:val="C9E6752C"/>
    <w:lvl w:ilvl="0" w:tentative="0">
      <w:start w:val="2"/>
      <w:numFmt w:val="decimal"/>
      <w:pStyle w:val="3"/>
      <w:lvlText w:val="%1."/>
      <w:lvlJc w:val="left"/>
      <w:pPr>
        <w:ind w:left="432" w:hanging="432"/>
      </w:pPr>
      <w:rPr>
        <w:rFonts w:hint="eastAsia"/>
      </w:rPr>
    </w:lvl>
    <w:lvl w:ilvl="1" w:tentative="0">
      <w:start w:val="1"/>
      <w:numFmt w:val="chineseCounting"/>
      <w:pStyle w:val="4"/>
      <w:lvlText w:val="（%2）"/>
      <w:lvlJc w:val="left"/>
      <w:pPr>
        <w:ind w:left="575" w:hanging="575"/>
      </w:pPr>
      <w:rPr>
        <w:rFonts w:hint="eastAsia" w:ascii="宋体" w:hAnsi="宋体" w:eastAsia="宋体" w:cs="宋体"/>
      </w:rPr>
    </w:lvl>
    <w:lvl w:ilvl="2" w:tentative="0">
      <w:start w:val="1"/>
      <w:numFmt w:val="decimal"/>
      <w:pStyle w:val="5"/>
      <w:lvlText w:val="%3."/>
      <w:lvlJc w:val="left"/>
      <w:pPr>
        <w:ind w:left="720" w:hanging="720"/>
      </w:pPr>
      <w:rPr>
        <w:rFonts w:hint="eastAsia" w:ascii="宋体" w:hAnsi="宋体" w:eastAsia="宋体" w:cs="宋体"/>
      </w:rPr>
    </w:lvl>
    <w:lvl w:ilvl="3" w:tentative="0">
      <w:start w:val="1"/>
      <w:numFmt w:val="decimal"/>
      <w:pStyle w:val="6"/>
      <w:lvlText w:val="%1.%2.%3.%4."/>
      <w:lvlJc w:val="left"/>
      <w:pPr>
        <w:ind w:left="864" w:hanging="864"/>
      </w:pPr>
      <w:rPr>
        <w:rFonts w:hint="eastAsia"/>
      </w:rPr>
    </w:lvl>
    <w:lvl w:ilvl="4" w:tentative="0">
      <w:start w:val="1"/>
      <w:numFmt w:val="decimal"/>
      <w:pStyle w:val="7"/>
      <w:lvlText w:val="%1.%2.%3.%4.%5."/>
      <w:lvlJc w:val="left"/>
      <w:pPr>
        <w:ind w:left="1008" w:hanging="1008"/>
      </w:pPr>
      <w:rPr>
        <w:rFonts w:hint="eastAsia"/>
      </w:rPr>
    </w:lvl>
    <w:lvl w:ilvl="5" w:tentative="0">
      <w:start w:val="1"/>
      <w:numFmt w:val="decimal"/>
      <w:pStyle w:val="8"/>
      <w:lvlText w:val="%1.%2.%3.%4.%5.%6."/>
      <w:lvlJc w:val="left"/>
      <w:pPr>
        <w:ind w:left="1151" w:hanging="1151"/>
      </w:pPr>
      <w:rPr>
        <w:rFonts w:hint="eastAsia"/>
      </w:rPr>
    </w:lvl>
    <w:lvl w:ilvl="6" w:tentative="0">
      <w:start w:val="1"/>
      <w:numFmt w:val="decimal"/>
      <w:pStyle w:val="9"/>
      <w:lvlText w:val="%1.%2.%3.%4.%5.%6.%7."/>
      <w:lvlJc w:val="left"/>
      <w:pPr>
        <w:ind w:left="1296" w:hanging="1296"/>
      </w:pPr>
      <w:rPr>
        <w:rFonts w:hint="eastAsia"/>
      </w:rPr>
    </w:lvl>
    <w:lvl w:ilvl="7" w:tentative="0">
      <w:start w:val="1"/>
      <w:numFmt w:val="decimal"/>
      <w:pStyle w:val="10"/>
      <w:lvlText w:val="%1.%2.%3.%4.%5.%6.%7.%8."/>
      <w:lvlJc w:val="left"/>
      <w:pPr>
        <w:ind w:left="1440" w:hanging="1440"/>
      </w:pPr>
      <w:rPr>
        <w:rFonts w:hint="eastAsia"/>
      </w:rPr>
    </w:lvl>
    <w:lvl w:ilvl="8" w:tentative="0">
      <w:start w:val="1"/>
      <w:numFmt w:val="decimal"/>
      <w:pStyle w:val="11"/>
      <w:lvlText w:val="%1.%2.%3.%4.%5.%6.%7.%8.%9."/>
      <w:lvlJc w:val="left"/>
      <w:pPr>
        <w:ind w:left="1583" w:hanging="1583"/>
      </w:pPr>
      <w:rPr>
        <w:rFonts w:hint="eastAsia"/>
      </w:rPr>
    </w:lvl>
  </w:abstractNum>
  <w:abstractNum w:abstractNumId="1">
    <w:nsid w:val="4A87F03E"/>
    <w:multiLevelType w:val="multilevel"/>
    <w:tmpl w:val="4A87F03E"/>
    <w:lvl w:ilvl="0" w:tentative="0">
      <w:start w:val="1"/>
      <w:numFmt w:val="chineseCounting"/>
      <w:lvlText w:val="%1."/>
      <w:lvlJc w:val="left"/>
      <w:pPr>
        <w:tabs>
          <w:tab w:val="left" w:pos="420"/>
        </w:tabs>
        <w:ind w:left="420" w:hanging="420"/>
      </w:pPr>
      <w:rPr>
        <w:rFonts w:hint="eastAsia" w:ascii="宋体" w:hAnsi="宋体" w:eastAsia="宋体" w:cs="宋体"/>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E2M2I5ODA2ZGEyZTlmMDdlZWMwOTg0ZjRhZjcyMDcifQ=="/>
  </w:docVars>
  <w:rsids>
    <w:rsidRoot w:val="00BD4446"/>
    <w:rsid w:val="0000726D"/>
    <w:rsid w:val="00015365"/>
    <w:rsid w:val="00016D7C"/>
    <w:rsid w:val="000209F2"/>
    <w:rsid w:val="00034A7C"/>
    <w:rsid w:val="00040D65"/>
    <w:rsid w:val="00045B9A"/>
    <w:rsid w:val="00067813"/>
    <w:rsid w:val="0007507A"/>
    <w:rsid w:val="00082155"/>
    <w:rsid w:val="00085330"/>
    <w:rsid w:val="000A7D47"/>
    <w:rsid w:val="000B2D6F"/>
    <w:rsid w:val="000C0265"/>
    <w:rsid w:val="000D1CDB"/>
    <w:rsid w:val="000E46EF"/>
    <w:rsid w:val="000E4935"/>
    <w:rsid w:val="00101A43"/>
    <w:rsid w:val="0010396A"/>
    <w:rsid w:val="00106EAA"/>
    <w:rsid w:val="00116E26"/>
    <w:rsid w:val="00120A14"/>
    <w:rsid w:val="00127253"/>
    <w:rsid w:val="0013156A"/>
    <w:rsid w:val="00140289"/>
    <w:rsid w:val="00145B2D"/>
    <w:rsid w:val="001674A9"/>
    <w:rsid w:val="00191318"/>
    <w:rsid w:val="0019213D"/>
    <w:rsid w:val="0019523A"/>
    <w:rsid w:val="001B3B11"/>
    <w:rsid w:val="001C3B2E"/>
    <w:rsid w:val="001C3F8E"/>
    <w:rsid w:val="001C7974"/>
    <w:rsid w:val="001D37BC"/>
    <w:rsid w:val="001E0DE5"/>
    <w:rsid w:val="001E415A"/>
    <w:rsid w:val="001F1195"/>
    <w:rsid w:val="00204938"/>
    <w:rsid w:val="002076F6"/>
    <w:rsid w:val="00211469"/>
    <w:rsid w:val="00213720"/>
    <w:rsid w:val="00214677"/>
    <w:rsid w:val="00261103"/>
    <w:rsid w:val="002709E4"/>
    <w:rsid w:val="00277D43"/>
    <w:rsid w:val="00286917"/>
    <w:rsid w:val="0029623D"/>
    <w:rsid w:val="002A0408"/>
    <w:rsid w:val="002B0238"/>
    <w:rsid w:val="002B495E"/>
    <w:rsid w:val="002E0A7A"/>
    <w:rsid w:val="00304937"/>
    <w:rsid w:val="00311131"/>
    <w:rsid w:val="003115B1"/>
    <w:rsid w:val="003214A0"/>
    <w:rsid w:val="00345512"/>
    <w:rsid w:val="00353081"/>
    <w:rsid w:val="00361A9A"/>
    <w:rsid w:val="00361AB3"/>
    <w:rsid w:val="003621ED"/>
    <w:rsid w:val="003639BF"/>
    <w:rsid w:val="003644EA"/>
    <w:rsid w:val="00367EF9"/>
    <w:rsid w:val="003728A4"/>
    <w:rsid w:val="00387E32"/>
    <w:rsid w:val="00392F2E"/>
    <w:rsid w:val="00394DB0"/>
    <w:rsid w:val="003955EE"/>
    <w:rsid w:val="00395B78"/>
    <w:rsid w:val="003D1DF5"/>
    <w:rsid w:val="003D3261"/>
    <w:rsid w:val="003F254B"/>
    <w:rsid w:val="003F7DF0"/>
    <w:rsid w:val="00407549"/>
    <w:rsid w:val="004128BB"/>
    <w:rsid w:val="00420563"/>
    <w:rsid w:val="00476025"/>
    <w:rsid w:val="004964F4"/>
    <w:rsid w:val="00497ACA"/>
    <w:rsid w:val="004B0040"/>
    <w:rsid w:val="004C5854"/>
    <w:rsid w:val="004D037E"/>
    <w:rsid w:val="004E4E21"/>
    <w:rsid w:val="004F0898"/>
    <w:rsid w:val="00504C3E"/>
    <w:rsid w:val="00507E16"/>
    <w:rsid w:val="0055175F"/>
    <w:rsid w:val="00553231"/>
    <w:rsid w:val="00553A06"/>
    <w:rsid w:val="00576A7E"/>
    <w:rsid w:val="005826AD"/>
    <w:rsid w:val="00585C63"/>
    <w:rsid w:val="00587402"/>
    <w:rsid w:val="00590FD5"/>
    <w:rsid w:val="005A359D"/>
    <w:rsid w:val="005A7A4E"/>
    <w:rsid w:val="005C404D"/>
    <w:rsid w:val="005C4B4A"/>
    <w:rsid w:val="005D7EA2"/>
    <w:rsid w:val="005E35AD"/>
    <w:rsid w:val="005E3C7E"/>
    <w:rsid w:val="005E3D86"/>
    <w:rsid w:val="00601B1D"/>
    <w:rsid w:val="0062226E"/>
    <w:rsid w:val="00653002"/>
    <w:rsid w:val="00654F41"/>
    <w:rsid w:val="00660F2E"/>
    <w:rsid w:val="006673DD"/>
    <w:rsid w:val="00674362"/>
    <w:rsid w:val="006750DD"/>
    <w:rsid w:val="00696388"/>
    <w:rsid w:val="006A2647"/>
    <w:rsid w:val="006A4377"/>
    <w:rsid w:val="006B6802"/>
    <w:rsid w:val="006C2EA5"/>
    <w:rsid w:val="006C5A96"/>
    <w:rsid w:val="006D3A05"/>
    <w:rsid w:val="006D5D83"/>
    <w:rsid w:val="006D6C55"/>
    <w:rsid w:val="006F4290"/>
    <w:rsid w:val="006F6AAA"/>
    <w:rsid w:val="007068E9"/>
    <w:rsid w:val="007247AC"/>
    <w:rsid w:val="007313D9"/>
    <w:rsid w:val="007359CE"/>
    <w:rsid w:val="0074464C"/>
    <w:rsid w:val="00754A23"/>
    <w:rsid w:val="00762E0C"/>
    <w:rsid w:val="00763CB9"/>
    <w:rsid w:val="007903F9"/>
    <w:rsid w:val="007A1422"/>
    <w:rsid w:val="007A5416"/>
    <w:rsid w:val="007A7C72"/>
    <w:rsid w:val="007B61A0"/>
    <w:rsid w:val="007B709A"/>
    <w:rsid w:val="007D120B"/>
    <w:rsid w:val="007D482A"/>
    <w:rsid w:val="007D711C"/>
    <w:rsid w:val="007E153E"/>
    <w:rsid w:val="00804612"/>
    <w:rsid w:val="00836768"/>
    <w:rsid w:val="00841040"/>
    <w:rsid w:val="00850AD7"/>
    <w:rsid w:val="008529DE"/>
    <w:rsid w:val="00853890"/>
    <w:rsid w:val="00853935"/>
    <w:rsid w:val="00870853"/>
    <w:rsid w:val="008729F6"/>
    <w:rsid w:val="008A0560"/>
    <w:rsid w:val="008A14FF"/>
    <w:rsid w:val="008A6CFD"/>
    <w:rsid w:val="008B7EFA"/>
    <w:rsid w:val="008D4926"/>
    <w:rsid w:val="008E396B"/>
    <w:rsid w:val="008F0970"/>
    <w:rsid w:val="008F2A84"/>
    <w:rsid w:val="0090291A"/>
    <w:rsid w:val="00902FC3"/>
    <w:rsid w:val="00926542"/>
    <w:rsid w:val="009409A1"/>
    <w:rsid w:val="009445F4"/>
    <w:rsid w:val="00960B70"/>
    <w:rsid w:val="009816C4"/>
    <w:rsid w:val="00983EA0"/>
    <w:rsid w:val="009A47B4"/>
    <w:rsid w:val="009A75E4"/>
    <w:rsid w:val="009B1890"/>
    <w:rsid w:val="009B6426"/>
    <w:rsid w:val="009B752B"/>
    <w:rsid w:val="009E2CFA"/>
    <w:rsid w:val="009E5C0A"/>
    <w:rsid w:val="009F19DA"/>
    <w:rsid w:val="00A0377D"/>
    <w:rsid w:val="00A20099"/>
    <w:rsid w:val="00A21125"/>
    <w:rsid w:val="00A2278D"/>
    <w:rsid w:val="00A24B21"/>
    <w:rsid w:val="00A251F0"/>
    <w:rsid w:val="00A26B9B"/>
    <w:rsid w:val="00A30B7C"/>
    <w:rsid w:val="00A43B30"/>
    <w:rsid w:val="00A448D7"/>
    <w:rsid w:val="00A51683"/>
    <w:rsid w:val="00A536C0"/>
    <w:rsid w:val="00A776DF"/>
    <w:rsid w:val="00A90A4A"/>
    <w:rsid w:val="00AA24B2"/>
    <w:rsid w:val="00AA73B3"/>
    <w:rsid w:val="00AC6287"/>
    <w:rsid w:val="00AD751D"/>
    <w:rsid w:val="00AE1369"/>
    <w:rsid w:val="00AF35DA"/>
    <w:rsid w:val="00B01DAA"/>
    <w:rsid w:val="00B04DE1"/>
    <w:rsid w:val="00B25546"/>
    <w:rsid w:val="00B30EB9"/>
    <w:rsid w:val="00B62D15"/>
    <w:rsid w:val="00B67836"/>
    <w:rsid w:val="00B70C64"/>
    <w:rsid w:val="00B71363"/>
    <w:rsid w:val="00B80E7E"/>
    <w:rsid w:val="00B866C8"/>
    <w:rsid w:val="00B90F17"/>
    <w:rsid w:val="00BA5047"/>
    <w:rsid w:val="00BB0E21"/>
    <w:rsid w:val="00BB14AA"/>
    <w:rsid w:val="00BC6C94"/>
    <w:rsid w:val="00BC7A97"/>
    <w:rsid w:val="00BD4446"/>
    <w:rsid w:val="00BD5763"/>
    <w:rsid w:val="00BE09AC"/>
    <w:rsid w:val="00BE5358"/>
    <w:rsid w:val="00C21F38"/>
    <w:rsid w:val="00C40677"/>
    <w:rsid w:val="00C9506F"/>
    <w:rsid w:val="00CA65A6"/>
    <w:rsid w:val="00CB76F5"/>
    <w:rsid w:val="00CD359B"/>
    <w:rsid w:val="00CE13E9"/>
    <w:rsid w:val="00D03586"/>
    <w:rsid w:val="00D2410F"/>
    <w:rsid w:val="00D27FDF"/>
    <w:rsid w:val="00D35407"/>
    <w:rsid w:val="00D37A70"/>
    <w:rsid w:val="00D37E6C"/>
    <w:rsid w:val="00D41377"/>
    <w:rsid w:val="00D4795E"/>
    <w:rsid w:val="00D57FDF"/>
    <w:rsid w:val="00D9017A"/>
    <w:rsid w:val="00DA06EA"/>
    <w:rsid w:val="00DB138E"/>
    <w:rsid w:val="00DB3D83"/>
    <w:rsid w:val="00DC1088"/>
    <w:rsid w:val="00DC5D4F"/>
    <w:rsid w:val="00DE0136"/>
    <w:rsid w:val="00DF78F0"/>
    <w:rsid w:val="00E04062"/>
    <w:rsid w:val="00E04B0D"/>
    <w:rsid w:val="00E05FD5"/>
    <w:rsid w:val="00E14746"/>
    <w:rsid w:val="00E2432F"/>
    <w:rsid w:val="00E2735C"/>
    <w:rsid w:val="00E33EEC"/>
    <w:rsid w:val="00E47A33"/>
    <w:rsid w:val="00E5265A"/>
    <w:rsid w:val="00E645AC"/>
    <w:rsid w:val="00E72C73"/>
    <w:rsid w:val="00E9118F"/>
    <w:rsid w:val="00E93DB6"/>
    <w:rsid w:val="00EA0888"/>
    <w:rsid w:val="00EC3560"/>
    <w:rsid w:val="00EC74E3"/>
    <w:rsid w:val="00ED3330"/>
    <w:rsid w:val="00EE3B98"/>
    <w:rsid w:val="00EE4173"/>
    <w:rsid w:val="00EE439D"/>
    <w:rsid w:val="00EE7D9C"/>
    <w:rsid w:val="00EF39E8"/>
    <w:rsid w:val="00F0462B"/>
    <w:rsid w:val="00F049AC"/>
    <w:rsid w:val="00F22AED"/>
    <w:rsid w:val="00F23652"/>
    <w:rsid w:val="00F65B8B"/>
    <w:rsid w:val="00F74E0C"/>
    <w:rsid w:val="00F93FE5"/>
    <w:rsid w:val="00FA6B7D"/>
    <w:rsid w:val="00FB31E0"/>
    <w:rsid w:val="00FC12A8"/>
    <w:rsid w:val="00FD07B1"/>
    <w:rsid w:val="00FD2F48"/>
    <w:rsid w:val="00FE472D"/>
    <w:rsid w:val="00FF503E"/>
    <w:rsid w:val="00FF516F"/>
    <w:rsid w:val="01BB47C1"/>
    <w:rsid w:val="01F472A9"/>
    <w:rsid w:val="020515AD"/>
    <w:rsid w:val="021D4441"/>
    <w:rsid w:val="02410693"/>
    <w:rsid w:val="02DA7F5E"/>
    <w:rsid w:val="03EB3121"/>
    <w:rsid w:val="03ED5B28"/>
    <w:rsid w:val="042F7A44"/>
    <w:rsid w:val="04477578"/>
    <w:rsid w:val="04556EAA"/>
    <w:rsid w:val="058549D8"/>
    <w:rsid w:val="05943484"/>
    <w:rsid w:val="0594729B"/>
    <w:rsid w:val="059D5D26"/>
    <w:rsid w:val="05E232D5"/>
    <w:rsid w:val="060511EF"/>
    <w:rsid w:val="06195ADF"/>
    <w:rsid w:val="06400F0E"/>
    <w:rsid w:val="0652102D"/>
    <w:rsid w:val="06AF3DF4"/>
    <w:rsid w:val="07012412"/>
    <w:rsid w:val="07867CCC"/>
    <w:rsid w:val="079714CF"/>
    <w:rsid w:val="08050E13"/>
    <w:rsid w:val="080C451C"/>
    <w:rsid w:val="082B0EAC"/>
    <w:rsid w:val="086C7D6B"/>
    <w:rsid w:val="089036FA"/>
    <w:rsid w:val="0890722C"/>
    <w:rsid w:val="08CD79A9"/>
    <w:rsid w:val="09052CF6"/>
    <w:rsid w:val="093A1657"/>
    <w:rsid w:val="09D775EC"/>
    <w:rsid w:val="09EB4DD4"/>
    <w:rsid w:val="09EF38DE"/>
    <w:rsid w:val="0A167885"/>
    <w:rsid w:val="0A406DF2"/>
    <w:rsid w:val="0A82254C"/>
    <w:rsid w:val="0AA7129C"/>
    <w:rsid w:val="0B6E3EF1"/>
    <w:rsid w:val="0B956602"/>
    <w:rsid w:val="0BAD7697"/>
    <w:rsid w:val="0BCE455A"/>
    <w:rsid w:val="0BD4523F"/>
    <w:rsid w:val="0C3C2037"/>
    <w:rsid w:val="0C8F447A"/>
    <w:rsid w:val="0CBF38DF"/>
    <w:rsid w:val="0D0C314A"/>
    <w:rsid w:val="0E081114"/>
    <w:rsid w:val="0E2456FB"/>
    <w:rsid w:val="0E46076F"/>
    <w:rsid w:val="0E700A92"/>
    <w:rsid w:val="0F283AD3"/>
    <w:rsid w:val="0F7673E5"/>
    <w:rsid w:val="0F852C0F"/>
    <w:rsid w:val="0FC51E14"/>
    <w:rsid w:val="0FFB2D7C"/>
    <w:rsid w:val="100C0D4C"/>
    <w:rsid w:val="106E64E3"/>
    <w:rsid w:val="10AF0A84"/>
    <w:rsid w:val="10F92DAC"/>
    <w:rsid w:val="11640521"/>
    <w:rsid w:val="11A36A7D"/>
    <w:rsid w:val="11E77227"/>
    <w:rsid w:val="121C40E8"/>
    <w:rsid w:val="122D5FB3"/>
    <w:rsid w:val="12A571C9"/>
    <w:rsid w:val="130945BE"/>
    <w:rsid w:val="136B3B94"/>
    <w:rsid w:val="138E640D"/>
    <w:rsid w:val="13E64BA0"/>
    <w:rsid w:val="13FD21E7"/>
    <w:rsid w:val="140161EE"/>
    <w:rsid w:val="143A7A2B"/>
    <w:rsid w:val="14710401"/>
    <w:rsid w:val="14B02F13"/>
    <w:rsid w:val="14C22DAB"/>
    <w:rsid w:val="14D27A43"/>
    <w:rsid w:val="150A1885"/>
    <w:rsid w:val="151C4C15"/>
    <w:rsid w:val="152A750C"/>
    <w:rsid w:val="15800E9F"/>
    <w:rsid w:val="15EF10BD"/>
    <w:rsid w:val="163E1B6A"/>
    <w:rsid w:val="16450AAB"/>
    <w:rsid w:val="165C6CCE"/>
    <w:rsid w:val="165F6063"/>
    <w:rsid w:val="16DD28F0"/>
    <w:rsid w:val="17120375"/>
    <w:rsid w:val="171E5118"/>
    <w:rsid w:val="175B522E"/>
    <w:rsid w:val="17694042"/>
    <w:rsid w:val="17C14F82"/>
    <w:rsid w:val="17C92A94"/>
    <w:rsid w:val="17FE7199"/>
    <w:rsid w:val="1817075C"/>
    <w:rsid w:val="18E47AB4"/>
    <w:rsid w:val="18ED2FBF"/>
    <w:rsid w:val="197030D6"/>
    <w:rsid w:val="19E15008"/>
    <w:rsid w:val="1A203864"/>
    <w:rsid w:val="1A7119D9"/>
    <w:rsid w:val="1A745923"/>
    <w:rsid w:val="1B0E60DB"/>
    <w:rsid w:val="1C300087"/>
    <w:rsid w:val="1C523CA3"/>
    <w:rsid w:val="1C70295B"/>
    <w:rsid w:val="1D240F57"/>
    <w:rsid w:val="1D2D6657"/>
    <w:rsid w:val="1D5D3BE3"/>
    <w:rsid w:val="1D630360"/>
    <w:rsid w:val="1D8E3DD1"/>
    <w:rsid w:val="1E88115E"/>
    <w:rsid w:val="1E913698"/>
    <w:rsid w:val="1EE656A7"/>
    <w:rsid w:val="1F41425F"/>
    <w:rsid w:val="1F57226E"/>
    <w:rsid w:val="1FE15D48"/>
    <w:rsid w:val="1FE95324"/>
    <w:rsid w:val="201F0A47"/>
    <w:rsid w:val="20A0536E"/>
    <w:rsid w:val="219D570B"/>
    <w:rsid w:val="219F6C89"/>
    <w:rsid w:val="220E5057"/>
    <w:rsid w:val="222E658C"/>
    <w:rsid w:val="2272671C"/>
    <w:rsid w:val="22752D03"/>
    <w:rsid w:val="22985321"/>
    <w:rsid w:val="230462B1"/>
    <w:rsid w:val="23172F69"/>
    <w:rsid w:val="233C343D"/>
    <w:rsid w:val="24223D47"/>
    <w:rsid w:val="243C71CE"/>
    <w:rsid w:val="248203CF"/>
    <w:rsid w:val="2497382C"/>
    <w:rsid w:val="250D1426"/>
    <w:rsid w:val="25127B29"/>
    <w:rsid w:val="2558191F"/>
    <w:rsid w:val="256C7D9A"/>
    <w:rsid w:val="25984559"/>
    <w:rsid w:val="25A27BC1"/>
    <w:rsid w:val="25A43469"/>
    <w:rsid w:val="25AC4013"/>
    <w:rsid w:val="25B9632E"/>
    <w:rsid w:val="25E4089A"/>
    <w:rsid w:val="25EC3D41"/>
    <w:rsid w:val="263842D3"/>
    <w:rsid w:val="26B71E02"/>
    <w:rsid w:val="26FA6787"/>
    <w:rsid w:val="279B7CB8"/>
    <w:rsid w:val="27BC6AAF"/>
    <w:rsid w:val="27DF2BA6"/>
    <w:rsid w:val="27F32D50"/>
    <w:rsid w:val="28722BB5"/>
    <w:rsid w:val="287D4619"/>
    <w:rsid w:val="289851DC"/>
    <w:rsid w:val="28A97D7F"/>
    <w:rsid w:val="29020848"/>
    <w:rsid w:val="291137F5"/>
    <w:rsid w:val="29507463"/>
    <w:rsid w:val="29897383"/>
    <w:rsid w:val="29BE40DE"/>
    <w:rsid w:val="29CA1794"/>
    <w:rsid w:val="29E61C98"/>
    <w:rsid w:val="2A0F1787"/>
    <w:rsid w:val="2A245AA8"/>
    <w:rsid w:val="2A726F88"/>
    <w:rsid w:val="2AD11947"/>
    <w:rsid w:val="2B330AC0"/>
    <w:rsid w:val="2B6F41BE"/>
    <w:rsid w:val="2BBA5D65"/>
    <w:rsid w:val="2C4E7404"/>
    <w:rsid w:val="2C596ACD"/>
    <w:rsid w:val="2CA23973"/>
    <w:rsid w:val="2CAA6B5F"/>
    <w:rsid w:val="2CCE5529"/>
    <w:rsid w:val="2CF14832"/>
    <w:rsid w:val="2CF30261"/>
    <w:rsid w:val="2CFE0C72"/>
    <w:rsid w:val="2D1858EE"/>
    <w:rsid w:val="2DD97A1F"/>
    <w:rsid w:val="2E0119E3"/>
    <w:rsid w:val="2E6E1EE5"/>
    <w:rsid w:val="2E755605"/>
    <w:rsid w:val="2F6311D3"/>
    <w:rsid w:val="2FA2238A"/>
    <w:rsid w:val="2FD15307"/>
    <w:rsid w:val="2FF37D82"/>
    <w:rsid w:val="30966870"/>
    <w:rsid w:val="31083CFD"/>
    <w:rsid w:val="31184882"/>
    <w:rsid w:val="31722A0B"/>
    <w:rsid w:val="327C451C"/>
    <w:rsid w:val="32A221C5"/>
    <w:rsid w:val="32F83EEF"/>
    <w:rsid w:val="334718AA"/>
    <w:rsid w:val="34207306"/>
    <w:rsid w:val="343061A9"/>
    <w:rsid w:val="345A0E2B"/>
    <w:rsid w:val="3480562F"/>
    <w:rsid w:val="348A6927"/>
    <w:rsid w:val="35291E2D"/>
    <w:rsid w:val="35964D97"/>
    <w:rsid w:val="35E90A70"/>
    <w:rsid w:val="362A4EB3"/>
    <w:rsid w:val="363A1AE1"/>
    <w:rsid w:val="36F33129"/>
    <w:rsid w:val="37671FDA"/>
    <w:rsid w:val="378936DC"/>
    <w:rsid w:val="37944AFB"/>
    <w:rsid w:val="37975D19"/>
    <w:rsid w:val="381B4AF5"/>
    <w:rsid w:val="383E6E71"/>
    <w:rsid w:val="38A94521"/>
    <w:rsid w:val="393F5C95"/>
    <w:rsid w:val="39802721"/>
    <w:rsid w:val="39E30ACA"/>
    <w:rsid w:val="39E321A6"/>
    <w:rsid w:val="39E62898"/>
    <w:rsid w:val="39EA5107"/>
    <w:rsid w:val="39FB1E0C"/>
    <w:rsid w:val="3AE061ED"/>
    <w:rsid w:val="3AF26D9C"/>
    <w:rsid w:val="3B0756DE"/>
    <w:rsid w:val="3B2B59E6"/>
    <w:rsid w:val="3B565DE5"/>
    <w:rsid w:val="3B574529"/>
    <w:rsid w:val="3B78631D"/>
    <w:rsid w:val="3BB86550"/>
    <w:rsid w:val="3BEC3D10"/>
    <w:rsid w:val="3C827DF3"/>
    <w:rsid w:val="3C8F6671"/>
    <w:rsid w:val="3CB37C81"/>
    <w:rsid w:val="3CC0460A"/>
    <w:rsid w:val="3CC40E25"/>
    <w:rsid w:val="3CCF5921"/>
    <w:rsid w:val="3CD3038C"/>
    <w:rsid w:val="3D4B0F3E"/>
    <w:rsid w:val="3D5567C1"/>
    <w:rsid w:val="3DAC1864"/>
    <w:rsid w:val="3E1709BF"/>
    <w:rsid w:val="3E543FE2"/>
    <w:rsid w:val="3E6512CA"/>
    <w:rsid w:val="3EB06B77"/>
    <w:rsid w:val="3F0439F8"/>
    <w:rsid w:val="3F517FEA"/>
    <w:rsid w:val="3FD9238A"/>
    <w:rsid w:val="40340245"/>
    <w:rsid w:val="40750A9E"/>
    <w:rsid w:val="40A14B85"/>
    <w:rsid w:val="40FC5157"/>
    <w:rsid w:val="414C2DF9"/>
    <w:rsid w:val="4217429D"/>
    <w:rsid w:val="42480BEA"/>
    <w:rsid w:val="426A1BE8"/>
    <w:rsid w:val="43717909"/>
    <w:rsid w:val="437F30E1"/>
    <w:rsid w:val="43E06B69"/>
    <w:rsid w:val="441C2606"/>
    <w:rsid w:val="45071FDE"/>
    <w:rsid w:val="451B6685"/>
    <w:rsid w:val="45231D0E"/>
    <w:rsid w:val="457843D0"/>
    <w:rsid w:val="457E36EE"/>
    <w:rsid w:val="45804E35"/>
    <w:rsid w:val="45A06674"/>
    <w:rsid w:val="47454352"/>
    <w:rsid w:val="47590561"/>
    <w:rsid w:val="47615DB7"/>
    <w:rsid w:val="4799146C"/>
    <w:rsid w:val="47BF6879"/>
    <w:rsid w:val="48301C3E"/>
    <w:rsid w:val="48843596"/>
    <w:rsid w:val="49154057"/>
    <w:rsid w:val="4A3A51F2"/>
    <w:rsid w:val="4AC4241F"/>
    <w:rsid w:val="4AD01703"/>
    <w:rsid w:val="4B326047"/>
    <w:rsid w:val="4B8E50C5"/>
    <w:rsid w:val="4C3F44DC"/>
    <w:rsid w:val="4C8F7B12"/>
    <w:rsid w:val="4CC0624F"/>
    <w:rsid w:val="4CF34D93"/>
    <w:rsid w:val="4DBB7F90"/>
    <w:rsid w:val="4E432F4E"/>
    <w:rsid w:val="4EE17BB1"/>
    <w:rsid w:val="4EF25C69"/>
    <w:rsid w:val="4F835211"/>
    <w:rsid w:val="4FFC7E78"/>
    <w:rsid w:val="503414DD"/>
    <w:rsid w:val="503D67F6"/>
    <w:rsid w:val="504904A3"/>
    <w:rsid w:val="50562C02"/>
    <w:rsid w:val="507568DD"/>
    <w:rsid w:val="5099691F"/>
    <w:rsid w:val="50D430E6"/>
    <w:rsid w:val="50F938FF"/>
    <w:rsid w:val="50FD0771"/>
    <w:rsid w:val="51232EDC"/>
    <w:rsid w:val="516C457C"/>
    <w:rsid w:val="51785E01"/>
    <w:rsid w:val="518A7BF2"/>
    <w:rsid w:val="51951BF2"/>
    <w:rsid w:val="51BC648A"/>
    <w:rsid w:val="51FE5395"/>
    <w:rsid w:val="527E6C8B"/>
    <w:rsid w:val="52FC6720"/>
    <w:rsid w:val="53012058"/>
    <w:rsid w:val="53034162"/>
    <w:rsid w:val="53454559"/>
    <w:rsid w:val="542F3C18"/>
    <w:rsid w:val="543A6931"/>
    <w:rsid w:val="54494C3F"/>
    <w:rsid w:val="5455056C"/>
    <w:rsid w:val="548F424D"/>
    <w:rsid w:val="551F1586"/>
    <w:rsid w:val="557D2B68"/>
    <w:rsid w:val="55B7012A"/>
    <w:rsid w:val="56D87D6C"/>
    <w:rsid w:val="56FA0E26"/>
    <w:rsid w:val="57553649"/>
    <w:rsid w:val="57A45D91"/>
    <w:rsid w:val="58097022"/>
    <w:rsid w:val="588D3BD8"/>
    <w:rsid w:val="58CB6807"/>
    <w:rsid w:val="58FA78C7"/>
    <w:rsid w:val="58FF02AC"/>
    <w:rsid w:val="593C0AEA"/>
    <w:rsid w:val="59B1172E"/>
    <w:rsid w:val="59DF1B61"/>
    <w:rsid w:val="5A3C00B9"/>
    <w:rsid w:val="5A653999"/>
    <w:rsid w:val="5AE71455"/>
    <w:rsid w:val="5B0B04B4"/>
    <w:rsid w:val="5C3949B3"/>
    <w:rsid w:val="5CB12EFE"/>
    <w:rsid w:val="5CF02465"/>
    <w:rsid w:val="5CFC3C2B"/>
    <w:rsid w:val="5D4D2401"/>
    <w:rsid w:val="5DDF09BF"/>
    <w:rsid w:val="5EA264E6"/>
    <w:rsid w:val="5F222FD5"/>
    <w:rsid w:val="5F8E77CE"/>
    <w:rsid w:val="5F946FCB"/>
    <w:rsid w:val="5FBB3143"/>
    <w:rsid w:val="5FDB3FF2"/>
    <w:rsid w:val="602D6443"/>
    <w:rsid w:val="603409D4"/>
    <w:rsid w:val="60513947"/>
    <w:rsid w:val="611B0F24"/>
    <w:rsid w:val="61210641"/>
    <w:rsid w:val="61AD316B"/>
    <w:rsid w:val="61F945AF"/>
    <w:rsid w:val="623D6E67"/>
    <w:rsid w:val="62537588"/>
    <w:rsid w:val="630000FC"/>
    <w:rsid w:val="631D301E"/>
    <w:rsid w:val="6348282E"/>
    <w:rsid w:val="635C5B04"/>
    <w:rsid w:val="63B83F57"/>
    <w:rsid w:val="63C766E9"/>
    <w:rsid w:val="63F03B14"/>
    <w:rsid w:val="6564693C"/>
    <w:rsid w:val="659606AC"/>
    <w:rsid w:val="65C011FB"/>
    <w:rsid w:val="65C4585B"/>
    <w:rsid w:val="65CC7931"/>
    <w:rsid w:val="662207A9"/>
    <w:rsid w:val="665E0506"/>
    <w:rsid w:val="66664C8F"/>
    <w:rsid w:val="66AC1D0C"/>
    <w:rsid w:val="673E4747"/>
    <w:rsid w:val="67865992"/>
    <w:rsid w:val="67AF7989"/>
    <w:rsid w:val="67FC7C8C"/>
    <w:rsid w:val="683D50E0"/>
    <w:rsid w:val="68587AD1"/>
    <w:rsid w:val="68760031"/>
    <w:rsid w:val="688B7799"/>
    <w:rsid w:val="689C63D4"/>
    <w:rsid w:val="69097D98"/>
    <w:rsid w:val="694143AF"/>
    <w:rsid w:val="697C3423"/>
    <w:rsid w:val="6A9767B2"/>
    <w:rsid w:val="6ADC4E36"/>
    <w:rsid w:val="6B0B6BB0"/>
    <w:rsid w:val="6B710276"/>
    <w:rsid w:val="6BE77122"/>
    <w:rsid w:val="6C065C4A"/>
    <w:rsid w:val="6C4F062A"/>
    <w:rsid w:val="6CDD1B53"/>
    <w:rsid w:val="6CED0740"/>
    <w:rsid w:val="6CF90CF0"/>
    <w:rsid w:val="6D136D3C"/>
    <w:rsid w:val="6D5C09F8"/>
    <w:rsid w:val="6D80459B"/>
    <w:rsid w:val="6D8101C0"/>
    <w:rsid w:val="6DB65992"/>
    <w:rsid w:val="6E0D68B0"/>
    <w:rsid w:val="6E965E47"/>
    <w:rsid w:val="6F9A329B"/>
    <w:rsid w:val="70285ACC"/>
    <w:rsid w:val="70547A9B"/>
    <w:rsid w:val="70B57AA1"/>
    <w:rsid w:val="70F92F7D"/>
    <w:rsid w:val="711558F4"/>
    <w:rsid w:val="716F7E1B"/>
    <w:rsid w:val="71CD1DEB"/>
    <w:rsid w:val="7267625E"/>
    <w:rsid w:val="726E6F4A"/>
    <w:rsid w:val="72E61EEA"/>
    <w:rsid w:val="73903E43"/>
    <w:rsid w:val="739D2BD4"/>
    <w:rsid w:val="73FD1259"/>
    <w:rsid w:val="744765CB"/>
    <w:rsid w:val="748522EB"/>
    <w:rsid w:val="74BC4BF6"/>
    <w:rsid w:val="74FE04F0"/>
    <w:rsid w:val="75034696"/>
    <w:rsid w:val="75646251"/>
    <w:rsid w:val="75676644"/>
    <w:rsid w:val="75C1131B"/>
    <w:rsid w:val="75C83E82"/>
    <w:rsid w:val="762048A7"/>
    <w:rsid w:val="76B9487E"/>
    <w:rsid w:val="76E05490"/>
    <w:rsid w:val="7712029D"/>
    <w:rsid w:val="775D1811"/>
    <w:rsid w:val="777306E0"/>
    <w:rsid w:val="777B5C72"/>
    <w:rsid w:val="780517B1"/>
    <w:rsid w:val="78246FA8"/>
    <w:rsid w:val="785F0292"/>
    <w:rsid w:val="78633B3E"/>
    <w:rsid w:val="78CE183C"/>
    <w:rsid w:val="792E27DA"/>
    <w:rsid w:val="79895999"/>
    <w:rsid w:val="79E011D5"/>
    <w:rsid w:val="7A5224A0"/>
    <w:rsid w:val="7A797911"/>
    <w:rsid w:val="7AC57927"/>
    <w:rsid w:val="7AF4444D"/>
    <w:rsid w:val="7B657DEF"/>
    <w:rsid w:val="7B6B7C58"/>
    <w:rsid w:val="7B747935"/>
    <w:rsid w:val="7B94746D"/>
    <w:rsid w:val="7BC3090F"/>
    <w:rsid w:val="7BF4741E"/>
    <w:rsid w:val="7C423754"/>
    <w:rsid w:val="7C78289C"/>
    <w:rsid w:val="7C8C31E0"/>
    <w:rsid w:val="7CBE0147"/>
    <w:rsid w:val="7D4D27DC"/>
    <w:rsid w:val="7D7A674E"/>
    <w:rsid w:val="7D935F6D"/>
    <w:rsid w:val="7D9360F1"/>
    <w:rsid w:val="7DBE25BE"/>
    <w:rsid w:val="7DD6151A"/>
    <w:rsid w:val="7E654AD4"/>
    <w:rsid w:val="7F152B8F"/>
    <w:rsid w:val="7F342968"/>
    <w:rsid w:val="7F737A1B"/>
    <w:rsid w:val="7F7A52EA"/>
    <w:rsid w:val="7FFD52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adjustRightInd w:val="0"/>
      <w:snapToGrid w:val="0"/>
      <w:spacing w:after="200"/>
    </w:pPr>
    <w:rPr>
      <w:rFonts w:ascii="Tahoma" w:hAnsi="Tahoma" w:eastAsia="宋体" w:cstheme="minorBidi"/>
      <w:sz w:val="24"/>
      <w:szCs w:val="22"/>
      <w:lang w:val="en-US" w:eastAsia="zh-CN" w:bidi="ar-SA"/>
    </w:rPr>
  </w:style>
  <w:style w:type="paragraph" w:styleId="3">
    <w:name w:val="heading 1"/>
    <w:basedOn w:val="1"/>
    <w:next w:val="1"/>
    <w:link w:val="27"/>
    <w:qFormat/>
    <w:uiPriority w:val="9"/>
    <w:pPr>
      <w:keepNext/>
      <w:keepLines/>
      <w:numPr>
        <w:ilvl w:val="0"/>
        <w:numId w:val="1"/>
      </w:numPr>
      <w:spacing w:before="340" w:after="330" w:line="578" w:lineRule="auto"/>
      <w:outlineLvl w:val="0"/>
    </w:pPr>
    <w:rPr>
      <w:b/>
      <w:bCs/>
      <w:kern w:val="44"/>
      <w:sz w:val="44"/>
      <w:szCs w:val="44"/>
    </w:rPr>
  </w:style>
  <w:style w:type="paragraph" w:styleId="4">
    <w:name w:val="heading 2"/>
    <w:basedOn w:val="1"/>
    <w:next w:val="1"/>
    <w:link w:val="28"/>
    <w:unhideWhenUsed/>
    <w:qFormat/>
    <w:uiPriority w:val="9"/>
    <w:pPr>
      <w:keepNext/>
      <w:keepLines/>
      <w:numPr>
        <w:ilvl w:val="1"/>
        <w:numId w:val="1"/>
      </w:numPr>
      <w:spacing w:before="260" w:after="260" w:line="416" w:lineRule="auto"/>
      <w:outlineLvl w:val="1"/>
    </w:pPr>
    <w:rPr>
      <w:rFonts w:eastAsia="黑体" w:asciiTheme="majorHAnsi" w:hAnsiTheme="majorHAnsi" w:cstheme="majorBidi"/>
      <w:b/>
      <w:bCs/>
      <w:sz w:val="32"/>
      <w:szCs w:val="32"/>
    </w:rPr>
  </w:style>
  <w:style w:type="paragraph" w:styleId="5">
    <w:name w:val="heading 3"/>
    <w:basedOn w:val="1"/>
    <w:next w:val="1"/>
    <w:unhideWhenUsed/>
    <w:qFormat/>
    <w:uiPriority w:val="9"/>
    <w:pPr>
      <w:keepNext/>
      <w:keepLines/>
      <w:numPr>
        <w:ilvl w:val="2"/>
        <w:numId w:val="1"/>
      </w:numPr>
      <w:spacing w:before="260" w:after="260" w:line="413" w:lineRule="auto"/>
      <w:outlineLvl w:val="2"/>
    </w:pPr>
    <w:rPr>
      <w:rFonts w:eastAsia="宋体"/>
      <w:sz w:val="32"/>
    </w:rPr>
  </w:style>
  <w:style w:type="paragraph" w:styleId="6">
    <w:name w:val="heading 4"/>
    <w:basedOn w:val="5"/>
    <w:next w:val="1"/>
    <w:autoRedefine/>
    <w:semiHidden/>
    <w:unhideWhenUsed/>
    <w:qFormat/>
    <w:uiPriority w:val="9"/>
    <w:pPr>
      <w:numPr>
        <w:ilvl w:val="3"/>
      </w:numPr>
      <w:tabs>
        <w:tab w:val="left" w:pos="432"/>
        <w:tab w:val="left" w:pos="864"/>
        <w:tab w:val="left" w:pos="1290"/>
      </w:tabs>
      <w:spacing w:before="280" w:after="290" w:line="376" w:lineRule="auto"/>
      <w:outlineLvl w:val="3"/>
    </w:pPr>
    <w:rPr>
      <w:rFonts w:ascii="Arial" w:hAnsi="Arial" w:eastAsia="黑体"/>
      <w:sz w:val="28"/>
      <w:szCs w:val="28"/>
    </w:rPr>
  </w:style>
  <w:style w:type="paragraph" w:styleId="7">
    <w:name w:val="heading 5"/>
    <w:basedOn w:val="1"/>
    <w:next w:val="1"/>
    <w:semiHidden/>
    <w:unhideWhenUsed/>
    <w:qFormat/>
    <w:uiPriority w:val="9"/>
    <w:pPr>
      <w:keepNext/>
      <w:keepLines/>
      <w:numPr>
        <w:ilvl w:val="4"/>
        <w:numId w:val="1"/>
      </w:numPr>
      <w:tabs>
        <w:tab w:val="left" w:pos="1008"/>
      </w:tabs>
      <w:spacing w:before="280" w:after="290" w:line="372" w:lineRule="auto"/>
      <w:outlineLvl w:val="4"/>
    </w:pPr>
    <w:rPr>
      <w:b/>
      <w:sz w:val="28"/>
    </w:rPr>
  </w:style>
  <w:style w:type="paragraph" w:styleId="8">
    <w:name w:val="heading 6"/>
    <w:basedOn w:val="1"/>
    <w:next w:val="1"/>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9">
    <w:name w:val="heading 7"/>
    <w:basedOn w:val="1"/>
    <w:next w:val="1"/>
    <w:autoRedefine/>
    <w:semiHidden/>
    <w:unhideWhenUsed/>
    <w:qFormat/>
    <w:uiPriority w:val="9"/>
    <w:pPr>
      <w:keepNext/>
      <w:keepLines/>
      <w:numPr>
        <w:ilvl w:val="6"/>
        <w:numId w:val="1"/>
      </w:numPr>
      <w:spacing w:before="240" w:after="64" w:line="317" w:lineRule="auto"/>
      <w:outlineLvl w:val="6"/>
    </w:pPr>
    <w:rPr>
      <w:b/>
      <w:sz w:val="24"/>
    </w:rPr>
  </w:style>
  <w:style w:type="paragraph" w:styleId="10">
    <w:name w:val="heading 8"/>
    <w:basedOn w:val="1"/>
    <w:next w:val="1"/>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1">
    <w:name w:val="heading 9"/>
    <w:basedOn w:val="1"/>
    <w:next w:val="1"/>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3">
    <w:name w:val="Default Paragraph Font"/>
    <w:autoRedefine/>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autoRedefine/>
    <w:unhideWhenUsed/>
    <w:qFormat/>
    <w:uiPriority w:val="39"/>
    <w:pPr>
      <w:ind w:left="420" w:leftChars="200"/>
    </w:pPr>
  </w:style>
  <w:style w:type="paragraph" w:styleId="12">
    <w:name w:val="annotation text"/>
    <w:basedOn w:val="1"/>
    <w:link w:val="34"/>
    <w:autoRedefine/>
    <w:semiHidden/>
    <w:unhideWhenUsed/>
    <w:qFormat/>
    <w:uiPriority w:val="99"/>
  </w:style>
  <w:style w:type="paragraph" w:styleId="13">
    <w:name w:val="Body Text"/>
    <w:basedOn w:val="1"/>
    <w:autoRedefine/>
    <w:qFormat/>
    <w:uiPriority w:val="0"/>
    <w:pPr>
      <w:spacing w:after="120" w:afterLines="0" w:afterAutospacing="0"/>
    </w:pPr>
  </w:style>
  <w:style w:type="paragraph" w:styleId="14">
    <w:name w:val="toc 3"/>
    <w:basedOn w:val="1"/>
    <w:next w:val="1"/>
    <w:autoRedefine/>
    <w:unhideWhenUsed/>
    <w:qFormat/>
    <w:uiPriority w:val="39"/>
    <w:pPr>
      <w:ind w:left="840" w:leftChars="400"/>
    </w:pPr>
  </w:style>
  <w:style w:type="paragraph" w:styleId="15">
    <w:name w:val="Date"/>
    <w:basedOn w:val="1"/>
    <w:next w:val="1"/>
    <w:link w:val="26"/>
    <w:semiHidden/>
    <w:unhideWhenUsed/>
    <w:qFormat/>
    <w:uiPriority w:val="99"/>
    <w:pPr>
      <w:ind w:left="100" w:leftChars="2500"/>
    </w:pPr>
  </w:style>
  <w:style w:type="paragraph" w:styleId="16">
    <w:name w:val="Balloon Text"/>
    <w:basedOn w:val="1"/>
    <w:link w:val="36"/>
    <w:semiHidden/>
    <w:unhideWhenUsed/>
    <w:qFormat/>
    <w:uiPriority w:val="99"/>
    <w:pPr>
      <w:spacing w:after="0"/>
    </w:pPr>
    <w:rPr>
      <w:sz w:val="18"/>
      <w:szCs w:val="18"/>
    </w:rPr>
  </w:style>
  <w:style w:type="paragraph" w:styleId="17">
    <w:name w:val="footer"/>
    <w:basedOn w:val="1"/>
    <w:unhideWhenUsed/>
    <w:qFormat/>
    <w:uiPriority w:val="99"/>
    <w:pPr>
      <w:tabs>
        <w:tab w:val="center" w:pos="4153"/>
        <w:tab w:val="right" w:pos="8306"/>
      </w:tabs>
    </w:pPr>
    <w:rPr>
      <w:sz w:val="18"/>
    </w:rPr>
  </w:style>
  <w:style w:type="paragraph" w:styleId="18">
    <w:name w:val="header"/>
    <w:basedOn w:val="1"/>
    <w:autoRedefine/>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19">
    <w:name w:val="toc 1"/>
    <w:basedOn w:val="1"/>
    <w:next w:val="1"/>
    <w:autoRedefine/>
    <w:unhideWhenUsed/>
    <w:qFormat/>
    <w:uiPriority w:val="39"/>
  </w:style>
  <w:style w:type="paragraph" w:styleId="20">
    <w:name w:val="annotation subject"/>
    <w:basedOn w:val="12"/>
    <w:next w:val="12"/>
    <w:link w:val="35"/>
    <w:autoRedefine/>
    <w:semiHidden/>
    <w:unhideWhenUsed/>
    <w:qFormat/>
    <w:uiPriority w:val="99"/>
    <w:rPr>
      <w:b/>
      <w:bCs/>
    </w:rPr>
  </w:style>
  <w:style w:type="table" w:styleId="22">
    <w:name w:val="Table Grid"/>
    <w:basedOn w:val="2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Hyperlink"/>
    <w:basedOn w:val="23"/>
    <w:autoRedefine/>
    <w:unhideWhenUsed/>
    <w:qFormat/>
    <w:uiPriority w:val="99"/>
    <w:rPr>
      <w:color w:val="0000FF"/>
      <w:u w:val="single"/>
    </w:rPr>
  </w:style>
  <w:style w:type="character" w:styleId="25">
    <w:name w:val="annotation reference"/>
    <w:basedOn w:val="23"/>
    <w:autoRedefine/>
    <w:semiHidden/>
    <w:unhideWhenUsed/>
    <w:qFormat/>
    <w:uiPriority w:val="99"/>
    <w:rPr>
      <w:sz w:val="21"/>
      <w:szCs w:val="21"/>
    </w:rPr>
  </w:style>
  <w:style w:type="character" w:customStyle="1" w:styleId="26">
    <w:name w:val="日期 字符"/>
    <w:basedOn w:val="23"/>
    <w:link w:val="15"/>
    <w:autoRedefine/>
    <w:semiHidden/>
    <w:qFormat/>
    <w:uiPriority w:val="99"/>
    <w:rPr>
      <w:rFonts w:ascii="Tahoma" w:hAnsi="Tahoma" w:eastAsia="微软雅黑"/>
      <w:kern w:val="0"/>
      <w:sz w:val="22"/>
    </w:rPr>
  </w:style>
  <w:style w:type="character" w:customStyle="1" w:styleId="27">
    <w:name w:val="标题 1 字符"/>
    <w:basedOn w:val="23"/>
    <w:link w:val="3"/>
    <w:qFormat/>
    <w:uiPriority w:val="9"/>
    <w:rPr>
      <w:rFonts w:ascii="Tahoma" w:hAnsi="Tahoma" w:eastAsia="微软雅黑"/>
      <w:b/>
      <w:bCs/>
      <w:kern w:val="44"/>
      <w:sz w:val="44"/>
      <w:szCs w:val="44"/>
    </w:rPr>
  </w:style>
  <w:style w:type="character" w:customStyle="1" w:styleId="28">
    <w:name w:val="标题 2 字符"/>
    <w:basedOn w:val="23"/>
    <w:link w:val="4"/>
    <w:autoRedefine/>
    <w:qFormat/>
    <w:uiPriority w:val="9"/>
    <w:rPr>
      <w:rFonts w:eastAsia="黑体" w:asciiTheme="majorHAnsi" w:hAnsiTheme="majorHAnsi" w:cstheme="majorBidi"/>
      <w:b/>
      <w:bCs/>
      <w:kern w:val="0"/>
      <w:sz w:val="32"/>
      <w:szCs w:val="32"/>
    </w:rPr>
  </w:style>
  <w:style w:type="paragraph" w:styleId="29">
    <w:name w:val="List Paragraph"/>
    <w:basedOn w:val="1"/>
    <w:autoRedefine/>
    <w:qFormat/>
    <w:uiPriority w:val="34"/>
    <w:pPr>
      <w:ind w:firstLine="420" w:firstLineChars="200"/>
    </w:pPr>
  </w:style>
  <w:style w:type="character" w:customStyle="1" w:styleId="30">
    <w:name w:val="apple-converted-space"/>
    <w:basedOn w:val="23"/>
    <w:qFormat/>
    <w:uiPriority w:val="0"/>
  </w:style>
  <w:style w:type="paragraph" w:customStyle="1" w:styleId="31">
    <w:name w:val="WPSOffice手动目录 1"/>
    <w:qFormat/>
    <w:uiPriority w:val="0"/>
    <w:rPr>
      <w:rFonts w:ascii="Calibri" w:hAnsi="Calibri" w:eastAsia="宋体" w:cs="Times New Roman"/>
      <w:lang w:val="en-US" w:eastAsia="zh-CN" w:bidi="ar-SA"/>
    </w:rPr>
  </w:style>
  <w:style w:type="paragraph" w:customStyle="1" w:styleId="32">
    <w:name w:val="WPSOffice手动目录 2"/>
    <w:autoRedefine/>
    <w:qFormat/>
    <w:uiPriority w:val="0"/>
    <w:pPr>
      <w:ind w:left="200" w:leftChars="200"/>
    </w:pPr>
    <w:rPr>
      <w:rFonts w:ascii="Calibri" w:hAnsi="Calibri" w:eastAsia="宋体" w:cs="Times New Roman"/>
      <w:lang w:val="en-US" w:eastAsia="zh-CN" w:bidi="ar-SA"/>
    </w:rPr>
  </w:style>
  <w:style w:type="paragraph" w:customStyle="1" w:styleId="33">
    <w:name w:val="WPSOffice手动目录 3"/>
    <w:qFormat/>
    <w:uiPriority w:val="0"/>
    <w:pPr>
      <w:ind w:left="400" w:leftChars="400"/>
    </w:pPr>
    <w:rPr>
      <w:rFonts w:ascii="Calibri" w:hAnsi="Calibri" w:eastAsia="宋体" w:cs="Times New Roman"/>
      <w:lang w:val="en-US" w:eastAsia="zh-CN" w:bidi="ar-SA"/>
    </w:rPr>
  </w:style>
  <w:style w:type="character" w:customStyle="1" w:styleId="34">
    <w:name w:val="批注文字 字符"/>
    <w:basedOn w:val="23"/>
    <w:link w:val="12"/>
    <w:semiHidden/>
    <w:qFormat/>
    <w:uiPriority w:val="99"/>
    <w:rPr>
      <w:rFonts w:ascii="Tahoma" w:hAnsi="Tahoma" w:eastAsia="微软雅黑" w:cstheme="minorBidi"/>
      <w:sz w:val="22"/>
      <w:szCs w:val="22"/>
    </w:rPr>
  </w:style>
  <w:style w:type="character" w:customStyle="1" w:styleId="35">
    <w:name w:val="批注主题 字符"/>
    <w:basedOn w:val="34"/>
    <w:link w:val="20"/>
    <w:semiHidden/>
    <w:qFormat/>
    <w:uiPriority w:val="99"/>
    <w:rPr>
      <w:rFonts w:ascii="Tahoma" w:hAnsi="Tahoma" w:eastAsia="微软雅黑" w:cstheme="minorBidi"/>
      <w:b/>
      <w:bCs/>
      <w:sz w:val="22"/>
      <w:szCs w:val="22"/>
    </w:rPr>
  </w:style>
  <w:style w:type="character" w:customStyle="1" w:styleId="36">
    <w:name w:val="批注框文本 字符"/>
    <w:basedOn w:val="23"/>
    <w:link w:val="16"/>
    <w:semiHidden/>
    <w:qFormat/>
    <w:uiPriority w:val="99"/>
    <w:rPr>
      <w:rFonts w:ascii="Tahoma" w:hAnsi="Tahoma" w:eastAsia="微软雅黑" w:cstheme="minorBidi"/>
      <w:sz w:val="18"/>
      <w:szCs w:val="18"/>
    </w:rPr>
  </w:style>
  <w:style w:type="paragraph" w:customStyle="1" w:styleId="37">
    <w:name w:val="正文 New New New New New New New New New New New New New New New New New New New New New New New New New New New New New New New New New New New New New New New New New New New New"/>
    <w:autoRedefine/>
    <w:qFormat/>
    <w:uiPriority w:val="0"/>
    <w:pPr>
      <w:widowControl w:val="0"/>
      <w:spacing w:line="360" w:lineRule="auto"/>
      <w:jc w:val="both"/>
    </w:pPr>
    <w:rPr>
      <w:rFonts w:ascii="宋体" w:hAnsi="Times New Roman" w:eastAsia="宋体" w:cs="Times New Roman"/>
      <w:kern w:val="2"/>
      <w:sz w:val="24"/>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pn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2.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5" Type="http://schemas.openxmlformats.org/officeDocument/2006/relationships/fontTable" Target="fontTable.xml"/><Relationship Id="rId114" Type="http://schemas.openxmlformats.org/officeDocument/2006/relationships/customXml" Target="../customXml/item2.xml"/><Relationship Id="rId113" Type="http://schemas.openxmlformats.org/officeDocument/2006/relationships/numbering" Target="numbering.xml"/><Relationship Id="rId112" Type="http://schemas.openxmlformats.org/officeDocument/2006/relationships/customXml" Target="../customXml/item1.xml"/><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FADA68-2B7F-448E-98AA-CAB09D78221C}">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62</Pages>
  <Words>7336</Words>
  <Characters>7519</Characters>
  <Lines>71</Lines>
  <Paragraphs>20</Paragraphs>
  <TotalTime>0</TotalTime>
  <ScaleCrop>false</ScaleCrop>
  <LinksUpToDate>false</LinksUpToDate>
  <CharactersWithSpaces>7685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2017-04-10T09:48:00Z</dcterms:created>
  <dc:creator>User</dc:creator>
  <cp:lastModifiedBy>小丑</cp:lastModifiedBy>
  <cp:lastPrinted>2020-05-28T02:43:00Z</cp:lastPrinted>
  <dcterms:modified xsi:type="dcterms:W3CDTF">2025-06-13T02:00:34Z</dcterms:modified>
  <cp:revision>198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6A4D042AC9794312ACB57B160DD7F8DC</vt:lpwstr>
  </property>
  <property fmtid="{D5CDD505-2E9C-101B-9397-08002B2CF9AE}" pid="4" name="commondata">
    <vt:lpwstr>eyJoZGlkIjoiMDhlNTAwYjEyYTRkNDJlNWZiNGNlYzc1NTI4MThlYzcifQ==</vt:lpwstr>
  </property>
  <property fmtid="{D5CDD505-2E9C-101B-9397-08002B2CF9AE}" pid="5" name="KSOTemplateDocerSaveRecord">
    <vt:lpwstr>eyJoZGlkIjoiNmMyNjk1ZDYxZTM4YmZhM2FkMDNkMzY3ZGU0NzA5Y2EiLCJ1c2VySWQiOiI0MzExNDM5OTkifQ==</vt:lpwstr>
  </property>
</Properties>
</file>