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5986AD">
      <w:pPr>
        <w:jc w:val="center"/>
        <w:rPr>
          <w:rFonts w:ascii="黑体" w:eastAsia="黑体"/>
          <w:b/>
          <w:color w:val="FF0000"/>
          <w:sz w:val="48"/>
          <w:szCs w:val="48"/>
        </w:rPr>
      </w:pPr>
    </w:p>
    <w:p w14:paraId="74BBC8CA">
      <w:pPr>
        <w:jc w:val="center"/>
        <w:rPr>
          <w:rFonts w:ascii="黑体" w:eastAsia="黑体"/>
          <w:b/>
          <w:sz w:val="48"/>
          <w:szCs w:val="48"/>
        </w:rPr>
      </w:pPr>
    </w:p>
    <w:p w14:paraId="63DA2F0F">
      <w:pPr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  <w:lang w:val="en-US" w:eastAsia="zh-CN"/>
        </w:rPr>
        <w:t>汕尾</w:t>
      </w:r>
      <w:r>
        <w:rPr>
          <w:rFonts w:hint="eastAsia" w:ascii="黑体" w:eastAsia="黑体"/>
          <w:b/>
          <w:sz w:val="48"/>
          <w:szCs w:val="48"/>
        </w:rPr>
        <w:t>市公共资源交易</w:t>
      </w:r>
      <w:r>
        <w:rPr>
          <w:rFonts w:hint="eastAsia" w:ascii="黑体" w:eastAsia="黑体"/>
          <w:b/>
          <w:sz w:val="48"/>
          <w:szCs w:val="48"/>
          <w:lang w:val="en-US" w:eastAsia="zh-CN"/>
        </w:rPr>
        <w:t>信息</w:t>
      </w:r>
      <w:r>
        <w:rPr>
          <w:rFonts w:hint="eastAsia" w:ascii="黑体" w:eastAsia="黑体"/>
          <w:b/>
          <w:sz w:val="48"/>
          <w:szCs w:val="48"/>
        </w:rPr>
        <w:t>化平台</w:t>
      </w:r>
    </w:p>
    <w:p w14:paraId="45FE70B6">
      <w:pPr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</w:rPr>
        <w:t>建设工程交易</w:t>
      </w:r>
    </w:p>
    <w:p w14:paraId="02D818B2">
      <w:pPr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</w:rPr>
        <w:t>（招标人）</w:t>
      </w:r>
    </w:p>
    <w:p w14:paraId="2E7C180D">
      <w:pPr>
        <w:spacing w:before="144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用</w:t>
      </w:r>
    </w:p>
    <w:p w14:paraId="2FF8B591">
      <w:pPr>
        <w:spacing w:before="360" w:after="312" w:afterLines="10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户</w:t>
      </w:r>
    </w:p>
    <w:p w14:paraId="3995F928">
      <w:pPr>
        <w:spacing w:before="360" w:after="312" w:afterLines="10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手</w:t>
      </w:r>
    </w:p>
    <w:p w14:paraId="7BC6A5C4">
      <w:pPr>
        <w:spacing w:before="360" w:after="312" w:afterLines="10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册</w:t>
      </w:r>
    </w:p>
    <w:p w14:paraId="3DB22497">
      <w:pPr>
        <w:rPr>
          <w:rFonts w:ascii="黑体" w:hAnsi="宋体" w:eastAsia="黑体"/>
          <w:b/>
          <w:sz w:val="24"/>
        </w:rPr>
      </w:pPr>
    </w:p>
    <w:p w14:paraId="6BF1C203">
      <w:pPr>
        <w:rPr>
          <w:rFonts w:ascii="黑体" w:hAnsi="宋体" w:eastAsia="黑体"/>
          <w:b/>
          <w:sz w:val="24"/>
        </w:rPr>
      </w:pPr>
    </w:p>
    <w:p w14:paraId="7ED3EB66">
      <w:pPr>
        <w:rPr>
          <w:rFonts w:ascii="黑体" w:hAnsi="宋体" w:eastAsia="黑体"/>
          <w:b/>
          <w:sz w:val="24"/>
        </w:rPr>
      </w:pPr>
    </w:p>
    <w:p w14:paraId="6463FF64">
      <w:pPr>
        <w:rPr>
          <w:rFonts w:ascii="黑体" w:hAnsi="宋体" w:eastAsia="黑体"/>
          <w:b/>
          <w:sz w:val="24"/>
        </w:rPr>
      </w:pPr>
    </w:p>
    <w:p w14:paraId="5235AA08">
      <w:pPr>
        <w:jc w:val="center"/>
        <w:rPr>
          <w:rFonts w:eastAsia="黑体"/>
          <w:b/>
          <w:bCs/>
          <w:sz w:val="28"/>
        </w:rPr>
      </w:pPr>
    </w:p>
    <w:p w14:paraId="59E50E15">
      <w:pPr>
        <w:jc w:val="center"/>
        <w:rPr>
          <w:rFonts w:eastAsia="黑体"/>
          <w:b/>
          <w:bCs/>
          <w:sz w:val="28"/>
        </w:rPr>
      </w:pPr>
    </w:p>
    <w:p w14:paraId="23E900B2">
      <w:pPr>
        <w:jc w:val="center"/>
        <w:rPr>
          <w:rFonts w:eastAsia="黑体"/>
          <w:b/>
          <w:bCs/>
          <w:sz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/>
          <w:sz w:val="21"/>
        </w:rPr>
        <w:id w:val="147482565"/>
        <w:docPartObj>
          <w:docPartGallery w:val="Table of Contents"/>
          <w:docPartUnique/>
        </w:docPartObj>
      </w:sdtPr>
      <w:sdtEndPr>
        <w:rPr>
          <w:rFonts w:hint="eastAsia" w:ascii="Tahoma" w:hAnsi="Tahoma" w:eastAsia="黑体"/>
          <w:bCs/>
          <w:sz w:val="22"/>
        </w:rPr>
      </w:sdtEndPr>
      <w:sdtContent>
        <w:p w14:paraId="11586246">
          <w:pPr>
            <w:spacing w:after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5355B2D3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/>
              <w:bCs/>
              <w:sz w:val="28"/>
            </w:rPr>
            <w:fldChar w:fldCharType="begin"/>
          </w:r>
          <w:r>
            <w:rPr>
              <w:rFonts w:hint="eastAsia" w:eastAsia="黑体"/>
              <w:b/>
              <w:bCs/>
              <w:sz w:val="28"/>
            </w:rPr>
            <w:instrText xml:space="preserve">TOC \o "1-3" \h \u </w:instrText>
          </w:r>
          <w:r>
            <w:rPr>
              <w:rFonts w:hint="eastAsia" w:eastAsia="黑体"/>
              <w:b/>
              <w:bCs/>
              <w:sz w:val="28"/>
            </w:rPr>
            <w:fldChar w:fldCharType="separate"/>
          </w: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_Toc3165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1. </w:t>
          </w:r>
          <w:r>
            <w:rPr>
              <w:rFonts w:hint="eastAsia" w:ascii="黑体" w:hAnsi="Calibri" w:eastAsia="黑体" w:cs="Times New Roman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_Toc3165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1F32211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_Toc6137 </w:instrText>
          </w:r>
          <w:r>
            <w:rPr>
              <w:rFonts w:hint="eastAsia" w:eastAsia="黑体"/>
              <w:bCs/>
            </w:rPr>
            <w:fldChar w:fldCharType="separate"/>
          </w:r>
          <w:r>
            <w:t xml:space="preserve">2. </w:t>
          </w:r>
          <w:r>
            <w:rPr>
              <w:rFonts w:hint="eastAsia" w:ascii="黑体" w:hAnsi="Calibri" w:eastAsia="黑体" w:cs="Times New Roman"/>
            </w:rPr>
            <w:t>业务操作说明</w:t>
          </w:r>
          <w:r>
            <w:tab/>
          </w:r>
          <w:r>
            <w:fldChar w:fldCharType="begin"/>
          </w:r>
          <w:r>
            <w:instrText xml:space="preserve"> PAGEREF _Toc6137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693431E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_Toc6410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2.1. </w:t>
          </w:r>
          <w:r>
            <w:rPr>
              <w:rFonts w:hint="eastAsia"/>
              <w:lang w:val="en-US" w:eastAsia="zh-CN"/>
            </w:rPr>
            <w:t>发布招标计划</w:t>
          </w:r>
          <w:r>
            <w:tab/>
          </w:r>
          <w:r>
            <w:fldChar w:fldCharType="begin"/>
          </w:r>
          <w:r>
            <w:instrText xml:space="preserve"> PAGEREF _Toc6410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6F41EEBB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_Toc12248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</w:rPr>
            <w:t xml:space="preserve">2.1.1. </w:t>
          </w:r>
          <w:r>
            <w:rPr>
              <w:rFonts w:hint="eastAsia" w:ascii="宋体" w:hAnsi="宋体" w:cs="Times New Roman"/>
              <w:kern w:val="2"/>
              <w:szCs w:val="24"/>
              <w:lang w:val="en-US" w:eastAsia="zh-CN"/>
            </w:rPr>
            <w:t>发布招标计划</w:t>
          </w:r>
          <w:r>
            <w:tab/>
          </w:r>
          <w:r>
            <w:fldChar w:fldCharType="begin"/>
          </w:r>
          <w:r>
            <w:instrText xml:space="preserve"> PAGEREF _Toc12248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86F2FE5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_Toc19551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2.2. </w:t>
          </w:r>
          <w:r>
            <w:rPr>
              <w:rFonts w:hint="eastAsia"/>
            </w:rPr>
            <w:t>项目</w:t>
          </w:r>
          <w:r>
            <w:rPr>
              <w:rFonts w:hint="eastAsia"/>
              <w:lang w:val="en-US" w:eastAsia="zh-CN"/>
            </w:rPr>
            <w:t>发布确认</w:t>
          </w:r>
          <w:r>
            <w:tab/>
          </w:r>
          <w:r>
            <w:fldChar w:fldCharType="begin"/>
          </w:r>
          <w:r>
            <w:instrText xml:space="preserve"> PAGEREF _Toc19551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2B9BD00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_Toc1825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kern w:val="2"/>
              <w:szCs w:val="28"/>
            </w:rPr>
            <w:t xml:space="preserve">2.2.1. </w:t>
          </w:r>
          <w:r>
            <w:rPr>
              <w:rFonts w:hint="eastAsia"/>
            </w:rPr>
            <w:t>项目</w:t>
          </w:r>
          <w:r>
            <w:rPr>
              <w:rFonts w:hint="eastAsia"/>
              <w:lang w:val="en-US" w:eastAsia="zh-CN"/>
            </w:rPr>
            <w:t>进场招标人</w:t>
          </w:r>
          <w:r>
            <w:rPr>
              <w:rFonts w:hint="eastAsia"/>
            </w:rPr>
            <w:t>确认</w:t>
          </w:r>
          <w:r>
            <w:tab/>
          </w:r>
          <w:r>
            <w:fldChar w:fldCharType="begin"/>
          </w:r>
          <w:r>
            <w:instrText xml:space="preserve"> PAGEREF _Toc1825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E59E565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_Toc19527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</w:rPr>
            <w:t xml:space="preserve">2.2.2. </w:t>
          </w:r>
          <w:r>
            <w:rPr>
              <w:rFonts w:hint="eastAsia"/>
            </w:rPr>
            <w:t>项目发布</w:t>
          </w:r>
          <w:r>
            <w:rPr>
              <w:rFonts w:hint="eastAsia"/>
              <w:lang w:eastAsia="zh-CN"/>
            </w:rPr>
            <w:t>招标人</w:t>
          </w:r>
          <w:r>
            <w:rPr>
              <w:rFonts w:hint="eastAsia"/>
            </w:rPr>
            <w:t>确认</w:t>
          </w:r>
          <w:r>
            <w:tab/>
          </w:r>
          <w:r>
            <w:fldChar w:fldCharType="begin"/>
          </w:r>
          <w:r>
            <w:instrText xml:space="preserve"> PAGEREF _Toc19527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B35680F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_Toc26946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</w:rPr>
            <w:t xml:space="preserve">2.2.3. </w:t>
          </w:r>
          <w:r>
            <w:rPr>
              <w:rFonts w:hint="eastAsia"/>
              <w:lang w:val="en-US" w:eastAsia="zh-CN"/>
            </w:rPr>
            <w:t>已发布项目查询</w:t>
          </w:r>
          <w:r>
            <w:tab/>
          </w:r>
          <w:r>
            <w:fldChar w:fldCharType="begin"/>
          </w:r>
          <w:r>
            <w:instrText xml:space="preserve"> PAGEREF _Toc26946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E5ABFC6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_Toc9977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2.3. </w:t>
          </w:r>
          <w:r>
            <w:rPr>
              <w:rFonts w:hint="eastAsia"/>
              <w:lang w:val="en-US" w:eastAsia="zh-CN"/>
            </w:rPr>
            <w:t>查看开标</w:t>
          </w:r>
          <w:r>
            <w:tab/>
          </w:r>
          <w:r>
            <w:fldChar w:fldCharType="begin"/>
          </w:r>
          <w:r>
            <w:instrText xml:space="preserve"> PAGEREF _Toc9977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472B550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_Toc25103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  <w:lang w:val="en-US" w:eastAsia="zh-CN"/>
            </w:rPr>
            <w:t xml:space="preserve">2.3.1. </w:t>
          </w:r>
          <w:r>
            <w:rPr>
              <w:rFonts w:hint="eastAsia"/>
              <w:lang w:val="en-US" w:eastAsia="zh-CN"/>
            </w:rPr>
            <w:t>确认异议</w:t>
          </w:r>
          <w:r>
            <w:tab/>
          </w:r>
          <w:r>
            <w:fldChar w:fldCharType="begin"/>
          </w:r>
          <w:r>
            <w:instrText xml:space="preserve"> PAGEREF _Toc25103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379E6A6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_Toc32139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  <w:lang w:val="en-US" w:eastAsia="zh-CN"/>
            </w:rPr>
            <w:t xml:space="preserve">2.3.2. </w:t>
          </w:r>
          <w:r>
            <w:rPr>
              <w:rFonts w:hint="eastAsia"/>
              <w:lang w:val="en-US" w:eastAsia="zh-CN"/>
            </w:rPr>
            <w:t>公路第二信封抽取下浮率</w:t>
          </w:r>
          <w:r>
            <w:tab/>
          </w:r>
          <w:r>
            <w:fldChar w:fldCharType="begin"/>
          </w:r>
          <w:r>
            <w:instrText xml:space="preserve"> PAGEREF _Toc32139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20DAD9C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_Toc2192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2.4. </w:t>
          </w:r>
          <w:r>
            <w:rPr>
              <w:rFonts w:hint="eastAsia"/>
              <w:lang w:val="en-US" w:eastAsia="zh-CN"/>
            </w:rPr>
            <w:t>评标结果确认</w:t>
          </w:r>
          <w:r>
            <w:tab/>
          </w:r>
          <w:r>
            <w:fldChar w:fldCharType="begin"/>
          </w:r>
          <w:r>
            <w:instrText xml:space="preserve"> PAGEREF _Toc2192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2599E71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_Toc17414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2.5. </w:t>
          </w:r>
          <w:r>
            <w:rPr>
              <w:rFonts w:hint="eastAsia"/>
              <w:lang w:val="en-US" w:eastAsia="zh-CN"/>
            </w:rPr>
            <w:t>交易结果确认</w:t>
          </w:r>
          <w:r>
            <w:tab/>
          </w:r>
          <w:r>
            <w:fldChar w:fldCharType="begin"/>
          </w:r>
          <w:r>
            <w:instrText xml:space="preserve"> PAGEREF _Toc17414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036F78A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_Toc23872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2.6. </w:t>
          </w:r>
          <w:r>
            <w:rPr>
              <w:rFonts w:hint="eastAsia"/>
              <w:lang w:val="en-US" w:eastAsia="zh-CN"/>
            </w:rPr>
            <w:t>中标通知书签章</w:t>
          </w:r>
          <w:r>
            <w:tab/>
          </w:r>
          <w:r>
            <w:fldChar w:fldCharType="begin"/>
          </w:r>
          <w:r>
            <w:instrText xml:space="preserve"> PAGEREF _Toc23872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D91C273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_Toc19245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2.7. </w:t>
          </w:r>
          <w:r>
            <w:rPr>
              <w:rFonts w:hint="eastAsia"/>
              <w:lang w:val="en-US" w:eastAsia="zh-CN"/>
            </w:rPr>
            <w:t>已公示项目查询</w:t>
          </w:r>
          <w:r>
            <w:tab/>
          </w:r>
          <w:r>
            <w:fldChar w:fldCharType="begin"/>
          </w:r>
          <w:r>
            <w:instrText xml:space="preserve"> PAGEREF _Toc19245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04E46E7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_Toc16197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2.8. </w:t>
          </w:r>
          <w:r>
            <w:rPr>
              <w:rFonts w:hint="eastAsia"/>
              <w:lang w:val="en-US" w:eastAsia="zh-CN"/>
            </w:rPr>
            <w:t>在线签订合同</w:t>
          </w:r>
          <w:r>
            <w:tab/>
          </w:r>
          <w:r>
            <w:fldChar w:fldCharType="begin"/>
          </w:r>
          <w:r>
            <w:instrText xml:space="preserve"> PAGEREF _Toc16197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DD0CC7F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_Toc10576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2.9. </w:t>
          </w:r>
          <w:r>
            <w:rPr>
              <w:rFonts w:hint="eastAsia"/>
              <w:lang w:val="en-US" w:eastAsia="zh-CN"/>
            </w:rPr>
            <w:t>答疑公告确认</w:t>
          </w:r>
          <w:r>
            <w:tab/>
          </w:r>
          <w:r>
            <w:fldChar w:fldCharType="begin"/>
          </w:r>
          <w:r>
            <w:instrText xml:space="preserve"> PAGEREF _Toc10576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03ED9D88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_Toc22634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2.10. </w:t>
          </w:r>
          <w:r>
            <w:rPr>
              <w:rFonts w:hint="eastAsia"/>
              <w:lang w:val="en-US" w:eastAsia="zh-CN"/>
            </w:rPr>
            <w:t>更正公告确认</w:t>
          </w:r>
          <w:r>
            <w:tab/>
          </w:r>
          <w:r>
            <w:fldChar w:fldCharType="begin"/>
          </w:r>
          <w:r>
            <w:instrText xml:space="preserve"> PAGEREF _Toc22634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EB6D2DD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_Toc736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2.11. </w:t>
          </w:r>
          <w:r>
            <w:rPr>
              <w:rFonts w:hint="eastAsia"/>
              <w:lang w:val="en-US" w:eastAsia="zh-CN"/>
            </w:rPr>
            <w:t>暂停公告确认</w:t>
          </w:r>
          <w:r>
            <w:tab/>
          </w:r>
          <w:r>
            <w:fldChar w:fldCharType="begin"/>
          </w:r>
          <w:r>
            <w:instrText xml:space="preserve"> PAGEREF _Toc736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89306BF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_Toc7646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2.12. </w:t>
          </w:r>
          <w:r>
            <w:rPr>
              <w:rFonts w:hint="eastAsia"/>
              <w:lang w:val="en-US" w:eastAsia="zh-CN"/>
            </w:rPr>
            <w:t>恢复公告确认</w:t>
          </w:r>
          <w:r>
            <w:tab/>
          </w:r>
          <w:r>
            <w:fldChar w:fldCharType="begin"/>
          </w:r>
          <w:r>
            <w:instrText xml:space="preserve"> PAGEREF _Toc7646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3074A02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_Toc30896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2.13. </w:t>
          </w:r>
          <w:r>
            <w:rPr>
              <w:rFonts w:hint="eastAsia"/>
              <w:lang w:val="en-US" w:eastAsia="zh-CN"/>
            </w:rPr>
            <w:t>终止公告确认</w:t>
          </w:r>
          <w:r>
            <w:tab/>
          </w:r>
          <w:r>
            <w:fldChar w:fldCharType="begin"/>
          </w:r>
          <w:r>
            <w:instrText xml:space="preserve"> PAGEREF _Toc30896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C44F7E6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_Toc13324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3. </w:t>
          </w:r>
          <w:r>
            <w:rPr>
              <w:rFonts w:hint="eastAsia" w:ascii="黑体" w:hAnsi="Calibri" w:eastAsia="黑体" w:cs="Times New Roman"/>
            </w:rPr>
            <w:t>技术支持</w:t>
          </w:r>
          <w:r>
            <w:tab/>
          </w:r>
          <w:r>
            <w:fldChar w:fldCharType="begin"/>
          </w:r>
          <w:r>
            <w:instrText xml:space="preserve"> PAGEREF _Toc13324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9B11FF1">
          <w:pPr>
            <w:jc w:val="center"/>
            <w:rPr>
              <w:rFonts w:eastAsia="黑体"/>
              <w:b/>
              <w:bCs/>
              <w:sz w:val="28"/>
            </w:rPr>
            <w:sectPr>
              <w:footerReference r:id="rId4" w:type="default"/>
              <w:pgSz w:w="11906" w:h="16838"/>
              <w:pgMar w:top="1440" w:right="1800" w:bottom="1440" w:left="1800" w:header="851" w:footer="992" w:gutter="0"/>
              <w:pgNumType w:start="1"/>
              <w:cols w:space="425" w:num="1"/>
              <w:docGrid w:type="lines" w:linePitch="312" w:charSpace="0"/>
            </w:sectPr>
          </w:pPr>
          <w:r>
            <w:rPr>
              <w:rFonts w:hint="eastAsia" w:eastAsia="黑体"/>
              <w:bCs/>
            </w:rPr>
            <w:fldChar w:fldCharType="end"/>
          </w:r>
        </w:p>
      </w:sdtContent>
    </w:sdt>
    <w:p w14:paraId="2A87ED64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0" w:name="_Toc407200889"/>
      <w:bookmarkStart w:id="1" w:name="_Toc290881815"/>
      <w:bookmarkStart w:id="2" w:name="_Toc3165"/>
      <w:bookmarkStart w:id="3" w:name="_Toc11344"/>
      <w:r>
        <w:rPr>
          <w:rFonts w:hint="eastAsia" w:ascii="黑体" w:hAnsi="Calibri" w:eastAsia="黑体" w:cs="Times New Roman"/>
        </w:rPr>
        <w:t>登录</w:t>
      </w:r>
      <w:bookmarkEnd w:id="0"/>
      <w:bookmarkEnd w:id="1"/>
      <w:bookmarkEnd w:id="2"/>
      <w:bookmarkEnd w:id="3"/>
    </w:p>
    <w:p w14:paraId="58EED3E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登录地址：</w:t>
      </w:r>
      <w:r>
        <w:rPr>
          <w:rFonts w:hint="eastAsia"/>
        </w:rPr>
        <w:t>https://jy.swggzy.cn/login</w:t>
      </w:r>
    </w:p>
    <w:p w14:paraId="70841CC2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门户地址：</w:t>
      </w:r>
      <w:r>
        <w:rPr>
          <w:rFonts w:hint="eastAsia"/>
        </w:rPr>
        <w:t>http://www.shanwei.gov.cn/swggzy/</w:t>
      </w:r>
    </w:p>
    <w:p w14:paraId="3C1B1A5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建议使用360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极速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浏览器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版本12.0或以上，极速模式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</w:p>
    <w:p w14:paraId="15B7E8E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504440"/>
            <wp:effectExtent l="0" t="0" r="6350" b="10160"/>
            <wp:docPr id="5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9D10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旧平台招标人账号已经迁移到新平台，可以通过找回密码方式重置密码进行登录。无法重置密码的，请联系交易中心处理。</w:t>
      </w:r>
    </w:p>
    <w:p w14:paraId="139CAAF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进入登录界面，输入正确的用户名和密码，然后点击【登录】，即可进入系统。登录系统后，在首页面板可以看到待处理的待办事项。点击其中一个待办事项可以快速进行业务办理。</w:t>
      </w:r>
    </w:p>
    <w:p w14:paraId="0576B20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504440"/>
            <wp:effectExtent l="0" t="0" r="6350" b="10160"/>
            <wp:docPr id="5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D90E4">
      <w:pPr>
        <w:pStyle w:val="3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both"/>
        <w:textAlignment w:val="auto"/>
      </w:pPr>
      <w:bookmarkStart w:id="4" w:name="_Toc14441"/>
      <w:bookmarkStart w:id="5" w:name="_Toc6137"/>
      <w:r>
        <w:rPr>
          <w:rFonts w:hint="eastAsia" w:ascii="黑体" w:hAnsi="Calibri" w:eastAsia="黑体" w:cs="Times New Roman"/>
        </w:rPr>
        <w:t>业务操作说明</w:t>
      </w:r>
      <w:bookmarkEnd w:id="4"/>
      <w:bookmarkEnd w:id="5"/>
    </w:p>
    <w:p w14:paraId="1FD4B26A"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bookmarkStart w:id="6" w:name="_Toc6410"/>
      <w:r>
        <w:rPr>
          <w:rFonts w:hint="eastAsia"/>
          <w:lang w:val="en-US" w:eastAsia="zh-CN"/>
        </w:rPr>
        <w:t>发布招标计划</w:t>
      </w:r>
      <w:bookmarkEnd w:id="6"/>
    </w:p>
    <w:p w14:paraId="260607F5">
      <w:pPr>
        <w:pStyle w:val="5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bookmarkStart w:id="7" w:name="_Toc12248"/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发布招标计划</w:t>
      </w:r>
      <w:bookmarkEnd w:id="7"/>
    </w:p>
    <w:p w14:paraId="764C969D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招标人点击菜单“招标计划公告发起 &gt; 新增招标计划”，进入招标计划拟稿页。</w:t>
      </w:r>
    </w:p>
    <w:p w14:paraId="6E020929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r>
        <w:drawing>
          <wp:inline distT="0" distB="0" distL="114300" distR="114300">
            <wp:extent cx="4465955" cy="1991360"/>
            <wp:effectExtent l="0" t="0" r="4445" b="2540"/>
            <wp:docPr id="18" name="图片 18" descr="1690251059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9025105916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595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094BD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然后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录入时间、标题、内容，其中公告内容可以将招标计划以图片形式复制至编辑框内，点击“提交”，即可到交易中心进行审核发出。</w:t>
      </w:r>
    </w:p>
    <w:p w14:paraId="498F7B41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537710" cy="2419985"/>
            <wp:effectExtent l="0" t="0" r="8890" b="5715"/>
            <wp:docPr id="22" name="图片 22" descr="1690252693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9025269327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37710" cy="24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00DED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</w:p>
    <w:p w14:paraId="12819183"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bookmarkStart w:id="8" w:name="_Toc19551"/>
      <w:r>
        <w:rPr>
          <w:rFonts w:hint="eastAsia"/>
        </w:rPr>
        <w:t>项目</w:t>
      </w:r>
      <w:r>
        <w:rPr>
          <w:rFonts w:hint="eastAsia"/>
          <w:lang w:val="en-US" w:eastAsia="zh-CN"/>
        </w:rPr>
        <w:t>发布确认</w:t>
      </w:r>
      <w:bookmarkEnd w:id="8"/>
    </w:p>
    <w:p w14:paraId="0126FE17">
      <w:pPr>
        <w:pStyle w:val="5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  <w:rPr>
          <w:rFonts w:ascii="宋体" w:hAnsi="宋体" w:eastAsia="宋体" w:cs="Times New Roman"/>
          <w:kern w:val="2"/>
          <w:sz w:val="24"/>
          <w:szCs w:val="24"/>
        </w:rPr>
      </w:pPr>
      <w:bookmarkStart w:id="9" w:name="_Toc1825"/>
      <w:r>
        <w:rPr>
          <w:rFonts w:hint="eastAsia"/>
        </w:rPr>
        <w:t>项目</w:t>
      </w:r>
      <w:r>
        <w:rPr>
          <w:rFonts w:hint="eastAsia"/>
          <w:lang w:val="en-US" w:eastAsia="zh-CN"/>
        </w:rPr>
        <w:t>进场招标人</w:t>
      </w:r>
      <w:r>
        <w:rPr>
          <w:rFonts w:hint="eastAsia"/>
        </w:rPr>
        <w:t>确认</w:t>
      </w:r>
      <w:bookmarkEnd w:id="9"/>
    </w:p>
    <w:p w14:paraId="48A64AF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点击菜单“交易发布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确认”，可以对需要确认的项目进行查看及确认处理。</w:t>
      </w:r>
    </w:p>
    <w:p w14:paraId="396F75CF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3675" cy="2479040"/>
            <wp:effectExtent l="0" t="0" r="14605" b="5080"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699B0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然后对“进场交易申请表”进行招标人签章、对“进场交易委托书”进行法定代表人签章和招标人签章。</w:t>
      </w:r>
    </w:p>
    <w:p w14:paraId="1C444762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2504440"/>
            <wp:effectExtent l="0" t="0" r="6350" b="10160"/>
            <wp:docPr id="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A4C39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招标人签章”/“法定代表人签章”，对交易申请表和交易委托书进行电子签章。注意，电子签章需要提前安装GDCA电子签章驱动程序，可在交易指引栏目下载。如果文档能加载出来，则证明驱动程序安装成功，这时点击红色的签章小图标，插入GDCA证书，然后在下面的招标人这里点击签章。签章成功后，点击“提交”按钮，对签章文件进行保存。</w:t>
      </w:r>
    </w:p>
    <w:p w14:paraId="0E47A5C8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3040" cy="2905125"/>
            <wp:effectExtent l="0" t="0" r="0" b="5715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D219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04440"/>
            <wp:effectExtent l="0" t="0" r="6350" b="10160"/>
            <wp:docPr id="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9A920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然后在处理意见处填写意见，点击“同意交易进场”提交给交易中心进行进场受理。</w:t>
      </w:r>
    </w:p>
    <w:p w14:paraId="6499A758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1426210"/>
            <wp:effectExtent l="0" t="0" r="635" b="6350"/>
            <wp:docPr id="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48CDD">
      <w:pPr>
        <w:pStyle w:val="5"/>
      </w:pPr>
      <w:bookmarkStart w:id="10" w:name="_Toc19527"/>
      <w:r>
        <w:rPr>
          <w:rFonts w:hint="eastAsia"/>
        </w:rPr>
        <w:t>项目发布</w:t>
      </w:r>
      <w:r>
        <w:rPr>
          <w:rFonts w:hint="eastAsia"/>
          <w:lang w:eastAsia="zh-CN"/>
        </w:rPr>
        <w:t>招标人</w:t>
      </w:r>
      <w:r>
        <w:rPr>
          <w:rFonts w:hint="eastAsia"/>
        </w:rPr>
        <w:t>确认</w:t>
      </w:r>
      <w:bookmarkEnd w:id="10"/>
    </w:p>
    <w:p w14:paraId="6682E8EE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点击菜单“交易发布 &gt; 交易项目确认”，可以对需要确认的项目进行查看及确认处理。</w:t>
      </w:r>
    </w:p>
    <w:p w14:paraId="599C2C63">
      <w:r>
        <w:drawing>
          <wp:inline distT="0" distB="0" distL="114300" distR="114300">
            <wp:extent cx="5271770" cy="1787525"/>
            <wp:effectExtent l="0" t="0" r="1270" b="1079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8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D845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点击一个项目的“查看及确认”链接，可以进入查看项目信息，进行确认。可查看的信息包括项目招标信息、日程安排、招标公告。点击项目标段的“查看”链接，可以对项目标段进行查看。</w:t>
      </w:r>
    </w:p>
    <w:p w14:paraId="73EB7D76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4310" cy="2553970"/>
            <wp:effectExtent l="0" t="0" r="13970" b="6350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87FD0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5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4EF10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在项目招标信息页签页面填写“处理意见”，在日程安排页签页面对“日程安排附件”进行签章，在招标公告页签页面对“招标公告文件”进行签章。</w:t>
      </w:r>
    </w:p>
    <w:p w14:paraId="5071B276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5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C5D6E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F8A20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0C70A20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招标文件的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查看附件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”按钮，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可以下载查看招标文件。</w:t>
      </w:r>
    </w:p>
    <w:p w14:paraId="257F733C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项目如果确认通过，点击“确认通过”按钮，提交到交易中心继续进行项目复核以及公告发布。如果项目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有问题，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点击“退回”按钮，可以退回给代理机构重新编辑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项目相关信息。</w:t>
      </w:r>
    </w:p>
    <w:p w14:paraId="1B348A15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7C72BA6B">
      <w:pPr>
        <w:pStyle w:val="5"/>
      </w:pPr>
      <w:bookmarkStart w:id="11" w:name="_Toc26946"/>
      <w:r>
        <w:rPr>
          <w:rFonts w:hint="eastAsia"/>
          <w:lang w:val="en-US" w:eastAsia="zh-CN"/>
        </w:rPr>
        <w:t>已发布项目查询</w:t>
      </w:r>
      <w:bookmarkEnd w:id="11"/>
    </w:p>
    <w:p w14:paraId="095E8D6E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启动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查询到已经发布的项目，以及项目状态。</w:t>
      </w:r>
    </w:p>
    <w:p w14:paraId="5BD63F24">
      <w:r>
        <w:drawing>
          <wp:inline distT="0" distB="0" distL="114300" distR="114300">
            <wp:extent cx="5266690" cy="2282190"/>
            <wp:effectExtent l="0" t="0" r="6350" b="3810"/>
            <wp:docPr id="5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88C9A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点击“查看”按钮，进入到查看页面，查看详情。</w:t>
      </w:r>
    </w:p>
    <w:p w14:paraId="67FB8F89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4310" cy="2460625"/>
            <wp:effectExtent l="0" t="0" r="13970" b="825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82D6B">
      <w:pPr>
        <w:pStyle w:val="4"/>
        <w:spacing w:line="240" w:lineRule="auto"/>
      </w:pPr>
      <w:bookmarkStart w:id="12" w:name="_Toc9977"/>
      <w:r>
        <w:rPr>
          <w:rFonts w:hint="eastAsia"/>
          <w:lang w:val="en-US" w:eastAsia="zh-CN"/>
        </w:rPr>
        <w:t>查看开标</w:t>
      </w:r>
      <w:bookmarkEnd w:id="12"/>
    </w:p>
    <w:p w14:paraId="0546F39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招标人可以在线查看开标情况，点击菜单“开标评标 &gt; 开标会议”按钮，进入到开标查看页面，查看开标详情。</w:t>
      </w:r>
    </w:p>
    <w:p w14:paraId="2C8F3E66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2405" cy="133096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C42EC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0500" cy="2200275"/>
            <wp:effectExtent l="0" t="0" r="2540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750F5">
      <w:pPr>
        <w:pStyle w:val="5"/>
        <w:bidi w:val="0"/>
        <w:rPr>
          <w:rFonts w:hint="eastAsia"/>
          <w:lang w:val="en-US" w:eastAsia="zh-CN"/>
        </w:rPr>
      </w:pPr>
      <w:bookmarkStart w:id="13" w:name="_Toc25103"/>
      <w:r>
        <w:rPr>
          <w:rFonts w:hint="eastAsia"/>
          <w:lang w:val="en-US" w:eastAsia="zh-CN"/>
        </w:rPr>
        <w:t>确认异议</w:t>
      </w:r>
      <w:bookmarkEnd w:id="13"/>
    </w:p>
    <w:p w14:paraId="0CC1F45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开标的最后一个环节“开标异议”，招标人对代理机构答复的异议进行确认，点击操作栏的“查看异议”，然后选择异议项目，点击“确认”，可以确认异议。异议确认后会发送给企业，如果不确认的，可以退回给代理机构重新答复。</w:t>
      </w:r>
    </w:p>
    <w:p w14:paraId="0313D879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3515" cy="1176655"/>
            <wp:effectExtent l="0" t="0" r="9525" b="1206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743EB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260600"/>
            <wp:effectExtent l="0" t="0" r="6350" b="1016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EBEB8">
      <w:pPr>
        <w:pStyle w:val="5"/>
        <w:bidi w:val="0"/>
        <w:rPr>
          <w:rFonts w:hint="eastAsia"/>
          <w:lang w:val="en-US" w:eastAsia="zh-CN"/>
        </w:rPr>
      </w:pPr>
      <w:bookmarkStart w:id="14" w:name="_Toc32139"/>
      <w:r>
        <w:rPr>
          <w:rFonts w:hint="eastAsia"/>
          <w:lang w:val="en-US" w:eastAsia="zh-CN"/>
        </w:rPr>
        <w:t>公路第二信封抽取下浮率</w:t>
      </w:r>
      <w:bookmarkEnd w:id="14"/>
    </w:p>
    <w:p w14:paraId="352CE49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公路类项目，如果最高评标限价需要抽取下浮率，由招标人在第二信封开标时进行抽取。招标人点击菜单“开标评标 &gt; 第二信封开标”按钮，进入到第二信封开标页面。</w:t>
      </w:r>
    </w:p>
    <w:p w14:paraId="4C7252C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8595" cy="1633220"/>
            <wp:effectExtent l="0" t="0" r="4445" b="12700"/>
            <wp:docPr id="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3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EB51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招标人点击“开始抽取”，如果有多次抽取的，需要完成多次抽取。</w:t>
      </w:r>
    </w:p>
    <w:p w14:paraId="37C1245B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7960" cy="2328545"/>
            <wp:effectExtent l="0" t="0" r="5080" b="3175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A26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抽取完成后，系统会自动计算评标基准下浮率。代理机构可以继续进行开标操作。</w:t>
      </w:r>
    </w:p>
    <w:p w14:paraId="133F328A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2880" cy="2350770"/>
            <wp:effectExtent l="0" t="0" r="10160" b="11430"/>
            <wp:docPr id="4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A9670">
      <w:pPr>
        <w:pStyle w:val="4"/>
        <w:spacing w:line="240" w:lineRule="auto"/>
      </w:pPr>
      <w:bookmarkStart w:id="15" w:name="_Toc2192"/>
      <w:r>
        <w:rPr>
          <w:rFonts w:hint="eastAsia"/>
          <w:lang w:val="en-US" w:eastAsia="zh-CN"/>
        </w:rPr>
        <w:t>评标结果确认</w:t>
      </w:r>
      <w:bookmarkEnd w:id="15"/>
    </w:p>
    <w:p w14:paraId="5B27255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结果公示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评标结果确认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确认评标结果。确认评标结果后，代理机构才能发布中标候选人公示。</w:t>
      </w:r>
    </w:p>
    <w:p w14:paraId="3C1C976B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7325" cy="2028190"/>
            <wp:effectExtent l="0" t="0" r="5715" b="13970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76E86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3675" cy="2769870"/>
            <wp:effectExtent l="0" t="0" r="14605" b="3810"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5FFFE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开标评标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评标结果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”，可以查看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评标结果。包括查看推荐中标候选人、查看评标报告、开标记录等。</w:t>
      </w:r>
    </w:p>
    <w:p w14:paraId="3B96003F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012315"/>
            <wp:effectExtent l="0" t="0" r="6350" b="14605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FA6F1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0500" cy="2165350"/>
            <wp:effectExtent l="0" t="0" r="2540" b="13970"/>
            <wp:docPr id="3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3B8C1">
      <w:pPr>
        <w:pStyle w:val="4"/>
        <w:spacing w:line="240" w:lineRule="auto"/>
      </w:pPr>
      <w:bookmarkStart w:id="16" w:name="_Toc17414"/>
      <w:r>
        <w:rPr>
          <w:rFonts w:hint="eastAsia"/>
          <w:lang w:val="en-US" w:eastAsia="zh-CN"/>
        </w:rPr>
        <w:t>交易结果确认</w:t>
      </w:r>
      <w:bookmarkEnd w:id="16"/>
    </w:p>
    <w:p w14:paraId="5A0B4645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在中标候选人公示结束后，在发布交易结果公告之前，招标人需要对交易结果进行确认，在中标候选人中选择一个中标人。</w:t>
      </w:r>
    </w:p>
    <w:p w14:paraId="3C1ADA09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结果公示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交易结果公示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点击“确认”按钮，进入交易结果确认界面。</w:t>
      </w:r>
    </w:p>
    <w:p w14:paraId="3B176225">
      <w:r>
        <w:drawing>
          <wp:inline distT="0" distB="0" distL="114300" distR="114300">
            <wp:extent cx="5266690" cy="1449705"/>
            <wp:effectExtent l="0" t="0" r="6350" b="13335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85FF1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在结果确认界面，如果是招标失败项目，输入“处理意见”后，点击“确认评标”提交结果。</w:t>
      </w:r>
    </w:p>
    <w:p w14:paraId="471381A9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785" cy="2712085"/>
            <wp:effectExtent l="0" t="0" r="8255" b="635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7C303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如果是招标成功项目，则勾选一个中标人，输入“处理意见”后，点击“确认评标结果”提交结果，提交后代理机构才能进行结果公示发布。</w:t>
      </w:r>
    </w:p>
    <w:p w14:paraId="04005B12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4310" cy="2969895"/>
            <wp:effectExtent l="0" t="0" r="13970" b="1905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240F8"/>
    <w:p w14:paraId="168D9631">
      <w:pPr>
        <w:pStyle w:val="4"/>
        <w:spacing w:line="240" w:lineRule="auto"/>
      </w:pPr>
      <w:bookmarkStart w:id="17" w:name="_Toc23872"/>
      <w:r>
        <w:rPr>
          <w:rFonts w:hint="eastAsia"/>
          <w:lang w:val="en-US" w:eastAsia="zh-CN"/>
        </w:rPr>
        <w:t>中标通知书签章</w:t>
      </w:r>
      <w:bookmarkEnd w:id="17"/>
    </w:p>
    <w:p w14:paraId="4568A72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点击菜单“中标通知书 &gt; 中标通知书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”，可以看到待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中标通知书的项目。点击项目的“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”链接，进入中标通知书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界面。</w:t>
      </w:r>
    </w:p>
    <w:p w14:paraId="7F8C34AF">
      <w:r>
        <w:drawing>
          <wp:inline distT="0" distB="0" distL="114300" distR="114300">
            <wp:extent cx="5273040" cy="1767205"/>
            <wp:effectExtent l="0" t="0" r="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6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507CD">
      <w:pPr>
        <w:widowControl w:val="0"/>
        <w:adjustRightInd/>
        <w:snapToGrid/>
        <w:spacing w:before="62" w:beforeLines="20" w:after="62" w:afterLines="20" w:line="360" w:lineRule="auto"/>
        <w:ind w:left="0" w:leftChars="0" w:firstLine="480" w:firstLineChars="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点击“查看附件”，可以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生成的中标通知书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如果通知书无误，可以点击“招标人签章”，对中标通知书的“招标人签章处”，进行招标人签章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。完成后，点击按钮“提交通知书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给交易中心签章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”，将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中标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通知书提交到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交易中心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处进行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操作。</w:t>
      </w:r>
    </w:p>
    <w:p w14:paraId="6C9CDA0D">
      <w:r>
        <w:drawing>
          <wp:inline distT="0" distB="0" distL="114300" distR="114300">
            <wp:extent cx="5266055" cy="2647950"/>
            <wp:effectExtent l="0" t="0" r="6985" b="381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F2C36">
      <w:r>
        <w:drawing>
          <wp:inline distT="0" distB="0" distL="114300" distR="114300">
            <wp:extent cx="5269865" cy="2987040"/>
            <wp:effectExtent l="0" t="0" r="3175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14BD1"/>
    <w:p w14:paraId="21AF42E0"/>
    <w:p w14:paraId="55DBEB43">
      <w:pPr>
        <w:pStyle w:val="4"/>
        <w:spacing w:line="240" w:lineRule="auto"/>
      </w:pPr>
      <w:bookmarkStart w:id="18" w:name="_Toc19245"/>
      <w:r>
        <w:rPr>
          <w:rFonts w:hint="eastAsia"/>
          <w:lang w:val="en-US" w:eastAsia="zh-CN"/>
        </w:rPr>
        <w:t>已公示项目查询</w:t>
      </w:r>
      <w:bookmarkEnd w:id="18"/>
    </w:p>
    <w:p w14:paraId="7CE1691A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招标人点击“已公示项目查询”菜单，可以查询已公示的项目信息。</w:t>
      </w:r>
    </w:p>
    <w:p w14:paraId="5A9B09D1">
      <w:r>
        <w:drawing>
          <wp:inline distT="0" distB="0" distL="114300" distR="114300">
            <wp:extent cx="5269865" cy="1754505"/>
            <wp:effectExtent l="0" t="0" r="3175" b="1333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5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C7E4F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查询已公示的项目信息可以查看“结果公示”以及“中标通知书”等信息。</w:t>
      </w:r>
    </w:p>
    <w:p w14:paraId="2DDD8030">
      <w:r>
        <w:drawing>
          <wp:inline distT="0" distB="0" distL="114300" distR="114300">
            <wp:extent cx="5271135" cy="2141855"/>
            <wp:effectExtent l="0" t="0" r="1905" b="698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30E46">
      <w:pPr>
        <w:pStyle w:val="4"/>
        <w:spacing w:line="240" w:lineRule="auto"/>
      </w:pPr>
      <w:bookmarkStart w:id="19" w:name="_Toc16197"/>
      <w:r>
        <w:rPr>
          <w:rFonts w:hint="eastAsia"/>
          <w:lang w:val="en-US" w:eastAsia="zh-CN"/>
        </w:rPr>
        <w:t>在线签订合同</w:t>
      </w:r>
      <w:bookmarkEnd w:id="19"/>
    </w:p>
    <w:p w14:paraId="62F1B040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招标人点击“合同签订 &gt; 合同上传”菜单，可以上传待签订的合同文件。</w:t>
      </w:r>
    </w:p>
    <w:p w14:paraId="5357F3FA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1504315"/>
            <wp:effectExtent l="0" t="0" r="635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0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92CCB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招标人填写合同基本信息。</w:t>
      </w:r>
    </w:p>
    <w:p w14:paraId="3BACC14A">
      <w:r>
        <w:drawing>
          <wp:inline distT="0" distB="0" distL="114300" distR="114300">
            <wp:extent cx="5266055" cy="3664585"/>
            <wp:effectExtent l="0" t="0" r="698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66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0E697"/>
    <w:p w14:paraId="4DBFA05B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招标人点击“上传附件”上传待签订的合同文件（PDF格式），然后点击“招标人签章”，对合同文件进行在线电子签章。</w:t>
      </w:r>
    </w:p>
    <w:p w14:paraId="7A42096A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4150" cy="850900"/>
            <wp:effectExtent l="0" t="0" r="889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96327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3675" cy="3020060"/>
            <wp:effectExtent l="0" t="0" r="14605" b="1270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3EA4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电子签章完成后，点击“提交”按钮提交已签章的合同文件。然后点击“提交中标人签章”按钮，提交给中标人进行在线签章。</w:t>
      </w:r>
    </w:p>
    <w:p w14:paraId="2A1090DF">
      <w:r>
        <w:drawing>
          <wp:inline distT="0" distB="0" distL="114300" distR="114300">
            <wp:extent cx="5267960" cy="1337945"/>
            <wp:effectExtent l="0" t="0" r="5080" b="3175"/>
            <wp:docPr id="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33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AA86D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中标人签章完成后，需要招标人对签章进行复核。点击菜单“合同签订 &gt; 合同确认”，可以对合同进行确认。</w:t>
      </w:r>
    </w:p>
    <w:p w14:paraId="30AC045E">
      <w:pPr>
        <w:pStyle w:val="4"/>
        <w:spacing w:line="240" w:lineRule="auto"/>
      </w:pPr>
      <w:bookmarkStart w:id="20" w:name="_Toc10576"/>
      <w:r>
        <w:rPr>
          <w:rFonts w:hint="eastAsia"/>
          <w:lang w:val="en-US" w:eastAsia="zh-CN"/>
        </w:rPr>
        <w:t>答疑公告确认</w:t>
      </w:r>
      <w:bookmarkEnd w:id="20"/>
    </w:p>
    <w:p w14:paraId="14AB8EF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答疑公告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菜单“答疑公告 &gt; 确认答疑公告”，对需要确认的答疑公告进行确认或回退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答疑公告确认后，再由交易中心经办人员复核发布。</w:t>
      </w:r>
    </w:p>
    <w:p w14:paraId="5645E942">
      <w:pPr>
        <w:rPr>
          <w:rFonts w:hint="eastAsia"/>
          <w:lang w:eastAsia="zh-CN"/>
        </w:rPr>
      </w:pPr>
      <w:r>
        <w:drawing>
          <wp:inline distT="0" distB="0" distL="114300" distR="114300">
            <wp:extent cx="5265420" cy="2071370"/>
            <wp:effectExtent l="0" t="0" r="762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6"/>
                    <a:srcRect l="-12" t="7568" r="74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13E26">
      <w:pPr>
        <w:pStyle w:val="4"/>
        <w:spacing w:line="240" w:lineRule="auto"/>
      </w:pPr>
      <w:bookmarkStart w:id="21" w:name="_Toc22634"/>
      <w:r>
        <w:rPr>
          <w:rFonts w:hint="eastAsia"/>
          <w:lang w:val="en-US" w:eastAsia="zh-CN"/>
        </w:rPr>
        <w:t>更正公告确认</w:t>
      </w:r>
      <w:bookmarkEnd w:id="21"/>
    </w:p>
    <w:p w14:paraId="65103E9A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eastAsia="微软雅黑"/>
          <w:lang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了更正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菜单“更正公告 &gt; 确认更正公告”，对需要确认的更正公告进行确认或回退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更正公告确认后，再由交易中心经办人员复核发布。</w:t>
      </w:r>
    </w:p>
    <w:p w14:paraId="433C08A9">
      <w:pPr>
        <w:rPr>
          <w:rFonts w:hint="eastAsia"/>
          <w:lang w:eastAsia="zh-CN"/>
        </w:rPr>
      </w:pPr>
      <w:r>
        <w:drawing>
          <wp:inline distT="0" distB="0" distL="114300" distR="114300">
            <wp:extent cx="5245735" cy="1836420"/>
            <wp:effectExtent l="0" t="0" r="12065" b="762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47"/>
                    <a:srcRect t="8220" r="458"/>
                    <a:stretch>
                      <a:fillRect/>
                    </a:stretch>
                  </pic:blipFill>
                  <pic:spPr>
                    <a:xfrm>
                      <a:off x="0" y="0"/>
                      <a:ext cx="5245735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9DD02">
      <w:pPr>
        <w:pStyle w:val="4"/>
        <w:spacing w:line="240" w:lineRule="auto"/>
      </w:pPr>
      <w:bookmarkStart w:id="22" w:name="_Toc736"/>
      <w:r>
        <w:rPr>
          <w:rFonts w:hint="eastAsia"/>
          <w:lang w:val="en-US" w:eastAsia="zh-CN"/>
        </w:rPr>
        <w:t>暂停公告确认</w:t>
      </w:r>
      <w:bookmarkEnd w:id="22"/>
    </w:p>
    <w:p w14:paraId="2EE5D4D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了暂停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菜单“暂停公告 &gt; 确认暂停公告”，对需要确认的暂停公告进行确认或回退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暂停公告确认后，再由交易中心经办人员复核发布。</w:t>
      </w:r>
    </w:p>
    <w:p w14:paraId="5E914F24">
      <w:pPr>
        <w:rPr>
          <w:rFonts w:hint="eastAsia"/>
          <w:lang w:eastAsia="zh-CN"/>
        </w:rPr>
      </w:pPr>
      <w:r>
        <w:drawing>
          <wp:inline distT="0" distB="0" distL="114300" distR="114300">
            <wp:extent cx="5240020" cy="1827530"/>
            <wp:effectExtent l="0" t="0" r="2540" b="127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48"/>
                    <a:srcRect t="8256" r="422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5F758">
      <w:pPr>
        <w:pStyle w:val="4"/>
        <w:spacing w:line="240" w:lineRule="auto"/>
      </w:pPr>
      <w:bookmarkStart w:id="23" w:name="_Toc7646"/>
      <w:r>
        <w:rPr>
          <w:rFonts w:hint="eastAsia"/>
          <w:lang w:val="en-US" w:eastAsia="zh-CN"/>
        </w:rPr>
        <w:t>恢复公告确认</w:t>
      </w:r>
      <w:bookmarkEnd w:id="23"/>
    </w:p>
    <w:p w14:paraId="1A38D6F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了恢复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菜单“恢复公告 &gt; 确认恢复公告”，对需要确认的恢复公告进行确认或回退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恢复公告确认后，再由交易中心经办人员复核发布。</w:t>
      </w:r>
    </w:p>
    <w:p w14:paraId="1EC6E324">
      <w:pPr>
        <w:rPr>
          <w:rFonts w:hint="eastAsia"/>
          <w:lang w:eastAsia="zh-CN"/>
        </w:rPr>
      </w:pPr>
      <w:r>
        <w:drawing>
          <wp:inline distT="0" distB="0" distL="114300" distR="114300">
            <wp:extent cx="5280660" cy="1887855"/>
            <wp:effectExtent l="0" t="0" r="7620" b="190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49"/>
                    <a:srcRect t="8297" r="-33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1ED7">
      <w:pPr>
        <w:pStyle w:val="4"/>
        <w:spacing w:line="240" w:lineRule="auto"/>
      </w:pPr>
      <w:bookmarkStart w:id="24" w:name="_Toc30896"/>
      <w:r>
        <w:rPr>
          <w:rFonts w:hint="eastAsia"/>
          <w:lang w:val="en-US" w:eastAsia="zh-CN"/>
        </w:rPr>
        <w:t>终止公告确认</w:t>
      </w:r>
      <w:bookmarkEnd w:id="24"/>
    </w:p>
    <w:p w14:paraId="64C70CE2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了终止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菜单“终止公告 &gt; 确认终止公告”，对需要确认的终止公告进行确认或回退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终止公告确认后，再由交易中心经办人员复核发布。</w:t>
      </w:r>
    </w:p>
    <w:p w14:paraId="3BF11327">
      <w:pPr>
        <w:rPr>
          <w:rFonts w:hint="eastAsia"/>
          <w:lang w:eastAsia="zh-CN"/>
        </w:rPr>
      </w:pPr>
      <w:r>
        <w:drawing>
          <wp:inline distT="0" distB="0" distL="114300" distR="114300">
            <wp:extent cx="5257165" cy="1907540"/>
            <wp:effectExtent l="0" t="0" r="635" b="1270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50"/>
                    <a:srcRect t="7427" r="181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190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5BD09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25" w:name="_Toc13324"/>
      <w:r>
        <w:rPr>
          <w:rFonts w:hint="eastAsia" w:ascii="黑体" w:hAnsi="Calibri" w:eastAsia="黑体" w:cs="Times New Roman"/>
        </w:rPr>
        <w:t>技术支持</w:t>
      </w:r>
      <w:bookmarkEnd w:id="25"/>
    </w:p>
    <w:p w14:paraId="15D6E49C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技术支持联系人：</w:t>
      </w:r>
    </w:p>
    <w:p w14:paraId="5F1C7B6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cs="Times New Roman" w:eastAsia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苏工：13536</w:t>
      </w:r>
      <w:bookmarkStart w:id="26" w:name="_GoBack"/>
      <w:bookmarkEnd w:id="26"/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498728</w:t>
      </w:r>
    </w:p>
    <w:p w14:paraId="0DE25568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/>
          <w:lang w:val="en-US" w:eastAsia="zh-CN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 w:bidi="ar-SA"/>
        </w:rPr>
        <w:t>时间（周一至周五）：8：30-12：00   14：30-18：00</w:t>
      </w:r>
    </w:p>
    <w:p w14:paraId="118AD029">
      <w:pPr>
        <w:pStyle w:val="2"/>
        <w:rPr>
          <w:rFonts w:hint="eastAsia"/>
          <w:lang w:val="en-US" w:eastAsia="zh-CN"/>
        </w:rPr>
      </w:pPr>
    </w:p>
    <w:p w14:paraId="5FAC4FFB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EBB432">
    <w:pPr>
      <w:pStyle w:val="1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94A5D28">
                          <w:pPr>
                            <w:pStyle w:val="1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6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0O3bcsAgAAV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vQ7dt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94A5D28">
                    <w:pPr>
                      <w:pStyle w:val="1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6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5F568C"/>
    <w:multiLevelType w:val="multilevel"/>
    <w:tmpl w:val="3F5F568C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420" w:hanging="420"/>
      </w:p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6EBB02D"/>
    <w:multiLevelType w:val="multilevel"/>
    <w:tmpl w:val="56EBB02D"/>
    <w:lvl w:ilvl="0" w:tentative="0">
      <w:start w:val="2"/>
      <w:numFmt w:val="decimal"/>
      <w:pStyle w:val="3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/>
        <w:b w:val="0"/>
        <w:bCs w:val="0"/>
        <w:sz w:val="28"/>
        <w:szCs w:val="28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2M2I5ODA2ZGEyZTlmMDdlZWMwOTg0ZjRhZjcyMDcifQ=="/>
  </w:docVars>
  <w:rsids>
    <w:rsidRoot w:val="00BD4446"/>
    <w:rsid w:val="00016D7C"/>
    <w:rsid w:val="00060FB1"/>
    <w:rsid w:val="00064B2C"/>
    <w:rsid w:val="00072AF5"/>
    <w:rsid w:val="00085330"/>
    <w:rsid w:val="000F1AB7"/>
    <w:rsid w:val="0010396A"/>
    <w:rsid w:val="001201EE"/>
    <w:rsid w:val="00160E10"/>
    <w:rsid w:val="001674A9"/>
    <w:rsid w:val="0019213D"/>
    <w:rsid w:val="00196D68"/>
    <w:rsid w:val="001C7974"/>
    <w:rsid w:val="001D37BC"/>
    <w:rsid w:val="001E0DE5"/>
    <w:rsid w:val="00204938"/>
    <w:rsid w:val="00213720"/>
    <w:rsid w:val="00261103"/>
    <w:rsid w:val="00265C2C"/>
    <w:rsid w:val="00277D43"/>
    <w:rsid w:val="0029623D"/>
    <w:rsid w:val="002B0238"/>
    <w:rsid w:val="002E0A7A"/>
    <w:rsid w:val="00353081"/>
    <w:rsid w:val="00361A9A"/>
    <w:rsid w:val="003639BF"/>
    <w:rsid w:val="00392F2E"/>
    <w:rsid w:val="00394DB0"/>
    <w:rsid w:val="003955EE"/>
    <w:rsid w:val="003D3261"/>
    <w:rsid w:val="0040348C"/>
    <w:rsid w:val="00476025"/>
    <w:rsid w:val="004964F4"/>
    <w:rsid w:val="00497ACA"/>
    <w:rsid w:val="004B0040"/>
    <w:rsid w:val="004C5854"/>
    <w:rsid w:val="00553A06"/>
    <w:rsid w:val="00585C63"/>
    <w:rsid w:val="00587402"/>
    <w:rsid w:val="00596353"/>
    <w:rsid w:val="005E3C7E"/>
    <w:rsid w:val="005E3D86"/>
    <w:rsid w:val="00604FED"/>
    <w:rsid w:val="00660F2E"/>
    <w:rsid w:val="006673DD"/>
    <w:rsid w:val="006750DD"/>
    <w:rsid w:val="006D27F0"/>
    <w:rsid w:val="006D2D83"/>
    <w:rsid w:val="006D3A05"/>
    <w:rsid w:val="007068E9"/>
    <w:rsid w:val="007313D9"/>
    <w:rsid w:val="00747B46"/>
    <w:rsid w:val="007903F9"/>
    <w:rsid w:val="007B61A0"/>
    <w:rsid w:val="007D482A"/>
    <w:rsid w:val="007E153E"/>
    <w:rsid w:val="00841040"/>
    <w:rsid w:val="008729F6"/>
    <w:rsid w:val="008A0560"/>
    <w:rsid w:val="00902FC3"/>
    <w:rsid w:val="00926776"/>
    <w:rsid w:val="009409A1"/>
    <w:rsid w:val="009508A1"/>
    <w:rsid w:val="00983EA0"/>
    <w:rsid w:val="009A47B4"/>
    <w:rsid w:val="009A75E4"/>
    <w:rsid w:val="009B6426"/>
    <w:rsid w:val="009E2CFA"/>
    <w:rsid w:val="00A2278D"/>
    <w:rsid w:val="00A24B21"/>
    <w:rsid w:val="00A26B9B"/>
    <w:rsid w:val="00A43B30"/>
    <w:rsid w:val="00A776DF"/>
    <w:rsid w:val="00AA24B2"/>
    <w:rsid w:val="00AB2B9E"/>
    <w:rsid w:val="00B01DAA"/>
    <w:rsid w:val="00B10EA1"/>
    <w:rsid w:val="00B62D15"/>
    <w:rsid w:val="00B70C64"/>
    <w:rsid w:val="00B71363"/>
    <w:rsid w:val="00B90F17"/>
    <w:rsid w:val="00BB0E21"/>
    <w:rsid w:val="00BD4446"/>
    <w:rsid w:val="00BE09AC"/>
    <w:rsid w:val="00BF05FE"/>
    <w:rsid w:val="00C11A26"/>
    <w:rsid w:val="00C21F38"/>
    <w:rsid w:val="00C2382C"/>
    <w:rsid w:val="00C4244D"/>
    <w:rsid w:val="00CA2B28"/>
    <w:rsid w:val="00CB76F5"/>
    <w:rsid w:val="00CD359B"/>
    <w:rsid w:val="00D03586"/>
    <w:rsid w:val="00D2410F"/>
    <w:rsid w:val="00D41377"/>
    <w:rsid w:val="00D4795E"/>
    <w:rsid w:val="00D750B2"/>
    <w:rsid w:val="00DB3D83"/>
    <w:rsid w:val="00DC1088"/>
    <w:rsid w:val="00E04062"/>
    <w:rsid w:val="00E05FD5"/>
    <w:rsid w:val="00E2735C"/>
    <w:rsid w:val="00E645AC"/>
    <w:rsid w:val="00E93DB6"/>
    <w:rsid w:val="00EA0888"/>
    <w:rsid w:val="00EC74E3"/>
    <w:rsid w:val="00ED314D"/>
    <w:rsid w:val="00F049AC"/>
    <w:rsid w:val="00F22AED"/>
    <w:rsid w:val="00F65B8B"/>
    <w:rsid w:val="00F6701C"/>
    <w:rsid w:val="00FA6B7D"/>
    <w:rsid w:val="00FC12A8"/>
    <w:rsid w:val="00FD2F48"/>
    <w:rsid w:val="00FF516F"/>
    <w:rsid w:val="01BB47C1"/>
    <w:rsid w:val="01F472A9"/>
    <w:rsid w:val="020515AD"/>
    <w:rsid w:val="02410693"/>
    <w:rsid w:val="02761110"/>
    <w:rsid w:val="036847F8"/>
    <w:rsid w:val="03EB3121"/>
    <w:rsid w:val="03ED5B28"/>
    <w:rsid w:val="041E7F78"/>
    <w:rsid w:val="04422321"/>
    <w:rsid w:val="04830B5F"/>
    <w:rsid w:val="058B2832"/>
    <w:rsid w:val="0594729B"/>
    <w:rsid w:val="05E232D5"/>
    <w:rsid w:val="060511EF"/>
    <w:rsid w:val="064E59EE"/>
    <w:rsid w:val="0652102D"/>
    <w:rsid w:val="07867CCC"/>
    <w:rsid w:val="082B0EAC"/>
    <w:rsid w:val="087865E6"/>
    <w:rsid w:val="08787D32"/>
    <w:rsid w:val="09052CF6"/>
    <w:rsid w:val="093A1657"/>
    <w:rsid w:val="09D775EC"/>
    <w:rsid w:val="09EB4DD4"/>
    <w:rsid w:val="0A5A0CD0"/>
    <w:rsid w:val="0A82254C"/>
    <w:rsid w:val="0BAD7697"/>
    <w:rsid w:val="0BCE455A"/>
    <w:rsid w:val="0BD4523F"/>
    <w:rsid w:val="0C8F447A"/>
    <w:rsid w:val="0D0C314A"/>
    <w:rsid w:val="0E2456FB"/>
    <w:rsid w:val="0E46076F"/>
    <w:rsid w:val="100C0D4C"/>
    <w:rsid w:val="106E64E3"/>
    <w:rsid w:val="10AF0A84"/>
    <w:rsid w:val="11085555"/>
    <w:rsid w:val="11640521"/>
    <w:rsid w:val="11DB0B8D"/>
    <w:rsid w:val="12A42D3B"/>
    <w:rsid w:val="130945BE"/>
    <w:rsid w:val="13E2132D"/>
    <w:rsid w:val="13E64BA0"/>
    <w:rsid w:val="13FD21E7"/>
    <w:rsid w:val="140161EE"/>
    <w:rsid w:val="14304100"/>
    <w:rsid w:val="14710401"/>
    <w:rsid w:val="14C22DAB"/>
    <w:rsid w:val="14D27A43"/>
    <w:rsid w:val="14D7797B"/>
    <w:rsid w:val="14FF4312"/>
    <w:rsid w:val="150D2E0F"/>
    <w:rsid w:val="152A750C"/>
    <w:rsid w:val="160A5679"/>
    <w:rsid w:val="163E1B6A"/>
    <w:rsid w:val="165F6063"/>
    <w:rsid w:val="16EB0A31"/>
    <w:rsid w:val="175B522E"/>
    <w:rsid w:val="17694042"/>
    <w:rsid w:val="17FE7199"/>
    <w:rsid w:val="18ED2FBF"/>
    <w:rsid w:val="19371441"/>
    <w:rsid w:val="1A203864"/>
    <w:rsid w:val="1A745923"/>
    <w:rsid w:val="1AC46DCF"/>
    <w:rsid w:val="1B3871A1"/>
    <w:rsid w:val="1B48196F"/>
    <w:rsid w:val="1C232F64"/>
    <w:rsid w:val="1C523CA3"/>
    <w:rsid w:val="1C70295B"/>
    <w:rsid w:val="1C822D08"/>
    <w:rsid w:val="1CF669DF"/>
    <w:rsid w:val="1D241F08"/>
    <w:rsid w:val="1D2D6657"/>
    <w:rsid w:val="1D3C0498"/>
    <w:rsid w:val="1D630360"/>
    <w:rsid w:val="1F0462C2"/>
    <w:rsid w:val="1F150209"/>
    <w:rsid w:val="1FE15D48"/>
    <w:rsid w:val="1FE455E6"/>
    <w:rsid w:val="1FE95324"/>
    <w:rsid w:val="201F0A47"/>
    <w:rsid w:val="20983F71"/>
    <w:rsid w:val="20A0536E"/>
    <w:rsid w:val="22185E8B"/>
    <w:rsid w:val="2272671C"/>
    <w:rsid w:val="22752D03"/>
    <w:rsid w:val="22985321"/>
    <w:rsid w:val="230462B1"/>
    <w:rsid w:val="23172F69"/>
    <w:rsid w:val="245A0B2D"/>
    <w:rsid w:val="245A50C2"/>
    <w:rsid w:val="24EE491F"/>
    <w:rsid w:val="250D1426"/>
    <w:rsid w:val="2558191F"/>
    <w:rsid w:val="25A27BC1"/>
    <w:rsid w:val="25EB381A"/>
    <w:rsid w:val="27647521"/>
    <w:rsid w:val="286607AF"/>
    <w:rsid w:val="289851DC"/>
    <w:rsid w:val="29020848"/>
    <w:rsid w:val="291137F5"/>
    <w:rsid w:val="29507463"/>
    <w:rsid w:val="29A46A61"/>
    <w:rsid w:val="29BE40DE"/>
    <w:rsid w:val="29C83324"/>
    <w:rsid w:val="29CC20A3"/>
    <w:rsid w:val="2A726F88"/>
    <w:rsid w:val="2B067D9D"/>
    <w:rsid w:val="2CBA16EE"/>
    <w:rsid w:val="2CCE5529"/>
    <w:rsid w:val="2D5C078E"/>
    <w:rsid w:val="2DD609F9"/>
    <w:rsid w:val="2E0119E3"/>
    <w:rsid w:val="2FE918F5"/>
    <w:rsid w:val="30966870"/>
    <w:rsid w:val="30C74D45"/>
    <w:rsid w:val="31722A0B"/>
    <w:rsid w:val="32F83EEF"/>
    <w:rsid w:val="334718AA"/>
    <w:rsid w:val="33887C38"/>
    <w:rsid w:val="3480562F"/>
    <w:rsid w:val="348A6927"/>
    <w:rsid w:val="35A60CAF"/>
    <w:rsid w:val="35E90A70"/>
    <w:rsid w:val="36BD5E7F"/>
    <w:rsid w:val="381B4AF5"/>
    <w:rsid w:val="39186D3D"/>
    <w:rsid w:val="393F5C95"/>
    <w:rsid w:val="39E30ACA"/>
    <w:rsid w:val="39E62898"/>
    <w:rsid w:val="3BB86550"/>
    <w:rsid w:val="3C8F6671"/>
    <w:rsid w:val="3CC40E25"/>
    <w:rsid w:val="3D4B0F3E"/>
    <w:rsid w:val="3E086181"/>
    <w:rsid w:val="3E1709BF"/>
    <w:rsid w:val="3E925247"/>
    <w:rsid w:val="3EB06B77"/>
    <w:rsid w:val="3FF37BBC"/>
    <w:rsid w:val="40B56721"/>
    <w:rsid w:val="40CF3200"/>
    <w:rsid w:val="437F30E1"/>
    <w:rsid w:val="441C2606"/>
    <w:rsid w:val="448324A0"/>
    <w:rsid w:val="45071FDE"/>
    <w:rsid w:val="451B6685"/>
    <w:rsid w:val="452A51DB"/>
    <w:rsid w:val="45A06674"/>
    <w:rsid w:val="474167D3"/>
    <w:rsid w:val="47454352"/>
    <w:rsid w:val="47590561"/>
    <w:rsid w:val="49AC70F5"/>
    <w:rsid w:val="4A83749E"/>
    <w:rsid w:val="4AD01703"/>
    <w:rsid w:val="4B326047"/>
    <w:rsid w:val="4B8E50C5"/>
    <w:rsid w:val="4CC0624F"/>
    <w:rsid w:val="4CF34D93"/>
    <w:rsid w:val="4D654F3D"/>
    <w:rsid w:val="4E432F4E"/>
    <w:rsid w:val="4E741B3B"/>
    <w:rsid w:val="4EE17BB1"/>
    <w:rsid w:val="4F835211"/>
    <w:rsid w:val="50147A78"/>
    <w:rsid w:val="503414DD"/>
    <w:rsid w:val="50562C02"/>
    <w:rsid w:val="50F938FF"/>
    <w:rsid w:val="51951BF2"/>
    <w:rsid w:val="51BC648A"/>
    <w:rsid w:val="51FE5395"/>
    <w:rsid w:val="52E50BC7"/>
    <w:rsid w:val="53156D61"/>
    <w:rsid w:val="53454559"/>
    <w:rsid w:val="542F3C18"/>
    <w:rsid w:val="543A6931"/>
    <w:rsid w:val="551F1586"/>
    <w:rsid w:val="557D2B68"/>
    <w:rsid w:val="55B7012A"/>
    <w:rsid w:val="55C84DC8"/>
    <w:rsid w:val="560B13E1"/>
    <w:rsid w:val="565B6DCD"/>
    <w:rsid w:val="58151258"/>
    <w:rsid w:val="588D3BD8"/>
    <w:rsid w:val="58FA78C7"/>
    <w:rsid w:val="58FF02AC"/>
    <w:rsid w:val="59DF1B61"/>
    <w:rsid w:val="5CF02465"/>
    <w:rsid w:val="5DDF09BF"/>
    <w:rsid w:val="5E3F5D9E"/>
    <w:rsid w:val="5EC2588B"/>
    <w:rsid w:val="602D6443"/>
    <w:rsid w:val="603409D4"/>
    <w:rsid w:val="611B0F24"/>
    <w:rsid w:val="62537588"/>
    <w:rsid w:val="630000FC"/>
    <w:rsid w:val="63C766E9"/>
    <w:rsid w:val="63F03B14"/>
    <w:rsid w:val="6564693C"/>
    <w:rsid w:val="65C4585B"/>
    <w:rsid w:val="65CC7931"/>
    <w:rsid w:val="66664C8F"/>
    <w:rsid w:val="668302ED"/>
    <w:rsid w:val="67AF7989"/>
    <w:rsid w:val="67FC7C8C"/>
    <w:rsid w:val="68461F25"/>
    <w:rsid w:val="68760031"/>
    <w:rsid w:val="688F23E0"/>
    <w:rsid w:val="69097D98"/>
    <w:rsid w:val="6AAF2BE3"/>
    <w:rsid w:val="6ADC4E36"/>
    <w:rsid w:val="6BE77122"/>
    <w:rsid w:val="6C4F062A"/>
    <w:rsid w:val="6CDD1B53"/>
    <w:rsid w:val="6CF90CF0"/>
    <w:rsid w:val="6D136D3C"/>
    <w:rsid w:val="6D80459B"/>
    <w:rsid w:val="6E0D68B0"/>
    <w:rsid w:val="6F547B29"/>
    <w:rsid w:val="6F6E0C2C"/>
    <w:rsid w:val="6FCD49C6"/>
    <w:rsid w:val="70547A9B"/>
    <w:rsid w:val="70B57AA1"/>
    <w:rsid w:val="71A558AC"/>
    <w:rsid w:val="726E6F4A"/>
    <w:rsid w:val="72953E7E"/>
    <w:rsid w:val="72E61EEA"/>
    <w:rsid w:val="737D5651"/>
    <w:rsid w:val="73A71D1D"/>
    <w:rsid w:val="73FD1259"/>
    <w:rsid w:val="76E05490"/>
    <w:rsid w:val="777B5C72"/>
    <w:rsid w:val="780517B1"/>
    <w:rsid w:val="785F0292"/>
    <w:rsid w:val="78633B3E"/>
    <w:rsid w:val="79870065"/>
    <w:rsid w:val="79E011D5"/>
    <w:rsid w:val="7A601DEC"/>
    <w:rsid w:val="7AA93546"/>
    <w:rsid w:val="7B657DEF"/>
    <w:rsid w:val="7B6B7C58"/>
    <w:rsid w:val="7B747935"/>
    <w:rsid w:val="7BF4741E"/>
    <w:rsid w:val="7C423754"/>
    <w:rsid w:val="7C6B2236"/>
    <w:rsid w:val="7C8C31E0"/>
    <w:rsid w:val="7CB929FB"/>
    <w:rsid w:val="7CBE0147"/>
    <w:rsid w:val="7D935F6D"/>
    <w:rsid w:val="7F342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adjustRightInd w:val="0"/>
      <w:snapToGrid w:val="0"/>
      <w:spacing w:after="200"/>
    </w:pPr>
    <w:rPr>
      <w:rFonts w:ascii="Tahoma" w:hAnsi="Tahoma" w:eastAsia="宋体" w:cstheme="minorBidi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link w:val="25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6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eastAsia="黑体" w:asciiTheme="majorHAnsi" w:hAnsiTheme="majorHAnsi" w:cstheme="majorBidi"/>
      <w:b/>
      <w:bCs/>
      <w:sz w:val="32"/>
      <w:szCs w:val="32"/>
    </w:rPr>
  </w:style>
  <w:style w:type="paragraph" w:styleId="5">
    <w:name w:val="heading 3"/>
    <w:basedOn w:val="1"/>
    <w:next w:val="1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rFonts w:eastAsia="宋体"/>
      <w:sz w:val="32"/>
    </w:rPr>
  </w:style>
  <w:style w:type="paragraph" w:styleId="6">
    <w:name w:val="heading 4"/>
    <w:basedOn w:val="5"/>
    <w:next w:val="1"/>
    <w:autoRedefine/>
    <w:semiHidden/>
    <w:unhideWhenUsed/>
    <w:qFormat/>
    <w:uiPriority w:val="9"/>
    <w:pPr>
      <w:numPr>
        <w:ilvl w:val="3"/>
      </w:numPr>
      <w:tabs>
        <w:tab w:val="left" w:pos="432"/>
        <w:tab w:val="left" w:pos="864"/>
        <w:tab w:val="left" w:pos="1290"/>
      </w:tabs>
      <w:spacing w:before="280" w:after="290" w:line="376" w:lineRule="auto"/>
      <w:outlineLvl w:val="3"/>
    </w:pPr>
    <w:rPr>
      <w:rFonts w:ascii="Arial" w:hAnsi="Arial" w:eastAsia="黑体"/>
      <w:sz w:val="28"/>
      <w:szCs w:val="28"/>
    </w:rPr>
  </w:style>
  <w:style w:type="paragraph" w:styleId="7">
    <w:name w:val="heading 5"/>
    <w:basedOn w:val="1"/>
    <w:next w:val="1"/>
    <w:semiHidden/>
    <w:unhideWhenUsed/>
    <w:qFormat/>
    <w:uiPriority w:val="9"/>
    <w:pPr>
      <w:keepNext/>
      <w:keepLines/>
      <w:numPr>
        <w:ilvl w:val="4"/>
        <w:numId w:val="1"/>
      </w:numPr>
      <w:tabs>
        <w:tab w:val="left" w:pos="1008"/>
      </w:tabs>
      <w:spacing w:before="280" w:after="290" w:line="372" w:lineRule="auto"/>
      <w:outlineLvl w:val="4"/>
    </w:pPr>
    <w:rPr>
      <w:b/>
      <w:sz w:val="28"/>
    </w:rPr>
  </w:style>
  <w:style w:type="paragraph" w:styleId="8">
    <w:name w:val="heading 6"/>
    <w:basedOn w:val="1"/>
    <w:next w:val="1"/>
    <w:autoRedefine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autoRedefine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2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2">
    <w:name w:val="annotation text"/>
    <w:basedOn w:val="1"/>
    <w:link w:val="32"/>
    <w:autoRedefine/>
    <w:semiHidden/>
    <w:unhideWhenUsed/>
    <w:qFormat/>
    <w:uiPriority w:val="99"/>
  </w:style>
  <w:style w:type="paragraph" w:styleId="1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4">
    <w:name w:val="Date"/>
    <w:basedOn w:val="1"/>
    <w:next w:val="1"/>
    <w:link w:val="24"/>
    <w:semiHidden/>
    <w:unhideWhenUsed/>
    <w:qFormat/>
    <w:uiPriority w:val="99"/>
    <w:pPr>
      <w:ind w:left="100" w:leftChars="2500"/>
    </w:pPr>
  </w:style>
  <w:style w:type="paragraph" w:styleId="15">
    <w:name w:val="Balloon Text"/>
    <w:basedOn w:val="1"/>
    <w:link w:val="34"/>
    <w:autoRedefine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16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</w:rPr>
  </w:style>
  <w:style w:type="paragraph" w:styleId="17">
    <w:name w:val="header"/>
    <w:basedOn w:val="1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18">
    <w:name w:val="toc 1"/>
    <w:basedOn w:val="1"/>
    <w:next w:val="1"/>
    <w:autoRedefine/>
    <w:unhideWhenUsed/>
    <w:qFormat/>
    <w:uiPriority w:val="39"/>
  </w:style>
  <w:style w:type="paragraph" w:styleId="19">
    <w:name w:val="annotation subject"/>
    <w:basedOn w:val="12"/>
    <w:next w:val="12"/>
    <w:link w:val="33"/>
    <w:semiHidden/>
    <w:unhideWhenUsed/>
    <w:qFormat/>
    <w:uiPriority w:val="99"/>
    <w:rPr>
      <w:b/>
      <w:bCs/>
    </w:rPr>
  </w:style>
  <w:style w:type="character" w:styleId="22">
    <w:name w:val="Hyperlink"/>
    <w:basedOn w:val="21"/>
    <w:autoRedefine/>
    <w:unhideWhenUsed/>
    <w:qFormat/>
    <w:uiPriority w:val="99"/>
    <w:rPr>
      <w:color w:val="0000FF"/>
      <w:u w:val="single"/>
    </w:rPr>
  </w:style>
  <w:style w:type="character" w:styleId="23">
    <w:name w:val="annotation reference"/>
    <w:basedOn w:val="21"/>
    <w:semiHidden/>
    <w:unhideWhenUsed/>
    <w:qFormat/>
    <w:uiPriority w:val="99"/>
    <w:rPr>
      <w:sz w:val="21"/>
      <w:szCs w:val="21"/>
    </w:rPr>
  </w:style>
  <w:style w:type="character" w:customStyle="1" w:styleId="24">
    <w:name w:val="日期 Char"/>
    <w:basedOn w:val="21"/>
    <w:link w:val="14"/>
    <w:semiHidden/>
    <w:qFormat/>
    <w:uiPriority w:val="99"/>
    <w:rPr>
      <w:rFonts w:ascii="Tahoma" w:hAnsi="Tahoma" w:eastAsia="微软雅黑"/>
      <w:kern w:val="0"/>
      <w:sz w:val="22"/>
    </w:rPr>
  </w:style>
  <w:style w:type="character" w:customStyle="1" w:styleId="25">
    <w:name w:val="标题 1 Char"/>
    <w:basedOn w:val="21"/>
    <w:link w:val="3"/>
    <w:autoRedefine/>
    <w:qFormat/>
    <w:uiPriority w:val="9"/>
    <w:rPr>
      <w:rFonts w:ascii="Tahoma" w:hAnsi="Tahoma" w:eastAsia="微软雅黑"/>
      <w:b/>
      <w:bCs/>
      <w:kern w:val="44"/>
      <w:sz w:val="44"/>
      <w:szCs w:val="44"/>
    </w:rPr>
  </w:style>
  <w:style w:type="character" w:customStyle="1" w:styleId="26">
    <w:name w:val="标题 2 Char"/>
    <w:basedOn w:val="21"/>
    <w:link w:val="4"/>
    <w:autoRedefine/>
    <w:qFormat/>
    <w:uiPriority w:val="9"/>
    <w:rPr>
      <w:rFonts w:eastAsia="黑体" w:asciiTheme="majorHAnsi" w:hAnsiTheme="majorHAnsi" w:cstheme="majorBidi"/>
      <w:b/>
      <w:bCs/>
      <w:kern w:val="0"/>
      <w:sz w:val="32"/>
      <w:szCs w:val="32"/>
    </w:rPr>
  </w:style>
  <w:style w:type="paragraph" w:styleId="27">
    <w:name w:val="List Paragraph"/>
    <w:basedOn w:val="1"/>
    <w:qFormat/>
    <w:uiPriority w:val="34"/>
    <w:pPr>
      <w:ind w:firstLine="420" w:firstLineChars="200"/>
    </w:pPr>
  </w:style>
  <w:style w:type="character" w:customStyle="1" w:styleId="28">
    <w:name w:val="apple-converted-space"/>
    <w:basedOn w:val="21"/>
    <w:qFormat/>
    <w:uiPriority w:val="0"/>
  </w:style>
  <w:style w:type="paragraph" w:customStyle="1" w:styleId="29">
    <w:name w:val="WPSOffice手动目录 1"/>
    <w:autoRedefine/>
    <w:qFormat/>
    <w:uiPriority w:val="0"/>
    <w:rPr>
      <w:rFonts w:ascii="Calibri" w:hAnsi="Calibri" w:eastAsia="宋体" w:cs="Times New Roman"/>
      <w:lang w:val="en-US" w:eastAsia="zh-CN" w:bidi="ar-SA"/>
    </w:rPr>
  </w:style>
  <w:style w:type="paragraph" w:customStyle="1" w:styleId="30">
    <w:name w:val="WPSOffice手动目录 2"/>
    <w:autoRedefine/>
    <w:qFormat/>
    <w:uiPriority w:val="0"/>
    <w:pPr>
      <w:ind w:left="200" w:leftChars="200"/>
    </w:pPr>
    <w:rPr>
      <w:rFonts w:ascii="Calibri" w:hAnsi="Calibri" w:eastAsia="宋体" w:cs="Times New Roman"/>
      <w:lang w:val="en-US" w:eastAsia="zh-CN" w:bidi="ar-SA"/>
    </w:rPr>
  </w:style>
  <w:style w:type="paragraph" w:customStyle="1" w:styleId="31">
    <w:name w:val="WPSOffice手动目录 3"/>
    <w:qFormat/>
    <w:uiPriority w:val="0"/>
    <w:pPr>
      <w:ind w:left="400" w:leftChars="400"/>
    </w:pPr>
    <w:rPr>
      <w:rFonts w:ascii="Calibri" w:hAnsi="Calibri" w:eastAsia="宋体" w:cs="Times New Roman"/>
      <w:lang w:val="en-US" w:eastAsia="zh-CN" w:bidi="ar-SA"/>
    </w:rPr>
  </w:style>
  <w:style w:type="character" w:customStyle="1" w:styleId="32">
    <w:name w:val="批注文字 Char"/>
    <w:basedOn w:val="21"/>
    <w:link w:val="12"/>
    <w:autoRedefine/>
    <w:semiHidden/>
    <w:qFormat/>
    <w:uiPriority w:val="99"/>
    <w:rPr>
      <w:rFonts w:ascii="Tahoma" w:hAnsi="Tahoma" w:eastAsia="微软雅黑" w:cstheme="minorBidi"/>
      <w:sz w:val="22"/>
      <w:szCs w:val="22"/>
    </w:rPr>
  </w:style>
  <w:style w:type="character" w:customStyle="1" w:styleId="33">
    <w:name w:val="批注主题 Char"/>
    <w:basedOn w:val="32"/>
    <w:link w:val="19"/>
    <w:autoRedefine/>
    <w:semiHidden/>
    <w:qFormat/>
    <w:uiPriority w:val="99"/>
    <w:rPr>
      <w:rFonts w:ascii="Tahoma" w:hAnsi="Tahoma" w:eastAsia="微软雅黑" w:cstheme="minorBidi"/>
      <w:b/>
      <w:bCs/>
      <w:sz w:val="22"/>
      <w:szCs w:val="22"/>
    </w:rPr>
  </w:style>
  <w:style w:type="character" w:customStyle="1" w:styleId="34">
    <w:name w:val="批注框文本 Char"/>
    <w:basedOn w:val="21"/>
    <w:link w:val="15"/>
    <w:semiHidden/>
    <w:qFormat/>
    <w:uiPriority w:val="99"/>
    <w:rPr>
      <w:rFonts w:ascii="Tahoma" w:hAnsi="Tahoma" w:eastAsia="微软雅黑" w:cstheme="minorBid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customXml" Target="../customXml/item2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6C85E17-1292-4CE9-9BE6-D9AAE48C284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21</Pages>
  <Words>2757</Words>
  <Characters>2936</Characters>
  <Lines>9</Lines>
  <Paragraphs>2</Paragraphs>
  <TotalTime>0</TotalTime>
  <ScaleCrop>false</ScaleCrop>
  <LinksUpToDate>false</LinksUpToDate>
  <CharactersWithSpaces>3065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2017-04-10T09:48:00Z</dcterms:created>
  <dc:creator>User</dc:creator>
  <cp:lastModifiedBy>小丑</cp:lastModifiedBy>
  <cp:lastPrinted>2020-05-28T02:43:00Z</cp:lastPrinted>
  <dcterms:modified xsi:type="dcterms:W3CDTF">2025-06-13T02:15:42Z</dcterms:modified>
  <cp:revision>47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1F52ADEAEC02422EABD35E209B7888A7</vt:lpwstr>
  </property>
  <property fmtid="{D5CDD505-2E9C-101B-9397-08002B2CF9AE}" pid="4" name="commondata">
    <vt:lpwstr>eyJoZGlkIjoiMDhlNTAwYjEyYTRkNDJlNWZiNGNlYzc1NTI4MThlYzcifQ==</vt:lpwstr>
  </property>
  <property fmtid="{D5CDD505-2E9C-101B-9397-08002B2CF9AE}" pid="5" name="KSOTemplateDocerSaveRecord">
    <vt:lpwstr>eyJoZGlkIjoiNmMyNjk1ZDYxZTM4YmZhM2FkMDNkMzY3ZGU0NzA5Y2EiLCJ1c2VySWQiOiI0MzExNDM5OTkifQ==</vt:lpwstr>
  </property>
</Properties>
</file>