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line="360" w:lineRule="auto"/>
        <w:jc w:val="center"/>
        <w:rPr>
          <w:rFonts w:ascii="宋体" w:hAnsi="宋体" w:eastAsia="宋体" w:cs="宋体"/>
          <w:b/>
          <w:bCs/>
          <w:sz w:val="32"/>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44"/>
          <w:sz w:val="48"/>
          <w:szCs w:val="48"/>
          <w:lang w:val="en-US" w:eastAsia="zh-CN"/>
        </w:rPr>
      </w:pPr>
      <w:r>
        <w:rPr>
          <w:rFonts w:hint="eastAsia" w:ascii="方正小标宋简体" w:eastAsia="方正小标宋简体"/>
          <w:sz w:val="48"/>
          <w:szCs w:val="48"/>
          <w:lang w:val="en-US" w:eastAsia="zh-CN"/>
        </w:rPr>
        <w:t>2025年度</w:t>
      </w:r>
      <w:r>
        <w:rPr>
          <w:rFonts w:hint="eastAsia" w:ascii="方正小标宋简体" w:hAnsi="方正小标宋简体" w:eastAsia="方正小标宋简体" w:cs="方正小标宋简体"/>
          <w:b w:val="0"/>
          <w:bCs w:val="0"/>
          <w:kern w:val="44"/>
          <w:sz w:val="48"/>
          <w:szCs w:val="48"/>
          <w:lang w:val="en-US" w:eastAsia="zh-CN"/>
        </w:rPr>
        <w:t>无线电管理技术设备运行维护</w:t>
      </w:r>
    </w:p>
    <w:p>
      <w:pPr>
        <w:spacing w:line="360" w:lineRule="auto"/>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b w:val="0"/>
          <w:bCs w:val="0"/>
          <w:kern w:val="44"/>
          <w:sz w:val="48"/>
          <w:szCs w:val="48"/>
          <w:lang w:val="en-US" w:eastAsia="zh-CN"/>
        </w:rPr>
        <w:t>保障服务项目</w:t>
      </w:r>
      <w:r>
        <w:rPr>
          <w:rFonts w:hint="eastAsia" w:ascii="方正小标宋简体" w:hAnsi="方正小标宋简体" w:eastAsia="方正小标宋简体" w:cs="方正小标宋简体"/>
          <w:sz w:val="44"/>
          <w:szCs w:val="44"/>
        </w:rPr>
        <w:t>招标代理服务机构</w:t>
      </w:r>
    </w:p>
    <w:p>
      <w:pPr>
        <w:pStyle w:val="9"/>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40"/>
          <w:szCs w:val="40"/>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p>
    <w:p>
      <w:pPr>
        <w:pStyle w:val="9"/>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需</w:t>
      </w:r>
    </w:p>
    <w:p>
      <w:pPr>
        <w:pStyle w:val="9"/>
        <w:widowControl/>
        <w:shd w:val="clear" w:color="auto" w:fill="FFFFFF"/>
        <w:spacing w:beforeAutospacing="0" w:afterAutospacing="0" w:line="360" w:lineRule="auto"/>
        <w:jc w:val="center"/>
        <w:rPr>
          <w:rFonts w:ascii="宋体" w:hAnsi="宋体" w:eastAsia="宋体" w:cs="宋体"/>
          <w:b/>
          <w:bCs/>
          <w:sz w:val="52"/>
          <w:szCs w:val="52"/>
          <w:shd w:val="clear" w:color="auto" w:fill="FFFFFF"/>
        </w:rPr>
      </w:pPr>
      <w:r>
        <w:rPr>
          <w:rFonts w:hint="eastAsia" w:ascii="宋体" w:hAnsi="宋体" w:eastAsia="宋体" w:cs="宋体"/>
          <w:b/>
          <w:bCs/>
          <w:sz w:val="52"/>
          <w:szCs w:val="52"/>
          <w:shd w:val="clear" w:color="auto" w:fill="FFFFFF"/>
        </w:rPr>
        <w:t>求</w:t>
      </w:r>
    </w:p>
    <w:p>
      <w:pPr>
        <w:pStyle w:val="9"/>
        <w:widowControl/>
        <w:shd w:val="clear" w:color="auto" w:fill="FFFFFF"/>
        <w:spacing w:beforeAutospacing="0" w:afterAutospacing="0" w:line="360" w:lineRule="auto"/>
        <w:jc w:val="center"/>
        <w:rPr>
          <w:rFonts w:ascii="宋体" w:hAnsi="宋体" w:eastAsia="宋体" w:cs="宋体"/>
          <w:sz w:val="44"/>
          <w:szCs w:val="44"/>
          <w:shd w:val="clear" w:color="auto" w:fill="FFFFFF"/>
        </w:rPr>
      </w:pPr>
      <w:r>
        <w:rPr>
          <w:rFonts w:hint="eastAsia" w:ascii="宋体" w:hAnsi="宋体" w:eastAsia="宋体" w:cs="宋体"/>
          <w:b/>
          <w:bCs/>
          <w:sz w:val="52"/>
          <w:szCs w:val="52"/>
          <w:shd w:val="clear" w:color="auto" w:fill="FFFFFF"/>
        </w:rPr>
        <w:t>书</w:t>
      </w: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both"/>
        <w:rPr>
          <w:rFonts w:ascii="宋体" w:hAnsi="宋体" w:eastAsia="宋体" w:cs="宋体"/>
          <w:b/>
          <w:bCs/>
          <w:shd w:val="clear" w:color="auto" w:fill="FFFFFF"/>
        </w:rPr>
      </w:pPr>
    </w:p>
    <w:p>
      <w:pPr>
        <w:pStyle w:val="9"/>
        <w:widowControl/>
        <w:shd w:val="clear" w:color="auto" w:fill="FFFFFF"/>
        <w:spacing w:beforeAutospacing="0" w:afterAutospacing="0" w:line="360" w:lineRule="auto"/>
        <w:jc w:val="center"/>
        <w:rPr>
          <w:rFonts w:hint="eastAsia" w:ascii="宋体" w:hAnsi="宋体" w:eastAsia="宋体" w:cs="宋体"/>
          <w:b/>
          <w:bCs/>
          <w:sz w:val="36"/>
          <w:szCs w:val="36"/>
          <w:shd w:val="clear" w:color="auto" w:fill="FFFFFF"/>
          <w:lang w:eastAsia="zh-CN"/>
        </w:rPr>
      </w:pPr>
      <w:r>
        <w:rPr>
          <w:rFonts w:hint="eastAsia" w:ascii="宋体" w:hAnsi="宋体" w:eastAsia="宋体" w:cs="宋体"/>
          <w:b/>
          <w:bCs/>
          <w:sz w:val="36"/>
          <w:szCs w:val="36"/>
          <w:shd w:val="clear" w:color="auto" w:fill="FFFFFF"/>
          <w:lang w:eastAsia="zh-CN"/>
        </w:rPr>
        <w:t>采购</w:t>
      </w:r>
      <w:r>
        <w:rPr>
          <w:rFonts w:hint="eastAsia" w:ascii="宋体" w:hAnsi="宋体" w:eastAsia="宋体" w:cs="宋体"/>
          <w:b/>
          <w:bCs/>
          <w:sz w:val="36"/>
          <w:szCs w:val="36"/>
          <w:shd w:val="clear" w:color="auto" w:fill="FFFFFF"/>
        </w:rPr>
        <w:t>单位：汕尾市</w:t>
      </w:r>
      <w:r>
        <w:rPr>
          <w:rFonts w:hint="eastAsia" w:ascii="宋体" w:hAnsi="宋体" w:eastAsia="宋体" w:cs="宋体"/>
          <w:b/>
          <w:bCs/>
          <w:sz w:val="36"/>
          <w:szCs w:val="36"/>
          <w:shd w:val="clear" w:color="auto" w:fill="FFFFFF"/>
          <w:lang w:eastAsia="zh-CN"/>
        </w:rPr>
        <w:t>工业和信息化局</w:t>
      </w:r>
    </w:p>
    <w:p>
      <w:pPr>
        <w:pStyle w:val="9"/>
        <w:widowControl/>
        <w:shd w:val="clear" w:color="auto" w:fill="FFFFFF"/>
        <w:spacing w:beforeAutospacing="0" w:afterAutospacing="0" w:line="360" w:lineRule="auto"/>
        <w:jc w:val="center"/>
        <w:rPr>
          <w:rFonts w:ascii="宋体" w:hAnsi="宋体" w:eastAsia="宋体" w:cs="宋体"/>
          <w:b/>
          <w:bCs/>
          <w:sz w:val="36"/>
          <w:szCs w:val="36"/>
          <w:shd w:val="clear" w:color="auto" w:fill="FFFFFF"/>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36"/>
          <w:szCs w:val="36"/>
          <w:shd w:val="clear" w:color="auto" w:fill="FFFFFF"/>
        </w:rPr>
        <w:t>日期：二〇二</w:t>
      </w:r>
      <w:r>
        <w:rPr>
          <w:rFonts w:hint="eastAsia" w:ascii="宋体" w:hAnsi="宋体" w:eastAsia="宋体" w:cs="宋体"/>
          <w:b/>
          <w:bCs/>
          <w:sz w:val="36"/>
          <w:szCs w:val="36"/>
          <w:shd w:val="clear" w:color="auto" w:fill="FFFFFF"/>
          <w:lang w:val="en-US" w:eastAsia="zh-CN"/>
        </w:rPr>
        <w:t>五</w:t>
      </w:r>
      <w:r>
        <w:rPr>
          <w:rFonts w:hint="eastAsia" w:ascii="宋体" w:hAnsi="宋体" w:eastAsia="宋体" w:cs="宋体"/>
          <w:b/>
          <w:bCs/>
          <w:sz w:val="36"/>
          <w:szCs w:val="36"/>
          <w:shd w:val="clear" w:color="auto" w:fill="FFFFFF"/>
        </w:rPr>
        <w:t>年</w:t>
      </w:r>
      <w:r>
        <w:rPr>
          <w:rFonts w:hint="eastAsia" w:ascii="宋体" w:hAnsi="宋体" w:eastAsia="宋体" w:cs="宋体"/>
          <w:b/>
          <w:bCs/>
          <w:sz w:val="36"/>
          <w:szCs w:val="36"/>
          <w:shd w:val="clear" w:color="auto" w:fill="FFFFFF"/>
          <w:lang w:eastAsia="zh-CN"/>
        </w:rPr>
        <w:t>五</w:t>
      </w:r>
      <w:r>
        <w:rPr>
          <w:rFonts w:hint="eastAsia" w:ascii="宋体" w:hAnsi="宋体" w:eastAsia="宋体" w:cs="宋体"/>
          <w:b/>
          <w:bCs/>
          <w:sz w:val="36"/>
          <w:szCs w:val="36"/>
          <w:shd w:val="clear" w:color="auto" w:fill="FFFFFF"/>
        </w:rPr>
        <w:t>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采购</w:t>
      </w:r>
      <w:r>
        <w:rPr>
          <w:rFonts w:hint="eastAsia" w:ascii="黑体" w:hAnsi="黑体" w:eastAsia="黑体" w:cs="黑体"/>
          <w:sz w:val="32"/>
          <w:szCs w:val="32"/>
        </w:rPr>
        <w:t>项目概况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lang w:val="en-US" w:eastAsia="zh-CN"/>
        </w:rPr>
        <w:t>2025年度无线电管理技术设备运行维护保障服务项目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项目基本概况：</w:t>
      </w:r>
      <w:r>
        <w:rPr>
          <w:rFonts w:hint="eastAsia" w:ascii="仿宋_GB2312" w:hAnsi="仿宋_GB2312" w:eastAsia="仿宋_GB2312" w:cs="仿宋_GB2312"/>
          <w:sz w:val="32"/>
          <w:szCs w:val="32"/>
          <w:lang w:eastAsia="zh-CN"/>
        </w:rPr>
        <w:t>目前，我市现有</w:t>
      </w:r>
      <w:r>
        <w:rPr>
          <w:rFonts w:hint="eastAsia" w:ascii="仿宋_GB2312" w:hAnsi="仿宋_GB2312" w:eastAsia="仿宋_GB2312" w:cs="仿宋_GB2312"/>
          <w:bCs/>
          <w:sz w:val="32"/>
          <w:szCs w:val="32"/>
          <w:lang w:val="en-US" w:eastAsia="zh-CN"/>
        </w:rPr>
        <w:t>19个</w:t>
      </w:r>
      <w:r>
        <w:rPr>
          <w:rFonts w:hint="eastAsia" w:ascii="仿宋_GB2312" w:hAnsi="仿宋_GB2312" w:eastAsia="仿宋_GB2312" w:cs="仿宋_GB2312"/>
          <w:sz w:val="32"/>
          <w:szCs w:val="32"/>
        </w:rPr>
        <w:t>固定无线电监测</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lang w:val="en-US" w:eastAsia="zh-CN"/>
        </w:rPr>
        <w:t>3辆无线电监测车和12台（套）</w:t>
      </w:r>
      <w:r>
        <w:rPr>
          <w:rFonts w:hint="eastAsia" w:ascii="仿宋_GB2312" w:hAnsi="仿宋_GB2312" w:eastAsia="仿宋_GB2312" w:cs="仿宋_GB2312"/>
          <w:sz w:val="32"/>
          <w:szCs w:val="32"/>
        </w:rPr>
        <w:t>无线电监测仪器仪表</w:t>
      </w:r>
      <w:r>
        <w:rPr>
          <w:rFonts w:hint="eastAsia" w:ascii="仿宋_GB2312" w:hAnsi="仿宋_GB2312" w:eastAsia="仿宋_GB2312" w:cs="仿宋_GB2312"/>
          <w:sz w:val="32"/>
          <w:szCs w:val="32"/>
          <w:lang w:eastAsia="zh-CN"/>
        </w:rPr>
        <w:t>，无线电管理</w:t>
      </w:r>
      <w:r>
        <w:rPr>
          <w:rFonts w:hint="eastAsia" w:ascii="仿宋_GB2312" w:hAnsi="仿宋_GB2312" w:eastAsia="仿宋_GB2312" w:cs="仿宋_GB2312"/>
          <w:sz w:val="32"/>
          <w:szCs w:val="32"/>
          <w:lang w:val="en-US" w:eastAsia="zh-CN"/>
        </w:rPr>
        <w:t>技术设备总原值2067.32万元。为</w:t>
      </w:r>
      <w:r>
        <w:rPr>
          <w:rFonts w:hint="eastAsia" w:ascii="仿宋_GB2312" w:hAnsi="仿宋_GB2312" w:eastAsia="仿宋_GB2312" w:cs="仿宋_GB2312"/>
          <w:sz w:val="32"/>
          <w:szCs w:val="32"/>
          <w:lang w:eastAsia="zh-CN"/>
        </w:rPr>
        <w:t>做好我市各类无线电管理技术设备的运行维护工作，保障“春运”和“两会”期间以及各类重要考试等的无线电安全，以市财政下达我局的</w:t>
      </w:r>
      <w:r>
        <w:rPr>
          <w:rFonts w:hint="eastAsia" w:ascii="仿宋_GB2312" w:hAnsi="仿宋_GB2312" w:eastAsia="仿宋_GB2312" w:cs="仿宋_GB2312"/>
          <w:sz w:val="32"/>
          <w:szCs w:val="32"/>
          <w:lang w:val="en-US" w:eastAsia="zh-CN"/>
        </w:rPr>
        <w:t>无线电管理专用技术设备运行维护费76万元为采购上限，</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2025年度无线电管理技术设备运行维护保障服务项目进行选取。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二、招标代理服务费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代理服务费参照国家计委（计价格〔2002〕1980号）、发改价格〔2011〕534号文件规定计算，根据《国家发展改革委关于进一步放开建设项目专业服务价格的通知》（发改价格(2015)299号）的规定，以成交金额为计算基数，按差额定率累进法计算。代理费由中标单位支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三、招标代理</w:t>
      </w:r>
      <w:r>
        <w:rPr>
          <w:rFonts w:hint="eastAsia" w:ascii="黑体" w:hAnsi="黑体" w:eastAsia="黑体" w:cs="黑体"/>
          <w:sz w:val="32"/>
          <w:szCs w:val="32"/>
          <w:lang w:val="en-US" w:eastAsia="zh-CN"/>
        </w:rPr>
        <w:t>服务</w:t>
      </w:r>
      <w:r>
        <w:rPr>
          <w:rFonts w:hint="eastAsia" w:ascii="黑体" w:hAnsi="黑体" w:eastAsia="黑体" w:cs="黑体"/>
          <w:sz w:val="32"/>
          <w:szCs w:val="32"/>
        </w:rPr>
        <w:t>机构资格要求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1、应具有独立法人资格并依法取得营业执照，且营业执照有效；（提供营业执照复印件）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2、在广东政府采购智慧云平台已办理有关进驻手续；（网页截图）</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3、近3年内未违反《中华人民共和国招标投标法》及有关管理规定，并不处于被行政主管部门取消投标资格的处罚期内。（提供承诺书）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四、招标代理服务机构服务内容包括但不限于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1.中选人应根据本项目招标代理合同约定内容完成委托招标代理业务的工作范围和内容。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2.中选人应根据本项目招标代理合同约定内容和时间完成下列工作：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（1）依法按照公开、公平、公正和诚实信用原则，组织招标工作，维护各方的合法权益；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（2）应用专业技术与技能为招标单位提供完成招标工作相关的咨询服务；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为本项目进行前期市场调查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）向招标单位宣传有关工程招标的法律、行政法规和规章，解释合理的招标程序，以便得到招标单位的支持和配合；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）中选人应对招标工作中中选人所出具有关数据的计算、技术经济资料等的科学性和准确性负责。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）中选人不得接受与本项目招标代理合同工程建设项目中委托招标范围之内的相关的投标咨询业务。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）中选人为本项目招标代理合同提供技术服务的知识产权应属中选人专有。任何第三方如果提出侵权指控，中选人须与第三方交涉并承担由此而引起的一切法律责任和费用。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）未经招标单位同意，中选人不得分包或转让本合同的任何权利和义务。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选人不得接受所有招标代理服务机构的礼品、宴请和任何其它好处，不得泄露招标、评标、定标过程中依法需要保密的内容。合同终止后，未经招标单位同意，中选人不得泄漏与本合同工程相关的任何招标资料和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）中选人未能履行以上各项义务，给招标单位造成损失的，应当赔偿招标单位的有关损失。</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（10）组织招标工作：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①按招标单位招标要求编制招标文件、招标公告，并根据业主和标办的意见进行修改，填写有关资料完成项目招标备案；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②组织接受投标报名，并协助招标单位审查招标代理服务机构资格；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③负责主持招标会议、招标答疑；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④组织开标、评标、协助招标单位定标；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⑤处理招标投诉事宜；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⑥办理中标手续、协助招标单位发放中标通知书；并有对本项目招标相关内容保密义务。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（11）法律法规规定以及招标代理委托合同约定的其他事项。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五、选取原则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综合评估：在已按照本项目公告成功报名且符合本项目“招标代理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机构资格要求”的招标代理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机构中，根据各招标代理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机构提供的报名资料进行综合评估，综合评估最优的招标代理</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机构为中选人。</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1429050"/>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80851"/>
    <w:multiLevelType w:val="multilevel"/>
    <w:tmpl w:val="07E80851"/>
    <w:lvl w:ilvl="0" w:tentative="0">
      <w:start w:val="1"/>
      <w:numFmt w:val="chineseCountingThousand"/>
      <w:lvlText w:val="%1、"/>
      <w:lvlJc w:val="left"/>
      <w:pPr>
        <w:ind w:left="425" w:hanging="425"/>
      </w:pPr>
      <w:rPr>
        <w:rFonts w:hint="eastAsia"/>
      </w:rPr>
    </w:lvl>
    <w:lvl w:ilvl="1" w:tentative="0">
      <w:start w:val="1"/>
      <w:numFmt w:val="decimal"/>
      <w:pStyle w:val="2"/>
      <w:lvlText w:val="%2."/>
      <w:lvlJc w:val="left"/>
      <w:pPr>
        <w:ind w:left="567" w:hanging="567"/>
      </w:pPr>
      <w:rPr>
        <w:rFonts w:hint="eastAsia"/>
      </w:rPr>
    </w:lvl>
    <w:lvl w:ilvl="2" w:tentative="0">
      <w:start w:val="1"/>
      <w:numFmt w:val="decimal"/>
      <w:lvlText w:val="%2.%3."/>
      <w:lvlJc w:val="left"/>
      <w:pPr>
        <w:ind w:left="709" w:hanging="709"/>
      </w:pPr>
      <w:rPr>
        <w:rFonts w:hint="eastAsia"/>
      </w:rPr>
    </w:lvl>
    <w:lvl w:ilvl="3" w:tentative="0">
      <w:start w:val="1"/>
      <w:numFmt w:val="decimal"/>
      <w:lvlText w:val="%2.%3.%4."/>
      <w:lvlJc w:val="left"/>
      <w:pPr>
        <w:ind w:left="851" w:hanging="851"/>
      </w:pPr>
      <w:rPr>
        <w:rFonts w:hint="eastAsia"/>
      </w:rPr>
    </w:lvl>
    <w:lvl w:ilvl="4" w:tentative="0">
      <w:start w:val="1"/>
      <w:numFmt w:val="decimal"/>
      <w:lvlText w:val="%2.%3.%4.%5."/>
      <w:lvlJc w:val="left"/>
      <w:pPr>
        <w:ind w:left="992" w:hanging="992"/>
      </w:pPr>
      <w:rPr>
        <w:rFonts w:hint="eastAsia"/>
      </w:rPr>
    </w:lvl>
    <w:lvl w:ilvl="5" w:tentative="0">
      <w:start w:val="1"/>
      <w:numFmt w:val="decimal"/>
      <w:lvlText w:val="%2.%3.%4.%5.%6."/>
      <w:lvlJc w:val="left"/>
      <w:pPr>
        <w:ind w:left="1134" w:hanging="1134"/>
      </w:pPr>
      <w:rPr>
        <w:rFonts w:hint="eastAsia"/>
      </w:rPr>
    </w:lvl>
    <w:lvl w:ilvl="6" w:tentative="0">
      <w:start w:val="1"/>
      <w:numFmt w:val="decimal"/>
      <w:lvlText w:val="%2.%3.%4.%5.%6.%7."/>
      <w:lvlJc w:val="left"/>
      <w:pPr>
        <w:ind w:left="1276" w:hanging="1276"/>
      </w:pPr>
      <w:rPr>
        <w:rFonts w:hint="eastAsia"/>
      </w:rPr>
    </w:lvl>
    <w:lvl w:ilvl="7" w:tentative="0">
      <w:start w:val="1"/>
      <w:numFmt w:val="decimal"/>
      <w:lvlText w:val="%2.%3.%4.%5.%6.%7.%8."/>
      <w:lvlJc w:val="left"/>
      <w:pPr>
        <w:ind w:left="1418" w:hanging="1418"/>
      </w:pPr>
      <w:rPr>
        <w:rFonts w:hint="eastAsia"/>
      </w:rPr>
    </w:lvl>
    <w:lvl w:ilvl="8" w:tentative="0">
      <w:start w:val="1"/>
      <w:numFmt w:val="decimal"/>
      <w:lvlText w:val="%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9C"/>
    <w:rsid w:val="00017FDE"/>
    <w:rsid w:val="0004719C"/>
    <w:rsid w:val="000D4F5C"/>
    <w:rsid w:val="00103C65"/>
    <w:rsid w:val="002B1A29"/>
    <w:rsid w:val="00373B41"/>
    <w:rsid w:val="003B0B38"/>
    <w:rsid w:val="003F599E"/>
    <w:rsid w:val="004F4E33"/>
    <w:rsid w:val="005269AA"/>
    <w:rsid w:val="00531BC5"/>
    <w:rsid w:val="00552C99"/>
    <w:rsid w:val="0059059A"/>
    <w:rsid w:val="00675F4A"/>
    <w:rsid w:val="006F36B6"/>
    <w:rsid w:val="007C1FF8"/>
    <w:rsid w:val="007D239B"/>
    <w:rsid w:val="00901DBF"/>
    <w:rsid w:val="00A37ACE"/>
    <w:rsid w:val="00B37BA7"/>
    <w:rsid w:val="00B744D2"/>
    <w:rsid w:val="00B808C5"/>
    <w:rsid w:val="00BB5371"/>
    <w:rsid w:val="00CD56DE"/>
    <w:rsid w:val="00E9464E"/>
    <w:rsid w:val="00EA1CFE"/>
    <w:rsid w:val="00FC5D1A"/>
    <w:rsid w:val="017A0D38"/>
    <w:rsid w:val="01CB4799"/>
    <w:rsid w:val="08A363FA"/>
    <w:rsid w:val="08A86474"/>
    <w:rsid w:val="0E8A515C"/>
    <w:rsid w:val="0EBF0202"/>
    <w:rsid w:val="0FB81855"/>
    <w:rsid w:val="11AE455D"/>
    <w:rsid w:val="122829B7"/>
    <w:rsid w:val="13652D5C"/>
    <w:rsid w:val="13D03611"/>
    <w:rsid w:val="18251A52"/>
    <w:rsid w:val="18367DB3"/>
    <w:rsid w:val="1B0342CC"/>
    <w:rsid w:val="1B1D5FE3"/>
    <w:rsid w:val="1BA075C9"/>
    <w:rsid w:val="1BE3665A"/>
    <w:rsid w:val="1C8054A9"/>
    <w:rsid w:val="1FE65978"/>
    <w:rsid w:val="223816CD"/>
    <w:rsid w:val="22E5075C"/>
    <w:rsid w:val="22E52CC3"/>
    <w:rsid w:val="238A02EB"/>
    <w:rsid w:val="24373239"/>
    <w:rsid w:val="2580073A"/>
    <w:rsid w:val="269B6808"/>
    <w:rsid w:val="27A67D23"/>
    <w:rsid w:val="28A001B9"/>
    <w:rsid w:val="2A701813"/>
    <w:rsid w:val="2C3C418A"/>
    <w:rsid w:val="2F421E29"/>
    <w:rsid w:val="2FA8323D"/>
    <w:rsid w:val="2FCC0796"/>
    <w:rsid w:val="3012662C"/>
    <w:rsid w:val="308E1897"/>
    <w:rsid w:val="321F06D6"/>
    <w:rsid w:val="33271C39"/>
    <w:rsid w:val="336B3220"/>
    <w:rsid w:val="34920051"/>
    <w:rsid w:val="37444170"/>
    <w:rsid w:val="37AE55CB"/>
    <w:rsid w:val="3B1874C8"/>
    <w:rsid w:val="3C9568F7"/>
    <w:rsid w:val="3D511042"/>
    <w:rsid w:val="41994A6D"/>
    <w:rsid w:val="4288366B"/>
    <w:rsid w:val="42B06A8A"/>
    <w:rsid w:val="47612D28"/>
    <w:rsid w:val="47EB386F"/>
    <w:rsid w:val="48EC01CA"/>
    <w:rsid w:val="4ACF5257"/>
    <w:rsid w:val="4B3C2BAD"/>
    <w:rsid w:val="50077B7B"/>
    <w:rsid w:val="54355FE2"/>
    <w:rsid w:val="54555E8E"/>
    <w:rsid w:val="54957398"/>
    <w:rsid w:val="54C66B7F"/>
    <w:rsid w:val="556E11D4"/>
    <w:rsid w:val="559C795D"/>
    <w:rsid w:val="55B654BC"/>
    <w:rsid w:val="55BF61E6"/>
    <w:rsid w:val="55DD513F"/>
    <w:rsid w:val="56105BBE"/>
    <w:rsid w:val="56340F7A"/>
    <w:rsid w:val="574627A7"/>
    <w:rsid w:val="595913D5"/>
    <w:rsid w:val="5976568E"/>
    <w:rsid w:val="5D656145"/>
    <w:rsid w:val="5FEE1941"/>
    <w:rsid w:val="61B96A60"/>
    <w:rsid w:val="61CD130D"/>
    <w:rsid w:val="63C36D32"/>
    <w:rsid w:val="648D270F"/>
    <w:rsid w:val="64D33A5F"/>
    <w:rsid w:val="64E060B2"/>
    <w:rsid w:val="6686712D"/>
    <w:rsid w:val="66BC0678"/>
    <w:rsid w:val="69180510"/>
    <w:rsid w:val="6979545F"/>
    <w:rsid w:val="6ABC3224"/>
    <w:rsid w:val="6FBB63DA"/>
    <w:rsid w:val="6FF82255"/>
    <w:rsid w:val="70FC12E0"/>
    <w:rsid w:val="78397B5B"/>
    <w:rsid w:val="79082880"/>
    <w:rsid w:val="791B023A"/>
    <w:rsid w:val="799B7ADD"/>
    <w:rsid w:val="7A1A6FF1"/>
    <w:rsid w:val="7C8435E7"/>
    <w:rsid w:val="7F4557A3"/>
    <w:rsid w:val="C3EFA374"/>
    <w:rsid w:val="FFCC8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numPr>
        <w:ilvl w:val="1"/>
        <w:numId w:val="1"/>
      </w:numPr>
      <w:spacing w:before="156" w:after="156"/>
      <w:ind w:firstLine="0" w:firstLineChars="0"/>
      <w:outlineLvl w:val="1"/>
    </w:pPr>
    <w:rPr>
      <w:rFonts w:eastAsia="宋体" w:cs="Times New Roman"/>
      <w:b/>
      <w:bCs/>
      <w:sz w:val="32"/>
      <w:szCs w:val="32"/>
    </w:rPr>
  </w:style>
  <w:style w:type="paragraph" w:styleId="3">
    <w:name w:val="heading 4"/>
    <w:basedOn w:val="1"/>
    <w:next w:val="1"/>
    <w:qFormat/>
    <w:uiPriority w:val="1"/>
    <w:pPr>
      <w:ind w:left="468"/>
      <w:outlineLvl w:val="3"/>
    </w:pPr>
    <w:rPr>
      <w:rFonts w:ascii="宋体" w:hAnsi="宋体" w:cs="宋体"/>
      <w:b/>
      <w:bCs/>
      <w:szCs w:val="21"/>
      <w:lang w:val="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560" w:lineRule="exact"/>
      <w:ind w:left="300"/>
    </w:pPr>
    <w:rPr>
      <w:sz w:val="24"/>
    </w:rPr>
  </w:style>
  <w:style w:type="paragraph" w:styleId="6">
    <w:name w:val="Body Text Indent 2"/>
    <w:basedOn w:val="1"/>
    <w:qFormat/>
    <w:uiPriority w:val="0"/>
    <w:pPr>
      <w:spacing w:after="120" w:line="480" w:lineRule="auto"/>
      <w:ind w:left="420" w:left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0"/>
    <w:pPr>
      <w:ind w:firstLine="420" w:firstLineChars="200"/>
    </w:pPr>
    <w:rPr>
      <w:rFonts w:eastAsia="仿宋"/>
      <w:sz w:val="28"/>
    </w:rPr>
  </w:style>
  <w:style w:type="character" w:styleId="13">
    <w:name w:val="Hyperlink"/>
    <w:basedOn w:val="12"/>
    <w:qFormat/>
    <w:uiPriority w:val="0"/>
    <w:rPr>
      <w:color w:val="0000FF"/>
      <w:u w:val="single"/>
    </w:rPr>
  </w:style>
  <w:style w:type="paragraph" w:styleId="14">
    <w:name w:val="List Paragraph"/>
    <w:basedOn w:val="1"/>
    <w:qFormat/>
    <w:uiPriority w:val="34"/>
    <w:pPr>
      <w:ind w:firstLine="420" w:firstLineChars="200"/>
    </w:pPr>
    <w:rPr>
      <w:rFonts w:eastAsia="黑体"/>
      <w:bCs/>
      <w:sz w:val="30"/>
      <w:szCs w:val="30"/>
    </w:rPr>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1414</Words>
  <Characters>1457</Characters>
  <Lines>11</Lines>
  <Paragraphs>3</Paragraphs>
  <TotalTime>4</TotalTime>
  <ScaleCrop>false</ScaleCrop>
  <LinksUpToDate>false</LinksUpToDate>
  <CharactersWithSpaces>1458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2022-01-20T02:21:00Z</dcterms:created>
  <dc:creator>Admin</dc:creator>
  <cp:lastModifiedBy>zhangshangqing</cp:lastModifiedBy>
  <cp:lastPrinted>2024-11-26T09:48:00Z</cp:lastPrinted>
  <dcterms:modified xsi:type="dcterms:W3CDTF">2025-05-06T09:39:16Z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D5FB5D6A21D64177B47D77B130DDEFA9_13</vt:lpwstr>
  </property>
  <property fmtid="{D5CDD505-2E9C-101B-9397-08002B2CF9AE}" pid="4" name="KSOTemplateDocerSaveRecord">
    <vt:lpwstr>eyJoZGlkIjoiMDk4ZDJkN2I3NzliNGI2ZDQ4NDhiOTM5YTdhNjgzMTIiLCJ1c2VySWQiOiI3Nzk1NjExNDQifQ==</vt:lpwstr>
  </property>
</Properties>
</file>