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省转移市县知识产权专项资金后补助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资金分配方案</w:t>
      </w:r>
    </w:p>
    <w:tbl>
      <w:tblPr>
        <w:tblStyle w:val="2"/>
        <w:tblW w:w="11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370"/>
        <w:gridCol w:w="4421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立项金额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</w:rPr>
              <w:t>企业知识产权管理贯标通过认证资助项目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广东众恒科技有限公司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</w:rPr>
              <w:t>企业知识产权管理贯标通过认证资助项目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广东春天地毯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智能织造有限公司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</w:rPr>
              <w:t>企业知识产权管理贯标通过认证资助项目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</w:rPr>
              <w:t>广东</w:t>
            </w: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孟河中医药研究有限公司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</w:rPr>
              <w:t>国家知识产权优势示范企业资助项目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广东众恒科技有限公司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11B97"/>
    <w:rsid w:val="08E241E6"/>
    <w:rsid w:val="0DD11B97"/>
    <w:rsid w:val="589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2020-09-11T09:38:00Z</dcterms:created>
  <dc:creator>汪颖</dc:creator>
  <cp:lastModifiedBy>刘海红</cp:lastModifiedBy>
  <dcterms:modified xsi:type="dcterms:W3CDTF">2020-09-14T03:24:52Z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