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</w:rPr>
        <w:t>20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  <w:lang w:eastAsia="zh-CN"/>
        </w:rPr>
        <w:t>省级知识产权后补助专项资金项目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国家知识产权优势示范企业资助项目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资金分配方案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tbl>
      <w:tblPr>
        <w:tblStyle w:val="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813"/>
        <w:gridCol w:w="1485"/>
        <w:gridCol w:w="189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  <w:t>获认定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拟补助金额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获得认定类别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  <w:t>认定期限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广东众恒科技有限公司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万元</w:t>
            </w:r>
            <w:bookmarkStart w:id="0" w:name="_GoBack"/>
            <w:bookmarkEnd w:id="0"/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国家知识产权优势企业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>2019.12-2022.11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D769E"/>
    <w:rsid w:val="0E0D769E"/>
    <w:rsid w:val="2064380E"/>
    <w:rsid w:val="529E37ED"/>
    <w:rsid w:val="63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2020-08-31T02:25:00Z</dcterms:created>
  <dc:creator>汪颖</dc:creator>
  <cp:lastModifiedBy>汪颖</cp:lastModifiedBy>
  <dcterms:modified xsi:type="dcterms:W3CDTF">2020-09-01T02:31:54Z</dcterms:modified>
  <dc:title>_x000B_2020年知识产权后补助专项资金项目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