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700" w:lineRule="exact"/>
        <w:jc w:val="center"/>
        <w:rPr>
          <w:rFonts w:hint="eastAsia" w:ascii="黑体" w:hAnsi="黑体" w:eastAsia="黑体" w:cs="黑体"/>
          <w:color w:val="auto"/>
          <w:kern w:val="0"/>
          <w:sz w:val="44"/>
          <w:szCs w:val="44"/>
        </w:rPr>
      </w:pPr>
    </w:p>
    <w:p>
      <w:pPr>
        <w:widowControl/>
        <w:shd w:val="clear" w:color="auto" w:fill="FFFFFF"/>
        <w:spacing w:line="700" w:lineRule="exact"/>
        <w:jc w:val="center"/>
        <w:rPr>
          <w:rFonts w:hint="eastAsia" w:ascii="黑体" w:hAnsi="黑体" w:eastAsia="黑体" w:cs="黑体"/>
          <w:color w:val="auto"/>
          <w:kern w:val="0"/>
          <w:sz w:val="44"/>
          <w:szCs w:val="44"/>
        </w:rPr>
      </w:pPr>
      <w:r>
        <w:rPr>
          <w:rFonts w:hint="eastAsia" w:ascii="黑体" w:hAnsi="黑体" w:eastAsia="黑体" w:cs="黑体"/>
          <w:color w:val="auto"/>
          <w:kern w:val="0"/>
          <w:sz w:val="44"/>
          <w:szCs w:val="44"/>
        </w:rPr>
        <w:t>汕尾市住房公积金资金流动性风险预案</w:t>
      </w:r>
    </w:p>
    <w:p>
      <w:pPr>
        <w:widowControl/>
        <w:shd w:val="clear" w:color="auto" w:fill="FFFFFF"/>
        <w:spacing w:line="700" w:lineRule="exact"/>
        <w:jc w:val="center"/>
        <w:rPr>
          <w:rFonts w:hint="eastAsia" w:ascii="仿宋" w:hAnsi="仿宋" w:eastAsia="仿宋" w:cs="宋体"/>
          <w:b/>
          <w:bCs/>
          <w:color w:val="auto"/>
          <w:kern w:val="0"/>
          <w:sz w:val="32"/>
          <w:szCs w:val="32"/>
        </w:rPr>
      </w:pPr>
      <w:r>
        <w:rPr>
          <w:rFonts w:hint="eastAsia" w:ascii="仿宋" w:hAnsi="仿宋" w:eastAsia="仿宋" w:cs="宋体"/>
          <w:b/>
          <w:bCs/>
          <w:color w:val="auto"/>
          <w:kern w:val="0"/>
          <w:sz w:val="32"/>
          <w:szCs w:val="32"/>
        </w:rPr>
        <w:t>(征求意见稿)</w:t>
      </w:r>
    </w:p>
    <w:p>
      <w:pPr>
        <w:widowControl/>
        <w:shd w:val="clear" w:color="auto" w:fill="FFFFFF"/>
        <w:spacing w:line="700" w:lineRule="exact"/>
        <w:jc w:val="center"/>
        <w:rPr>
          <w:rFonts w:hint="eastAsia" w:ascii="仿宋" w:hAnsi="仿宋" w:eastAsia="仿宋" w:cs="宋体"/>
          <w:b/>
          <w:bCs/>
          <w:color w:val="auto"/>
          <w:kern w:val="0"/>
          <w:sz w:val="32"/>
          <w:szCs w:val="32"/>
        </w:rPr>
      </w:pP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为了防范住房公积金资金流动性风险，维持住房公积金供求平衡，保证资金安全运行，根据我市实际，制定本预案。</w:t>
      </w:r>
      <w:r>
        <w:rPr>
          <w:rFonts w:hint="eastAsia" w:ascii="宋体" w:hAnsi="宋体" w:eastAsia="仿宋" w:cs="宋体"/>
          <w:color w:val="auto"/>
          <w:kern w:val="0"/>
          <w:sz w:val="32"/>
          <w:szCs w:val="32"/>
        </w:rPr>
        <w:t> </w:t>
      </w: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一、资金运行预案建立的目标</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本预案是指对全市住房公积金业务运行过程中发生的资金供求矛盾进行预先发布警示，并及时采取相应对策措施的制度，目标是</w:t>
      </w:r>
      <w:bookmarkStart w:id="0" w:name="_GoBack"/>
      <w:bookmarkEnd w:id="0"/>
      <w:r>
        <w:rPr>
          <w:rFonts w:hint="eastAsia" w:ascii="仿宋" w:hAnsi="仿宋" w:eastAsia="仿宋" w:cs="宋体"/>
          <w:color w:val="auto"/>
          <w:kern w:val="0"/>
          <w:sz w:val="32"/>
          <w:szCs w:val="32"/>
        </w:rPr>
        <w:t>维护资金运行安全，防范资金流动性风险，提高资金使用效益</w:t>
      </w:r>
      <w:r>
        <w:rPr>
          <w:rFonts w:hint="eastAsia" w:ascii="仿宋" w:hAnsi="仿宋" w:eastAsia="仿宋" w:cs="宋体"/>
          <w:color w:val="10243F" w:themeColor="text2" w:themeShade="80"/>
          <w:kern w:val="0"/>
          <w:sz w:val="32"/>
          <w:szCs w:val="32"/>
        </w:rPr>
        <w:t>。</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二、资金运行预警等级的设定</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通过对全市住房公积金业务和资金运行情况进行系统而全面地分析、预测和评价，根据个贷率、资金运行情况、银行存款情况、增值收益进行分析判断，确定以下预警等级：一级预警、二级预警、三级预警。</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三、预警调控措施</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（一）一级预警</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1.状态：个贷率85%-90%（不含），资金净流量连续三个月为负数，个贷率有迅速上升趋势。</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2.调控措施：</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（1）通过对各项业务指标的监控，关注资金走向，做好数据分析，为制定防范流动性风险资金筹措方案和贷款政策调整预案做好准备。</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w:t>
      </w:r>
      <w:r>
        <w:rPr>
          <w:rFonts w:hint="eastAsia" w:ascii="宋体" w:hAnsi="宋体" w:eastAsia="仿宋" w:cs="宋体"/>
          <w:color w:val="auto"/>
          <w:kern w:val="0"/>
          <w:sz w:val="32"/>
          <w:szCs w:val="32"/>
        </w:rPr>
        <w:t> </w:t>
      </w:r>
      <w:r>
        <w:rPr>
          <w:rFonts w:hint="eastAsia" w:ascii="仿宋" w:hAnsi="仿宋" w:eastAsia="仿宋" w:cs="宋体"/>
          <w:color w:val="auto"/>
          <w:kern w:val="0"/>
          <w:sz w:val="32"/>
          <w:szCs w:val="32"/>
        </w:rPr>
        <w:t>[1]</w:t>
      </w:r>
      <w:r>
        <w:rPr>
          <w:rFonts w:hint="eastAsia" w:ascii="宋体" w:hAnsi="宋体" w:eastAsia="仿宋" w:cs="宋体"/>
          <w:color w:val="auto"/>
          <w:kern w:val="0"/>
          <w:sz w:val="32"/>
          <w:szCs w:val="32"/>
        </w:rPr>
        <w:t> </w:t>
      </w:r>
      <w:r>
        <w:rPr>
          <w:rFonts w:hint="eastAsia" w:ascii="仿宋" w:hAnsi="仿宋" w:eastAsia="仿宋" w:cs="宋体"/>
          <w:color w:val="auto"/>
          <w:kern w:val="0"/>
          <w:sz w:val="32"/>
          <w:szCs w:val="32"/>
        </w:rPr>
        <w:t>“个贷率”是指某一时点个人住房贷款使用比率</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个贷率=（住房公积金个人贷款余额/住房公积金缴存余额）*100%</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（2）定期做好资金存量及贷款资金需求分析报表，做好定期存款、银行大额存单提前兑付计划。</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（3）做好出台限制贷款和公积金提取及贷款放款方式相关文件准备。</w:t>
      </w:r>
      <w:r>
        <w:rPr>
          <w:rFonts w:hint="eastAsia" w:ascii="宋体" w:hAnsi="宋体" w:eastAsia="仿宋" w:cs="宋体"/>
          <w:color w:val="auto"/>
          <w:kern w:val="0"/>
          <w:sz w:val="32"/>
          <w:szCs w:val="32"/>
        </w:rPr>
        <w:t> </w:t>
      </w: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（4）做好停止商业性银行住房贷款转公积金贷款业务准备。</w:t>
      </w:r>
      <w:r>
        <w:rPr>
          <w:rFonts w:hint="eastAsia" w:ascii="宋体" w:hAnsi="宋体" w:eastAsia="仿宋" w:cs="宋体"/>
          <w:color w:val="auto"/>
          <w:kern w:val="0"/>
          <w:sz w:val="32"/>
          <w:szCs w:val="32"/>
        </w:rPr>
        <w:t> </w:t>
      </w: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（5）做好暂停住房公积金异地贷款业务准备。</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（二）二级预警</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1.状态：个贷率90%-95%（含），资金净流量持续为负数，个贷率持续加大，贷款刚需持续加大。</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2.调控措施：在继续实施一级预警相关措施的基础上做好如下工作：</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（1）定期做好资金存量及贷款资金需求分析报表，根据资金需求按计划做好定期存款和大额存单的提前兑付。</w:t>
      </w:r>
    </w:p>
    <w:p>
      <w:pPr>
        <w:widowControl/>
        <w:shd w:val="clear" w:color="auto" w:fill="FFFFFF"/>
        <w:spacing w:line="700" w:lineRule="exact"/>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（2）暂停商业性银行住房贷款转住房公积金贷款业务，启用贷款轮候，优先保障首套住房贷款使用住房公积金的需求。</w:t>
      </w:r>
    </w:p>
    <w:p>
      <w:pPr>
        <w:widowControl/>
        <w:shd w:val="clear" w:color="auto" w:fill="FFFFFF"/>
        <w:spacing w:line="700" w:lineRule="exact"/>
        <w:ind w:firstLine="640" w:firstLineChars="20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（3）暂停办理异地缴存职工在本地购房申请住房公积金贷款业务。</w:t>
      </w: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（4） 将最高贷款额度调整为现行额度的90%（取整万数），即最高贷款额度为单方申请27万，多方申请45万。</w:t>
      </w:r>
      <w:r>
        <w:rPr>
          <w:rFonts w:hint="eastAsia" w:ascii="宋体" w:hAnsi="宋体" w:eastAsia="仿宋" w:cs="宋体"/>
          <w:color w:val="auto"/>
          <w:kern w:val="0"/>
          <w:sz w:val="32"/>
          <w:szCs w:val="32"/>
        </w:rPr>
        <w:t> </w:t>
      </w: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（5）将个人最高贷款额度计算倍数由12倍调整为10倍。</w:t>
      </w: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（6）</w:t>
      </w:r>
      <w:r>
        <w:rPr>
          <w:rFonts w:hint="eastAsia" w:ascii="仿宋" w:hAnsi="仿宋" w:eastAsia="仿宋" w:cs="仿宋_GB2312"/>
          <w:color w:val="auto"/>
          <w:sz w:val="32"/>
          <w:szCs w:val="32"/>
        </w:rPr>
        <w:t>提取原因为“购房首付款提取” ，在办理住房公积金提取时，职工及配偶必须各留存不少于最近6个月的缴存额</w:t>
      </w:r>
      <w:r>
        <w:rPr>
          <w:rFonts w:hint="eastAsia" w:ascii="仿宋" w:hAnsi="仿宋" w:eastAsia="仿宋" w:cs="宋体"/>
          <w:color w:val="auto"/>
          <w:kern w:val="0"/>
          <w:sz w:val="32"/>
          <w:szCs w:val="32"/>
        </w:rPr>
        <w:t>。</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（三）三级预警</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1.状态：个贷率95%以上，资金净流量持续为负数。</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2.调控措施：在继续实施一级、二级预警相关措施的基础上做好如下工作：</w:t>
      </w:r>
      <w:r>
        <w:rPr>
          <w:rFonts w:hint="eastAsia" w:ascii="宋体" w:hAnsi="宋体" w:eastAsia="仿宋" w:cs="宋体"/>
          <w:color w:val="auto"/>
          <w:kern w:val="0"/>
          <w:sz w:val="32"/>
          <w:szCs w:val="32"/>
        </w:rPr>
        <w:t> </w:t>
      </w: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（1）将最高贷款额度调整为现行额度的80%（取整万数），</w:t>
      </w:r>
      <w:r>
        <w:rPr>
          <w:rFonts w:hint="eastAsia" w:ascii="仿宋" w:hAnsi="仿宋" w:eastAsia="仿宋" w:cs="宋体"/>
          <w:color w:val="auto"/>
          <w:sz w:val="32"/>
          <w:szCs w:val="32"/>
        </w:rPr>
        <w:t>即最高贷款额度为单方申请24万，多方申请40万</w:t>
      </w:r>
      <w:r>
        <w:rPr>
          <w:rFonts w:hint="eastAsia" w:ascii="仿宋" w:hAnsi="仿宋" w:eastAsia="仿宋" w:cs="宋体"/>
          <w:color w:val="auto"/>
          <w:kern w:val="0"/>
          <w:sz w:val="32"/>
          <w:szCs w:val="32"/>
        </w:rPr>
        <w:t>。</w:t>
      </w:r>
    </w:p>
    <w:p>
      <w:pPr>
        <w:widowControl/>
        <w:shd w:val="clear" w:color="auto" w:fill="FFFFFF"/>
        <w:spacing w:line="700" w:lineRule="exact"/>
        <w:ind w:firstLine="640"/>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（2）</w:t>
      </w:r>
      <w:r>
        <w:rPr>
          <w:rFonts w:hint="eastAsia" w:ascii="仿宋" w:hAnsi="仿宋" w:eastAsia="仿宋" w:cs="仿宋_GB2312"/>
          <w:color w:val="auto"/>
          <w:sz w:val="32"/>
          <w:szCs w:val="32"/>
        </w:rPr>
        <w:t>提取原因为“购房首付款提取”，在办理住房公积金提取时，职工及配偶必须各留存不少于最近12个月的缴存额</w:t>
      </w:r>
      <w:r>
        <w:rPr>
          <w:rFonts w:hint="eastAsia" w:ascii="仿宋" w:hAnsi="仿宋" w:eastAsia="仿宋" w:cs="宋体"/>
          <w:color w:val="auto"/>
          <w:kern w:val="0"/>
          <w:sz w:val="32"/>
          <w:szCs w:val="32"/>
        </w:rPr>
        <w:t>。</w:t>
      </w:r>
    </w:p>
    <w:p>
      <w:pPr>
        <w:widowControl/>
        <w:shd w:val="clear" w:color="auto" w:fill="FFFFFF"/>
        <w:spacing w:line="700" w:lineRule="exact"/>
        <w:ind w:firstLine="640"/>
        <w:jc w:val="left"/>
        <w:rPr>
          <w:rFonts w:ascii="仿宋" w:hAnsi="仿宋" w:eastAsia="仿宋" w:cs="宋体"/>
          <w:color w:val="auto"/>
          <w:sz w:val="32"/>
          <w:szCs w:val="32"/>
        </w:rPr>
      </w:pPr>
      <w:r>
        <w:rPr>
          <w:rFonts w:hint="eastAsia" w:ascii="仿宋" w:hAnsi="仿宋" w:eastAsia="仿宋" w:cs="宋体"/>
          <w:color w:val="auto"/>
          <w:kern w:val="0"/>
          <w:sz w:val="32"/>
          <w:szCs w:val="32"/>
        </w:rPr>
        <w:t>（3）</w:t>
      </w:r>
      <w:r>
        <w:rPr>
          <w:rFonts w:hint="eastAsia" w:ascii="仿宋" w:hAnsi="仿宋" w:eastAsia="仿宋" w:cs="宋体"/>
          <w:color w:val="auto"/>
          <w:sz w:val="32"/>
          <w:szCs w:val="32"/>
        </w:rPr>
        <w:t>将个人最高贷款额度计算倍数由10倍调整为8倍。</w:t>
      </w:r>
    </w:p>
    <w:p>
      <w:pPr>
        <w:widowControl/>
        <w:shd w:val="clear" w:color="auto" w:fill="FFFFFF"/>
        <w:spacing w:line="700" w:lineRule="exact"/>
        <w:ind w:firstLine="640" w:firstLineChars="200"/>
        <w:jc w:val="left"/>
        <w:rPr>
          <w:rFonts w:ascii="仿宋" w:hAnsi="仿宋" w:eastAsia="仿宋" w:cs="宋体"/>
          <w:color w:val="auto"/>
          <w:kern w:val="0"/>
          <w:sz w:val="32"/>
          <w:szCs w:val="32"/>
        </w:rPr>
      </w:pP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四、发布资金流动性风险预案</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预警等级及相应的调控措施的启用，由市住房公积金管理中心通过住房公积金网站、微信公众号、手机app等公开渠道提前10日向社会公布。</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w:t>
      </w:r>
      <w:r>
        <w:rPr>
          <w:rFonts w:hint="eastAsia" w:ascii="宋体" w:hAnsi="宋体" w:eastAsia="仿宋" w:cs="宋体"/>
          <w:color w:val="auto"/>
          <w:kern w:val="0"/>
          <w:sz w:val="32"/>
          <w:szCs w:val="32"/>
        </w:rPr>
        <w:t> </w:t>
      </w:r>
    </w:p>
    <w:p>
      <w:pPr>
        <w:widowControl/>
        <w:shd w:val="clear" w:color="auto" w:fill="FFFFFF"/>
        <w:spacing w:line="700" w:lineRule="exact"/>
        <w:jc w:val="left"/>
        <w:rPr>
          <w:rFonts w:ascii="仿宋" w:hAnsi="仿宋" w:eastAsia="仿宋" w:cs="宋体"/>
          <w:color w:val="auto"/>
          <w:kern w:val="0"/>
          <w:sz w:val="32"/>
          <w:szCs w:val="32"/>
        </w:rPr>
      </w:pPr>
      <w:r>
        <w:rPr>
          <w:rFonts w:hint="eastAsia" w:ascii="仿宋" w:hAnsi="仿宋" w:eastAsia="仿宋" w:cs="宋体"/>
          <w:color w:val="auto"/>
          <w:kern w:val="0"/>
          <w:sz w:val="32"/>
          <w:szCs w:val="32"/>
        </w:rPr>
        <w:t>　　本预案自公布之日起正式实施。</w:t>
      </w:r>
      <w:r>
        <w:rPr>
          <w:rFonts w:hint="eastAsia" w:ascii="宋体" w:hAnsi="宋体" w:eastAsia="仿宋" w:cs="宋体"/>
          <w:color w:val="auto"/>
          <w:kern w:val="0"/>
          <w:sz w:val="32"/>
          <w:szCs w:val="32"/>
        </w:rPr>
        <w:t> </w:t>
      </w:r>
    </w:p>
    <w:p>
      <w:pPr>
        <w:spacing w:line="700" w:lineRule="exact"/>
        <w:rPr>
          <w:rFonts w:ascii="宋体" w:hAnsi="宋体" w:eastAsia="宋体" w:cs="宋体"/>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712D4"/>
    <w:rsid w:val="000202E6"/>
    <w:rsid w:val="002761CB"/>
    <w:rsid w:val="002778C2"/>
    <w:rsid w:val="002C0E3E"/>
    <w:rsid w:val="0047212D"/>
    <w:rsid w:val="006D2BEC"/>
    <w:rsid w:val="007D01A7"/>
    <w:rsid w:val="007E0A43"/>
    <w:rsid w:val="00852E6E"/>
    <w:rsid w:val="00931037"/>
    <w:rsid w:val="00A32EC2"/>
    <w:rsid w:val="00B712D4"/>
    <w:rsid w:val="00D272B6"/>
    <w:rsid w:val="00FA2AE8"/>
    <w:rsid w:val="05B1233A"/>
    <w:rsid w:val="112B4D19"/>
    <w:rsid w:val="11584E86"/>
    <w:rsid w:val="12266DA4"/>
    <w:rsid w:val="31556B4B"/>
    <w:rsid w:val="34CE19E6"/>
    <w:rsid w:val="3FD72CC7"/>
    <w:rsid w:val="409728ED"/>
    <w:rsid w:val="4D703FBF"/>
    <w:rsid w:val="4E0518D5"/>
    <w:rsid w:val="58F12EC7"/>
    <w:rsid w:val="5B3E347B"/>
    <w:rsid w:val="5D370159"/>
    <w:rsid w:val="73A056D7"/>
    <w:rsid w:val="7FB50F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article_print"/>
    <w:basedOn w:val="7"/>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199</Words>
  <Characters>1137</Characters>
  <Lines>9</Lines>
  <Paragraphs>2</Paragraphs>
  <TotalTime>32</TotalTime>
  <ScaleCrop>false</ScaleCrop>
  <LinksUpToDate>false</LinksUpToDate>
  <CharactersWithSpaces>1334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2020-08-17T02:35:00Z</dcterms:created>
  <dc:creator>lenovo</dc:creator>
  <cp:lastModifiedBy>Administrator</cp:lastModifiedBy>
  <dcterms:modified xsi:type="dcterms:W3CDTF">2020-08-27T10:47:53Z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