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2" w:firstLineChars="100"/>
        <w:rPr>
          <w:rFonts w:hint="eastAsia" w:ascii="黑体" w:hAnsi="黑体" w:eastAsia="黑体" w:cs="黑体"/>
          <w:b/>
          <w:bCs/>
          <w:sz w:val="44"/>
          <w:szCs w:val="44"/>
        </w:rPr>
      </w:pPr>
    </w:p>
    <w:p>
      <w:pPr>
        <w:ind w:firstLine="440" w:firstLineChars="100"/>
        <w:rPr>
          <w:rFonts w:hint="eastAsia" w:ascii="黑体" w:hAnsi="黑体" w:eastAsia="黑体" w:cs="黑体"/>
          <w:b w:val="0"/>
          <w:bCs w:val="0"/>
          <w:sz w:val="44"/>
          <w:szCs w:val="44"/>
        </w:rPr>
      </w:pPr>
      <w:r>
        <w:rPr>
          <w:rFonts w:hint="eastAsia" w:ascii="黑体" w:hAnsi="黑体" w:eastAsia="黑体" w:cs="黑体"/>
          <w:b w:val="0"/>
          <w:bCs w:val="0"/>
          <w:sz w:val="44"/>
          <w:szCs w:val="44"/>
        </w:rPr>
        <w:t>关于《汕尾市住房公积金骗提骗贷行为</w:t>
      </w:r>
    </w:p>
    <w:p>
      <w:pPr>
        <w:jc w:val="center"/>
        <w:rPr>
          <w:rFonts w:hint="eastAsia" w:ascii="黑体" w:hAnsi="黑体" w:eastAsia="黑体" w:cs="黑体"/>
          <w:b w:val="0"/>
          <w:bCs w:val="0"/>
          <w:sz w:val="44"/>
          <w:szCs w:val="44"/>
          <w:lang w:eastAsia="zh-CN"/>
        </w:rPr>
      </w:pPr>
      <w:r>
        <w:rPr>
          <w:rFonts w:hint="eastAsia" w:ascii="黑体" w:hAnsi="黑体" w:eastAsia="黑体" w:cs="黑体"/>
          <w:b w:val="0"/>
          <w:bCs w:val="0"/>
          <w:sz w:val="44"/>
          <w:szCs w:val="44"/>
        </w:rPr>
        <w:t>处理办法</w:t>
      </w:r>
      <w:r>
        <w:rPr>
          <w:rFonts w:hint="eastAsia" w:ascii="黑体" w:hAnsi="黑体" w:eastAsia="黑体" w:cs="黑体"/>
          <w:b w:val="0"/>
          <w:bCs w:val="0"/>
          <w:sz w:val="44"/>
          <w:szCs w:val="44"/>
          <w:lang w:eastAsia="zh-CN"/>
        </w:rPr>
        <w:t>（征求意见稿）</w:t>
      </w:r>
      <w:r>
        <w:rPr>
          <w:rFonts w:hint="eastAsia" w:ascii="黑体" w:hAnsi="黑体" w:eastAsia="黑体" w:cs="黑体"/>
          <w:b w:val="0"/>
          <w:bCs w:val="0"/>
          <w:sz w:val="44"/>
          <w:szCs w:val="44"/>
        </w:rPr>
        <w:t>》</w:t>
      </w:r>
      <w:r>
        <w:rPr>
          <w:rFonts w:hint="eastAsia" w:ascii="黑体" w:hAnsi="黑体" w:eastAsia="黑体" w:cs="黑体"/>
          <w:b w:val="0"/>
          <w:bCs w:val="0"/>
          <w:sz w:val="44"/>
          <w:szCs w:val="44"/>
          <w:lang w:eastAsia="zh-CN"/>
        </w:rPr>
        <w:t>起草说明</w:t>
      </w:r>
    </w:p>
    <w:p>
      <w:pPr>
        <w:jc w:val="center"/>
        <w:rPr>
          <w:rFonts w:hint="eastAsia" w:ascii="黑体" w:hAnsi="黑体" w:eastAsia="黑体" w:cs="黑体"/>
          <w:b w:val="0"/>
          <w:bCs w:val="0"/>
          <w:sz w:val="44"/>
          <w:szCs w:val="44"/>
          <w:lang w:eastAsia="zh-CN"/>
        </w:rPr>
      </w:pP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一、制定背景</w:t>
      </w:r>
    </w:p>
    <w:p>
      <w:pPr>
        <w:ind w:firstLine="640" w:firstLineChars="200"/>
        <w:rPr>
          <w:rFonts w:ascii="仿宋" w:hAnsi="仿宋" w:eastAsia="仿宋" w:cs="仿宋"/>
          <w:sz w:val="32"/>
          <w:szCs w:val="32"/>
        </w:rPr>
      </w:pPr>
      <w:r>
        <w:rPr>
          <w:rFonts w:hint="eastAsia" w:ascii="仿宋" w:hAnsi="仿宋" w:eastAsia="仿宋" w:cs="仿宋"/>
          <w:sz w:val="32"/>
          <w:szCs w:val="32"/>
        </w:rPr>
        <w:t>1、严查骗提骗贷行为的需要</w:t>
      </w:r>
      <w:r>
        <w:rPr>
          <w:rFonts w:hint="eastAsia" w:ascii="仿宋" w:hAnsi="仿宋" w:eastAsia="仿宋" w:cs="仿宋"/>
          <w:color w:val="222A35" w:themeColor="text2" w:themeShade="80"/>
          <w:sz w:val="32"/>
          <w:szCs w:val="32"/>
        </w:rPr>
        <w:t>。</w:t>
      </w:r>
      <w:r>
        <w:rPr>
          <w:rFonts w:hint="eastAsia" w:ascii="仿宋" w:hAnsi="仿宋" w:eastAsia="仿宋" w:cs="仿宋"/>
          <w:sz w:val="32"/>
          <w:szCs w:val="32"/>
        </w:rPr>
        <w:t>2018年以来，住房城乡建设部、公安部等部委以及省住房城乡建设厅、公安厅等部门相继发文，要求各地住房公积金管理中心在治理违规提取方面持续加大力度，重点打击伪造证明材料、虚构住房消费行为等欺骗手段违规提取、骗取贷款的行为进行全面治理行动。但由于欠缺相关骗提骗贷行为处理方面的规章制度，对职工本人及协助职工实施骗提骗贷行为的中介机构没有明确的处理规定，因此急需完善相关工作程序，加大处理力度，扩大震慑力，达到遏制住房公积金骗提骗贷行为发生的目的。</w:t>
      </w:r>
    </w:p>
    <w:p>
      <w:pPr>
        <w:ind w:firstLine="640" w:firstLineChars="200"/>
        <w:rPr>
          <w:rFonts w:ascii="仿宋" w:hAnsi="仿宋" w:eastAsia="仿宋" w:cs="仿宋"/>
          <w:sz w:val="32"/>
          <w:szCs w:val="32"/>
        </w:rPr>
      </w:pPr>
      <w:r>
        <w:rPr>
          <w:rFonts w:hint="eastAsia" w:ascii="仿宋" w:hAnsi="仿宋" w:eastAsia="仿宋" w:cs="仿宋"/>
          <w:sz w:val="32"/>
          <w:szCs w:val="32"/>
        </w:rPr>
        <w:t>2、开展扫黑除恶专项斗争的需要。</w:t>
      </w:r>
      <w:r>
        <w:rPr>
          <w:rFonts w:hint="eastAsia" w:ascii="仿宋" w:hAnsi="仿宋" w:eastAsia="仿宋" w:cs="仿宋"/>
          <w:color w:val="343434"/>
          <w:kern w:val="0"/>
          <w:sz w:val="32"/>
          <w:szCs w:val="32"/>
          <w:lang w:bidi="ar"/>
        </w:rPr>
        <w:t>根据</w:t>
      </w:r>
      <w:r>
        <w:rPr>
          <w:rFonts w:hint="eastAsia" w:ascii="仿宋" w:hAnsi="仿宋" w:eastAsia="仿宋" w:cs="仿宋"/>
          <w:sz w:val="32"/>
          <w:szCs w:val="32"/>
          <w:shd w:val="clear" w:color="auto" w:fill="FFFFFF"/>
        </w:rPr>
        <w:t>《住房城乡建设部 财政部 人民银行 公安部关于开展治理违规提取住房公积金工作的通知》（建金〔2018〕46号），其中明确规定职工存在骗提骗贷行为的，对已提取资金的，要责令限期全额退回，在一定期限内限制其住房公积金提取和贷款。</w:t>
      </w:r>
      <w:r>
        <w:rPr>
          <w:rFonts w:hint="eastAsia" w:ascii="仿宋" w:hAnsi="仿宋" w:eastAsia="仿宋" w:cs="仿宋"/>
          <w:sz w:val="32"/>
          <w:szCs w:val="32"/>
        </w:rPr>
        <w:t>结合现阶段开展扫黑除恶专项斗争的形势，重点打击涉及住房公积金领域的涉黑涉恶涉乱等行为，出台一份查处骗提骗贷行为规范性文件的时机已经成熟，将进一步规范骗提骗贷行为的定义以及查处的种类、程序、处理结果等。同时也有利于强化住房公积金政策宣传，教育职工通过合法合规途径提取住房公积金及申请住房公积金贷款，全面推进住房公积金政策普惠。</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二、主要内容</w:t>
      </w:r>
    </w:p>
    <w:p>
      <w:pPr>
        <w:ind w:firstLine="640" w:firstLineChars="200"/>
        <w:rPr>
          <w:rFonts w:ascii="仿宋" w:hAnsi="仿宋" w:eastAsia="仿宋" w:cs="仿宋"/>
          <w:sz w:val="32"/>
          <w:szCs w:val="32"/>
        </w:rPr>
      </w:pPr>
      <w:r>
        <w:rPr>
          <w:rFonts w:hint="eastAsia" w:ascii="仿宋" w:hAnsi="仿宋" w:eastAsia="仿宋" w:cs="仿宋"/>
          <w:sz w:val="32"/>
          <w:szCs w:val="32"/>
        </w:rPr>
        <w:t>本办法共有二十七条，第一、二条为制定依据和适用范围。第三至第六条为骗提、骗贷行为的定义及视同骗提、骗贷行为的情形，骗提行为包括7种行为，骗贷行为包括6种行为，视同骗提行为包括2种情形，视同骗贷行为包括2种情形。第七至第十四条为处理骗提骗贷行为的立案、调查、处理决定、送达程序。第十五条至第二十二条为对骗提骗贷行为的处理决定内容。第二十三条为处理条款，第二十四条为责任条例，第二十五条为从轻、减轻条款，第二十六、二十七条为其他条款。</w:t>
      </w:r>
    </w:p>
    <w:p>
      <w:pPr>
        <w:ind w:firstLine="643" w:firstLineChars="200"/>
        <w:rPr>
          <w:rFonts w:ascii="仿宋" w:hAnsi="仿宋" w:eastAsia="仿宋" w:cs="黑体"/>
          <w:b/>
          <w:bCs/>
          <w:color w:val="000000"/>
          <w:sz w:val="32"/>
          <w:szCs w:val="32"/>
        </w:rPr>
      </w:pPr>
      <w:r>
        <w:rPr>
          <w:rFonts w:hint="eastAsia" w:ascii="仿宋" w:hAnsi="仿宋" w:eastAsia="仿宋" w:cs="黑体"/>
          <w:b/>
          <w:bCs/>
          <w:color w:val="000000"/>
          <w:sz w:val="32"/>
          <w:szCs w:val="32"/>
        </w:rPr>
        <w:t>三、法规政策依据</w:t>
      </w:r>
    </w:p>
    <w:p>
      <w:pPr>
        <w:ind w:firstLine="642"/>
        <w:rPr>
          <w:rFonts w:ascii="仿宋" w:hAnsi="仿宋" w:eastAsia="仿宋" w:cs="黑体"/>
          <w:color w:val="000000"/>
          <w:sz w:val="32"/>
          <w:szCs w:val="32"/>
        </w:rPr>
      </w:pPr>
      <w:r>
        <w:rPr>
          <w:rFonts w:hint="eastAsia" w:ascii="仿宋" w:hAnsi="仿宋" w:eastAsia="仿宋" w:cs="黑体"/>
          <w:color w:val="000000"/>
          <w:sz w:val="32"/>
          <w:szCs w:val="32"/>
        </w:rPr>
        <w:t>1、《中华人民共和国行政处罚法》</w:t>
      </w:r>
    </w:p>
    <w:p>
      <w:pPr>
        <w:ind w:firstLine="642"/>
        <w:rPr>
          <w:rFonts w:ascii="仿宋" w:hAnsi="仿宋" w:eastAsia="仿宋" w:cs="黑体"/>
          <w:color w:val="000000"/>
          <w:sz w:val="32"/>
          <w:szCs w:val="32"/>
        </w:rPr>
      </w:pPr>
      <w:r>
        <w:rPr>
          <w:rFonts w:hint="eastAsia" w:ascii="仿宋" w:hAnsi="仿宋" w:eastAsia="仿宋" w:cs="黑体"/>
          <w:color w:val="000000"/>
          <w:sz w:val="32"/>
          <w:szCs w:val="32"/>
        </w:rPr>
        <w:t>2、《中华人民共和国行政强制法》</w:t>
      </w:r>
    </w:p>
    <w:p>
      <w:pPr>
        <w:ind w:firstLine="642"/>
        <w:rPr>
          <w:rFonts w:ascii="仿宋" w:hAnsi="仿宋" w:eastAsia="仿宋" w:cs="黑体"/>
          <w:color w:val="000000"/>
          <w:sz w:val="32"/>
          <w:szCs w:val="32"/>
        </w:rPr>
      </w:pPr>
      <w:r>
        <w:rPr>
          <w:rFonts w:hint="eastAsia" w:ascii="仿宋" w:hAnsi="仿宋" w:eastAsia="仿宋" w:cs="黑体"/>
          <w:color w:val="000000"/>
          <w:sz w:val="32"/>
          <w:szCs w:val="32"/>
        </w:rPr>
        <w:t>3、《住房公积金管理条例》（国务院令第710号）</w:t>
      </w:r>
    </w:p>
    <w:p>
      <w:pPr>
        <w:ind w:firstLine="640" w:firstLineChars="200"/>
        <w:rPr>
          <w:rFonts w:hint="eastAsia" w:ascii="仿宋" w:hAnsi="仿宋" w:eastAsia="仿宋" w:cs="仿宋"/>
          <w:color w:val="000000"/>
          <w:sz w:val="32"/>
          <w:szCs w:val="32"/>
        </w:rPr>
      </w:pPr>
      <w:r>
        <w:rPr>
          <w:rFonts w:hint="eastAsia" w:ascii="仿宋" w:hAnsi="仿宋" w:eastAsia="仿宋" w:cs="黑体"/>
          <w:color w:val="000000"/>
          <w:sz w:val="32"/>
          <w:szCs w:val="32"/>
        </w:rPr>
        <w:t>4、</w:t>
      </w:r>
      <w:r>
        <w:rPr>
          <w:rFonts w:hint="eastAsia" w:ascii="Times New Roman" w:eastAsia="仿宋_GB2312" w:cs="仿宋"/>
          <w:sz w:val="32"/>
          <w:szCs w:val="32"/>
          <w:shd w:val="clear" w:color="auto" w:fill="FFFFFF"/>
        </w:rPr>
        <w:t>《住房城乡建设部 财政部 人民银行 公安部关于开展治理违规提取住房公积金工作的通知》（</w:t>
      </w:r>
      <w:r>
        <w:rPr>
          <w:rFonts w:hint="eastAsia" w:ascii="仿宋" w:hAnsi="仿宋" w:eastAsia="仿宋" w:cs="仿宋"/>
          <w:sz w:val="32"/>
          <w:szCs w:val="32"/>
          <w:shd w:val="clear" w:color="auto" w:fill="FFFFFF"/>
        </w:rPr>
        <w:t>建金〔2018〕46号）</w:t>
      </w:r>
    </w:p>
    <w:p>
      <w:pPr>
        <w:ind w:firstLine="640" w:firstLineChars="200"/>
        <w:rPr>
          <w:rFonts w:ascii="仿宋" w:hAnsi="仿宋" w:eastAsia="仿宋" w:cs="仿宋"/>
          <w:color w:val="000000"/>
          <w:sz w:val="32"/>
          <w:szCs w:val="32"/>
        </w:rPr>
      </w:pPr>
      <w:r>
        <w:rPr>
          <w:rFonts w:hint="eastAsia" w:ascii="仿宋" w:hAnsi="仿宋" w:eastAsia="仿宋" w:cs="仿宋"/>
          <w:sz w:val="32"/>
          <w:szCs w:val="32"/>
          <w:shd w:val="clear" w:color="auto" w:fill="FFFFFF"/>
        </w:rPr>
        <w:t>5、广东省住房和城乡建设厅《关于加强我省住房公积金提取管理有关问题的通知》（粤建金函〔2010〕311号）</w:t>
      </w:r>
    </w:p>
    <w:p>
      <w:pPr>
        <w:ind w:firstLine="640" w:firstLineChars="200"/>
        <w:rPr>
          <w:rFonts w:ascii="仿宋" w:hAnsi="仿宋" w:eastAsia="仿宋" w:cs="仿宋_GB2312"/>
          <w:bCs/>
          <w:sz w:val="32"/>
          <w:szCs w:val="32"/>
        </w:rPr>
      </w:pPr>
    </w:p>
    <w:p>
      <w:pPr>
        <w:rPr>
          <w:rFonts w:ascii="仿宋" w:hAnsi="仿宋" w:eastAsia="仿宋" w:cs="仿宋"/>
          <w:sz w:val="32"/>
          <w:szCs w:val="32"/>
        </w:rPr>
      </w:pPr>
      <w:bookmarkStart w:id="0" w:name="_GoBack"/>
      <w:bookmarkEnd w:id="0"/>
    </w:p>
    <w:p/>
    <w:sectPr>
      <w:footerReference r:id="rId3" w:type="default"/>
      <w:pgSz w:w="11906" w:h="16838"/>
      <w:pgMar w:top="2154" w:right="1800" w:bottom="149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6C0"/>
    <w:rsid w:val="00057385"/>
    <w:rsid w:val="00447BF3"/>
    <w:rsid w:val="00494AA1"/>
    <w:rsid w:val="005F46C0"/>
    <w:rsid w:val="00BB38B7"/>
    <w:rsid w:val="00C65DB8"/>
    <w:rsid w:val="00C80CFD"/>
    <w:rsid w:val="00C8467B"/>
    <w:rsid w:val="00D05AB4"/>
    <w:rsid w:val="00D86A3C"/>
    <w:rsid w:val="00DF7FE2"/>
    <w:rsid w:val="00F076B1"/>
    <w:rsid w:val="1A050157"/>
    <w:rsid w:val="25BB4C38"/>
    <w:rsid w:val="3C5B6737"/>
    <w:rsid w:val="40FF4943"/>
    <w:rsid w:val="42500750"/>
    <w:rsid w:val="436F5E1D"/>
    <w:rsid w:val="52F83CEB"/>
    <w:rsid w:val="5E3E4417"/>
    <w:rsid w:val="5F2216F5"/>
    <w:rsid w:val="667C1259"/>
    <w:rsid w:val="68B10632"/>
    <w:rsid w:val="7A2C683A"/>
    <w:rsid w:val="7C3E5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216</Words>
  <Characters>1236</Characters>
  <Lines>10</Lines>
  <Paragraphs>2</Paragraphs>
  <TotalTime>13</TotalTime>
  <ScaleCrop>false</ScaleCrop>
  <LinksUpToDate>false</LinksUpToDate>
  <CharactersWithSpaces>1450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2020-01-06T07:37:00Z</dcterms:created>
  <dc:creator>Administrator</dc:creator>
  <cp:lastModifiedBy>Administrator</cp:lastModifiedBy>
  <dcterms:modified xsi:type="dcterms:W3CDTF">2020-08-27T12:34:26Z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