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关于《</w:t>
      </w:r>
      <w:r>
        <w:rPr>
          <w:rFonts w:hint="eastAsia" w:ascii="仿宋" w:hAnsi="仿宋" w:eastAsia="仿宋" w:cs="仿宋"/>
          <w:b/>
          <w:bCs/>
          <w:sz w:val="44"/>
          <w:szCs w:val="44"/>
          <w:lang w:eastAsia="zh-CN"/>
        </w:rPr>
        <w:t>汕尾</w:t>
      </w:r>
      <w:r>
        <w:rPr>
          <w:rFonts w:hint="eastAsia" w:ascii="仿宋" w:hAnsi="仿宋" w:eastAsia="仿宋" w:cs="仿宋"/>
          <w:b/>
          <w:bCs/>
          <w:sz w:val="44"/>
          <w:szCs w:val="44"/>
        </w:rPr>
        <w:t>市住房公积金行政处罚自由裁量权规定</w:t>
      </w:r>
      <w:r>
        <w:rPr>
          <w:rFonts w:hint="eastAsia" w:ascii="仿宋" w:hAnsi="仿宋" w:eastAsia="仿宋" w:cs="仿宋"/>
          <w:b/>
          <w:bCs/>
          <w:sz w:val="44"/>
          <w:szCs w:val="44"/>
          <w:lang w:eastAsia="zh-CN"/>
        </w:rPr>
        <w:t>（征求意见稿）</w:t>
      </w:r>
      <w:r>
        <w:rPr>
          <w:rFonts w:hint="eastAsia" w:ascii="仿宋" w:hAnsi="仿宋" w:eastAsia="仿宋" w:cs="仿宋"/>
          <w:b/>
          <w:bCs/>
          <w:sz w:val="44"/>
          <w:szCs w:val="44"/>
        </w:rPr>
        <w:t>》</w:t>
      </w:r>
      <w:r>
        <w:rPr>
          <w:rFonts w:hint="eastAsia" w:ascii="仿宋" w:hAnsi="仿宋" w:eastAsia="仿宋" w:cs="仿宋"/>
          <w:b/>
          <w:bCs/>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bCs/>
          <w:sz w:val="44"/>
          <w:szCs w:val="44"/>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一、制定的背景</w:t>
      </w:r>
    </w:p>
    <w:p>
      <w:pPr>
        <w:rPr>
          <w:rFonts w:hint="eastAsia" w:ascii="仿宋" w:hAnsi="仿宋" w:eastAsia="仿宋" w:cs="仿宋"/>
          <w:sz w:val="32"/>
          <w:szCs w:val="32"/>
        </w:rPr>
      </w:pPr>
      <w:r>
        <w:rPr>
          <w:rFonts w:hint="eastAsia" w:ascii="仿宋" w:hAnsi="仿宋" w:eastAsia="仿宋" w:cs="仿宋"/>
          <w:sz w:val="32"/>
          <w:szCs w:val="32"/>
        </w:rPr>
        <w:t>　　1、执法工作的需要。住房公积金行政执法必须建立一套从立案到行政处罚以及申请人民法院强制执行的执法全程工作规范与制度，行政处罚是其中最重要的环节。建立行政处罚自由裁量权规定是合法合规、公开透明进行行政执法重要的制度保障</w:t>
      </w:r>
      <w:bookmarkStart w:id="0" w:name="_GoBack"/>
      <w:r>
        <w:rPr>
          <w:rFonts w:hint="eastAsia" w:ascii="仿宋" w:hAnsi="仿宋" w:eastAsia="仿宋" w:cs="仿宋"/>
          <w:color w:val="222A35" w:themeColor="text2" w:themeShade="80"/>
          <w:sz w:val="32"/>
          <w:szCs w:val="32"/>
        </w:rPr>
        <w:t>。</w:t>
      </w:r>
      <w:bookmarkEnd w:id="0"/>
    </w:p>
    <w:p>
      <w:pPr>
        <w:rPr>
          <w:rFonts w:hint="eastAsia" w:ascii="仿宋" w:hAnsi="仿宋" w:eastAsia="仿宋" w:cs="仿宋"/>
          <w:sz w:val="32"/>
          <w:szCs w:val="32"/>
        </w:rPr>
      </w:pPr>
      <w:r>
        <w:rPr>
          <w:rFonts w:hint="eastAsia" w:ascii="仿宋" w:hAnsi="仿宋" w:eastAsia="仿宋" w:cs="仿宋"/>
          <w:sz w:val="32"/>
          <w:szCs w:val="32"/>
        </w:rPr>
        <w:t>　　2、依法行政的需要。根据国家、省、市有关依法行政、建设法治政府的相关规定，拥有行政处罚权的单位都应当制定本单位自由裁量权适用规则，包括细化、量化行政处罚自由裁量标准，减少人为因素的影响，保证行政执法在公平、公开、公正的环境中进行，并保障行政相对人的权益。</w:t>
      </w:r>
    </w:p>
    <w:p>
      <w:pPr>
        <w:rPr>
          <w:rFonts w:hint="eastAsia" w:ascii="仿宋" w:hAnsi="仿宋" w:eastAsia="仿宋" w:cs="仿宋"/>
          <w:sz w:val="32"/>
          <w:szCs w:val="32"/>
        </w:rPr>
      </w:pPr>
      <w:r>
        <w:rPr>
          <w:rFonts w:hint="eastAsia" w:ascii="仿宋" w:hAnsi="仿宋" w:eastAsia="仿宋" w:cs="仿宋"/>
          <w:sz w:val="32"/>
          <w:szCs w:val="32"/>
        </w:rPr>
        <w:t>　　3、执法权威的需要。《住房公积金管理条例》赋予住房公积金管理中心对不建立住房公积金制度、不为职工开立住房公积金账户的违法单位处1万元以上5万元以下罚款的行政处罚权，我们必须不折不扣严格执行并落实到位，以树立法律法规的权威以及维护法律法规的严肃性，在执行过程中迫切需要一套实用性、可操性强的行政处罚裁量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二、制定原则</w:t>
      </w:r>
    </w:p>
    <w:p>
      <w:pPr>
        <w:rPr>
          <w:rFonts w:hint="eastAsia" w:ascii="仿宋" w:hAnsi="仿宋" w:eastAsia="仿宋" w:cs="仿宋"/>
          <w:sz w:val="32"/>
          <w:szCs w:val="32"/>
        </w:rPr>
      </w:pPr>
      <w:r>
        <w:rPr>
          <w:rFonts w:hint="eastAsia" w:ascii="仿宋" w:hAnsi="仿宋" w:eastAsia="仿宋" w:cs="仿宋"/>
          <w:sz w:val="32"/>
          <w:szCs w:val="32"/>
        </w:rPr>
        <w:t>　　（一）处罚法定原则。即自由裁量权应当符合法律、法规、规章关于处罚种类、处罚幅度的规定。</w:t>
      </w:r>
    </w:p>
    <w:p>
      <w:pPr>
        <w:rPr>
          <w:rFonts w:hint="eastAsia" w:ascii="仿宋" w:hAnsi="仿宋" w:eastAsia="仿宋" w:cs="仿宋"/>
          <w:sz w:val="32"/>
          <w:szCs w:val="32"/>
        </w:rPr>
      </w:pPr>
      <w:r>
        <w:rPr>
          <w:rFonts w:hint="eastAsia" w:ascii="仿宋" w:hAnsi="仿宋" w:eastAsia="仿宋" w:cs="仿宋"/>
          <w:sz w:val="32"/>
          <w:szCs w:val="32"/>
        </w:rPr>
        <w:t>　　（二）公平公正原则。即对违法事实、性质、情节、社会危害程度等基本相同或相近的违法行为，实施行政处罚时使用依据、处罚幅度应当基本一致。</w:t>
      </w:r>
    </w:p>
    <w:p>
      <w:pPr>
        <w:rPr>
          <w:rFonts w:hint="eastAsia" w:ascii="仿宋" w:hAnsi="仿宋" w:eastAsia="仿宋" w:cs="仿宋"/>
          <w:sz w:val="32"/>
          <w:szCs w:val="32"/>
        </w:rPr>
      </w:pPr>
      <w:r>
        <w:rPr>
          <w:rFonts w:hint="eastAsia" w:ascii="仿宋" w:hAnsi="仿宋" w:eastAsia="仿宋" w:cs="仿宋"/>
          <w:sz w:val="32"/>
          <w:szCs w:val="32"/>
        </w:rPr>
        <w:t>　　（三）过罚相当原则。即处罚幅度应当与违法行为的事实、性质、情节和社会危害程度相当。</w:t>
      </w:r>
    </w:p>
    <w:p>
      <w:pPr>
        <w:rPr>
          <w:rFonts w:hint="eastAsia" w:ascii="仿宋" w:hAnsi="仿宋" w:eastAsia="仿宋" w:cs="仿宋"/>
          <w:sz w:val="32"/>
          <w:szCs w:val="32"/>
        </w:rPr>
      </w:pPr>
      <w:r>
        <w:rPr>
          <w:rFonts w:hint="eastAsia" w:ascii="仿宋" w:hAnsi="仿宋" w:eastAsia="仿宋" w:cs="仿宋"/>
          <w:sz w:val="32"/>
          <w:szCs w:val="32"/>
        </w:rPr>
        <w:t>　　（四）程序合法原则。即应当符合法定程序，充分听取行政相对人的意见，保障其合法权益。</w:t>
      </w:r>
    </w:p>
    <w:p>
      <w:pPr>
        <w:rPr>
          <w:rFonts w:hint="eastAsia" w:ascii="仿宋" w:hAnsi="仿宋" w:eastAsia="仿宋" w:cs="仿宋"/>
          <w:sz w:val="32"/>
          <w:szCs w:val="32"/>
        </w:rPr>
      </w:pPr>
      <w:r>
        <w:rPr>
          <w:rFonts w:hint="eastAsia" w:ascii="仿宋" w:hAnsi="仿宋" w:eastAsia="仿宋" w:cs="仿宋"/>
          <w:sz w:val="32"/>
          <w:szCs w:val="32"/>
        </w:rPr>
        <w:t>　　（五）处罚与教育相结合原则。即既要制裁违法行为，维护法律尊严，又要教育行政相对人，培养其守法意识。</w:t>
      </w:r>
    </w:p>
    <w:p>
      <w:pPr>
        <w:rPr>
          <w:rFonts w:hint="eastAsia" w:ascii="仿宋" w:hAnsi="仿宋" w:eastAsia="仿宋" w:cs="仿宋"/>
          <w:sz w:val="32"/>
          <w:szCs w:val="32"/>
        </w:rPr>
      </w:pPr>
      <w:r>
        <w:rPr>
          <w:rFonts w:hint="eastAsia" w:ascii="仿宋" w:hAnsi="仿宋" w:eastAsia="仿宋" w:cs="仿宋"/>
          <w:sz w:val="32"/>
          <w:szCs w:val="32"/>
        </w:rPr>
        <w:t>　　三、制定依据</w:t>
      </w:r>
    </w:p>
    <w:p>
      <w:pPr>
        <w:rPr>
          <w:rFonts w:hint="eastAsia" w:ascii="仿宋" w:hAnsi="仿宋" w:eastAsia="仿宋" w:cs="仿宋"/>
          <w:sz w:val="32"/>
          <w:szCs w:val="32"/>
        </w:rPr>
      </w:pPr>
      <w:r>
        <w:rPr>
          <w:rFonts w:hint="eastAsia" w:ascii="仿宋" w:hAnsi="仿宋" w:eastAsia="仿宋" w:cs="仿宋"/>
          <w:sz w:val="32"/>
          <w:szCs w:val="32"/>
        </w:rPr>
        <w:t>　　1、《中华人民共和国行政处罚法》</w:t>
      </w:r>
    </w:p>
    <w:p>
      <w:pPr>
        <w:rPr>
          <w:rFonts w:hint="eastAsia" w:ascii="仿宋" w:hAnsi="仿宋" w:eastAsia="仿宋" w:cs="仿宋"/>
          <w:sz w:val="32"/>
          <w:szCs w:val="32"/>
        </w:rPr>
      </w:pPr>
      <w:r>
        <w:rPr>
          <w:rFonts w:hint="eastAsia" w:ascii="仿宋" w:hAnsi="仿宋" w:eastAsia="仿宋" w:cs="仿宋"/>
          <w:sz w:val="32"/>
          <w:szCs w:val="32"/>
        </w:rPr>
        <w:t>　　2、《中华人民共和国治安管理处罚法》</w:t>
      </w:r>
    </w:p>
    <w:p>
      <w:pPr>
        <w:rPr>
          <w:rFonts w:hint="eastAsia" w:ascii="仿宋" w:hAnsi="仿宋" w:eastAsia="仿宋" w:cs="仿宋"/>
          <w:sz w:val="32"/>
          <w:szCs w:val="32"/>
        </w:rPr>
      </w:pPr>
      <w:r>
        <w:rPr>
          <w:rFonts w:hint="eastAsia" w:ascii="仿宋" w:hAnsi="仿宋" w:eastAsia="仿宋" w:cs="仿宋"/>
          <w:sz w:val="32"/>
          <w:szCs w:val="32"/>
        </w:rPr>
        <w:t>　　3、《住房公积金管理条例》（国务院令第350号）</w:t>
      </w:r>
    </w:p>
    <w:p>
      <w:pPr>
        <w:rPr>
          <w:rFonts w:hint="eastAsia" w:ascii="仿宋" w:hAnsi="仿宋" w:eastAsia="仿宋" w:cs="仿宋"/>
          <w:sz w:val="32"/>
          <w:szCs w:val="32"/>
        </w:rPr>
      </w:pPr>
      <w:r>
        <w:rPr>
          <w:rFonts w:hint="eastAsia" w:ascii="仿宋" w:hAnsi="仿宋" w:eastAsia="仿宋" w:cs="仿宋"/>
          <w:sz w:val="32"/>
          <w:szCs w:val="32"/>
        </w:rPr>
        <w:t>　　4、《广东省住房和城乡建设厅关于住房和城乡建设系统行政处罚自由裁量权的基准（房地产和住房保障类）》（粤建执函〔2016〕2282号）</w:t>
      </w:r>
    </w:p>
    <w:p>
      <w:pPr>
        <w:rPr>
          <w:rFonts w:hint="eastAsia" w:ascii="仿宋" w:hAnsi="仿宋" w:eastAsia="仿宋" w:cs="仿宋"/>
          <w:sz w:val="32"/>
          <w:szCs w:val="32"/>
        </w:rPr>
      </w:pPr>
      <w:r>
        <w:rPr>
          <w:rFonts w:hint="eastAsia" w:ascii="仿宋" w:hAnsi="仿宋" w:eastAsia="仿宋" w:cs="仿宋"/>
          <w:sz w:val="32"/>
          <w:szCs w:val="32"/>
        </w:rPr>
        <w:t>　　5、《广东省住房和城乡建设厅关于住房和城乡建设系统行政处罚自由裁量权基准适用的规则》</w:t>
      </w:r>
    </w:p>
    <w:p>
      <w:pPr>
        <w:rPr>
          <w:rFonts w:hint="eastAsia" w:ascii="仿宋" w:hAnsi="仿宋" w:eastAsia="仿宋" w:cs="仿宋"/>
          <w:sz w:val="32"/>
          <w:szCs w:val="32"/>
        </w:rPr>
      </w:pPr>
      <w:r>
        <w:rPr>
          <w:rFonts w:hint="eastAsia" w:ascii="仿宋" w:hAnsi="仿宋" w:eastAsia="仿宋" w:cs="仿宋"/>
          <w:sz w:val="32"/>
          <w:szCs w:val="32"/>
        </w:rPr>
        <w:t>　　四、需要说明的问题</w:t>
      </w:r>
    </w:p>
    <w:p>
      <w:pPr>
        <w:rPr>
          <w:rFonts w:hint="eastAsia" w:ascii="仿宋" w:hAnsi="仿宋" w:eastAsia="仿宋" w:cs="仿宋"/>
          <w:sz w:val="32"/>
          <w:szCs w:val="32"/>
        </w:rPr>
      </w:pPr>
      <w:r>
        <w:rPr>
          <w:rFonts w:hint="eastAsia" w:ascii="仿宋" w:hAnsi="仿宋" w:eastAsia="仿宋" w:cs="仿宋"/>
          <w:sz w:val="32"/>
          <w:szCs w:val="32"/>
        </w:rPr>
        <w:t>　　（一）本规定共11条，明确规定了以下内容：</w:t>
      </w:r>
    </w:p>
    <w:p>
      <w:pPr>
        <w:rPr>
          <w:rFonts w:hint="eastAsia" w:ascii="仿宋" w:hAnsi="仿宋" w:eastAsia="仿宋" w:cs="仿宋"/>
          <w:sz w:val="32"/>
          <w:szCs w:val="32"/>
        </w:rPr>
      </w:pPr>
      <w:r>
        <w:rPr>
          <w:rFonts w:hint="eastAsia" w:ascii="仿宋" w:hAnsi="仿宋" w:eastAsia="仿宋" w:cs="仿宋"/>
          <w:sz w:val="32"/>
          <w:szCs w:val="32"/>
        </w:rPr>
        <w:t>　　1、明确了行政处罚的实施机关和被处罚对象。</w:t>
      </w:r>
      <w:r>
        <w:rPr>
          <w:rFonts w:hint="eastAsia" w:ascii="仿宋" w:hAnsi="仿宋" w:eastAsia="仿宋" w:cs="仿宋"/>
          <w:sz w:val="32"/>
          <w:szCs w:val="32"/>
          <w:lang w:eastAsia="zh-CN"/>
        </w:rPr>
        <w:t>汕尾</w:t>
      </w:r>
      <w:r>
        <w:rPr>
          <w:rFonts w:hint="eastAsia" w:ascii="仿宋" w:hAnsi="仿宋" w:eastAsia="仿宋" w:cs="仿宋"/>
          <w:sz w:val="32"/>
          <w:szCs w:val="32"/>
        </w:rPr>
        <w:t>市住房公积金管理中心依照《住房公积金管理条例》规定，是进行行政处罚的实施机关，被处罚对象为</w:t>
      </w:r>
      <w:r>
        <w:rPr>
          <w:rFonts w:hint="eastAsia" w:ascii="仿宋" w:hAnsi="仿宋" w:eastAsia="仿宋" w:cs="仿宋"/>
          <w:sz w:val="32"/>
          <w:szCs w:val="32"/>
          <w:lang w:eastAsia="zh-CN"/>
        </w:rPr>
        <w:t>汕尾</w:t>
      </w:r>
      <w:r>
        <w:rPr>
          <w:rFonts w:hint="eastAsia" w:ascii="仿宋" w:hAnsi="仿宋" w:eastAsia="仿宋" w:cs="仿宋"/>
          <w:sz w:val="32"/>
          <w:szCs w:val="32"/>
        </w:rPr>
        <w:t>市行政区域范围内存在违反《住房公积金管理条例》规定的单位。</w:t>
      </w:r>
    </w:p>
    <w:p>
      <w:pPr>
        <w:rPr>
          <w:rFonts w:hint="eastAsia" w:ascii="仿宋" w:hAnsi="仿宋" w:eastAsia="仿宋" w:cs="仿宋"/>
          <w:sz w:val="32"/>
          <w:szCs w:val="32"/>
        </w:rPr>
      </w:pPr>
      <w:r>
        <w:rPr>
          <w:rFonts w:hint="eastAsia" w:ascii="仿宋" w:hAnsi="仿宋" w:eastAsia="仿宋" w:cs="仿宋"/>
          <w:sz w:val="32"/>
          <w:szCs w:val="32"/>
        </w:rPr>
        <w:t>　　2、明确行政处罚裁量标准。单位不办理住房公积金缴存登记的，以单位违规行为存续期间的长短作为处罚的裁量标准</w:t>
      </w:r>
      <w:r>
        <w:rPr>
          <w:rFonts w:hint="eastAsia" w:ascii="仿宋" w:hAnsi="仿宋" w:eastAsia="仿宋" w:cs="仿宋"/>
          <w:sz w:val="32"/>
          <w:szCs w:val="32"/>
          <w:lang w:eastAsia="zh-CN"/>
        </w:rPr>
        <w:t>，</w:t>
      </w:r>
      <w:r>
        <w:rPr>
          <w:rFonts w:hint="eastAsia" w:ascii="仿宋" w:hAnsi="仿宋" w:eastAsia="仿宋" w:cs="仿宋"/>
          <w:sz w:val="32"/>
          <w:szCs w:val="32"/>
        </w:rPr>
        <w:t>不为本单位职工办理住房公积金账户设立手续的，以未开户职工人数多少作为处罚的裁量标准。</w:t>
      </w:r>
    </w:p>
    <w:p>
      <w:pPr>
        <w:rPr>
          <w:rFonts w:hint="eastAsia" w:ascii="仿宋" w:hAnsi="仿宋" w:eastAsia="仿宋" w:cs="仿宋"/>
          <w:sz w:val="32"/>
          <w:szCs w:val="32"/>
        </w:rPr>
      </w:pPr>
      <w:r>
        <w:rPr>
          <w:rFonts w:hint="eastAsia" w:ascii="仿宋" w:hAnsi="仿宋" w:eastAsia="仿宋" w:cs="仿宋"/>
          <w:sz w:val="32"/>
          <w:szCs w:val="32"/>
        </w:rPr>
        <w:t>　　3、明确免除、从轻、从重处罚的适用情形，具有针对性和实用性。一是免予处罚。根据规定，明确了“单位在收到责令限期办理通知后在期限内办理了住房公积金缴存登记或者已经为本单位职工办理了住房公积金账户设立手续的”、“证据不足、违法事实不能成立的”、“法律、法规、规章规定免予处罚的其他情形”三种情形。二是从轻处罚。根据规定，明确了“在</w:t>
      </w:r>
      <w:r>
        <w:rPr>
          <w:rFonts w:hint="eastAsia" w:ascii="仿宋" w:hAnsi="仿宋" w:eastAsia="仿宋" w:cs="仿宋"/>
          <w:sz w:val="32"/>
          <w:szCs w:val="32"/>
          <w:lang w:eastAsia="zh-CN"/>
        </w:rPr>
        <w:t>市公积金中心</w:t>
      </w:r>
      <w:r>
        <w:rPr>
          <w:rFonts w:hint="eastAsia" w:ascii="仿宋" w:hAnsi="仿宋" w:eastAsia="仿宋" w:cs="仿宋"/>
          <w:sz w:val="32"/>
          <w:szCs w:val="32"/>
        </w:rPr>
        <w:t>作出行政处罚前，单位办理了住房公积金缴存登记或者已经为本单位职工办理了住房公积金账户设立手续的”、“单位及时减轻违法行为危害后果，社会影响面较小的”、“单位主动配合</w:t>
      </w:r>
      <w:r>
        <w:rPr>
          <w:rFonts w:hint="eastAsia" w:ascii="仿宋" w:hAnsi="仿宋" w:eastAsia="仿宋" w:cs="仿宋"/>
          <w:sz w:val="32"/>
          <w:szCs w:val="32"/>
          <w:lang w:eastAsia="zh-CN"/>
        </w:rPr>
        <w:t>市公积金中心</w:t>
      </w:r>
      <w:r>
        <w:rPr>
          <w:rFonts w:hint="eastAsia" w:ascii="仿宋" w:hAnsi="仿宋" w:eastAsia="仿宋" w:cs="仿宋"/>
          <w:sz w:val="32"/>
          <w:szCs w:val="32"/>
        </w:rPr>
        <w:t>执法人员进行调查取证的”、“法律、法规、规章规定从轻处罚的其他情形” 四种情形。三是从重处罚。根据规定，明确了“单位的违法行为在本行业或者全市有重大不良影响的”、“单位妨碍</w:t>
      </w:r>
      <w:r>
        <w:rPr>
          <w:rFonts w:hint="eastAsia" w:ascii="仿宋" w:hAnsi="仿宋" w:eastAsia="仿宋" w:cs="仿宋"/>
          <w:sz w:val="32"/>
          <w:szCs w:val="32"/>
          <w:lang w:eastAsia="zh-CN"/>
        </w:rPr>
        <w:t>市公积金中心</w:t>
      </w:r>
      <w:r>
        <w:rPr>
          <w:rFonts w:hint="eastAsia" w:ascii="仿宋" w:hAnsi="仿宋" w:eastAsia="仿宋" w:cs="仿宋"/>
          <w:sz w:val="32"/>
          <w:szCs w:val="32"/>
        </w:rPr>
        <w:t>执法人员进行调查取证的”、“单位故意隐瞒事实，弄虚作假或者隐匿、销毁违法行为证据的”、“法律、法规、规章规定从重处罚的其他情形”四种情形。</w:t>
      </w:r>
    </w:p>
    <w:p>
      <w:pPr>
        <w:rPr>
          <w:rFonts w:hint="eastAsia" w:ascii="仿宋" w:hAnsi="仿宋" w:eastAsia="仿宋" w:cs="仿宋"/>
          <w:sz w:val="32"/>
          <w:szCs w:val="32"/>
        </w:rPr>
      </w:pPr>
      <w:r>
        <w:rPr>
          <w:rFonts w:hint="eastAsia" w:ascii="仿宋" w:hAnsi="仿宋" w:eastAsia="仿宋" w:cs="仿宋"/>
          <w:sz w:val="32"/>
          <w:szCs w:val="32"/>
        </w:rPr>
        <w:t>　　（二）我们在《广东省住房和城乡建设厅关于住房和城乡建设系统行政处罚自由裁量权的基准（房地产和住房保障类）》及《广东省住房和城乡建设厅关于住房和城乡建设系统行政处罚自由裁量权基准适用的规则》的基础上，根据我市住房公积金管理工作的实际情况，对行政处罚自由裁量权标准作出了具体量化：</w:t>
      </w:r>
    </w:p>
    <w:p>
      <w:pPr>
        <w:rPr>
          <w:rFonts w:hint="eastAsia" w:ascii="仿宋" w:hAnsi="仿宋" w:eastAsia="仿宋" w:cs="仿宋"/>
          <w:sz w:val="32"/>
          <w:szCs w:val="32"/>
        </w:rPr>
      </w:pPr>
      <w:r>
        <w:rPr>
          <w:rFonts w:hint="eastAsia" w:ascii="仿宋" w:hAnsi="仿宋" w:eastAsia="仿宋" w:cs="仿宋"/>
          <w:sz w:val="32"/>
          <w:szCs w:val="32"/>
        </w:rPr>
        <w:t>　　1、单位不办理住房公积金缴存登记的情形。根据违法情节和后果分为轻微、一般、严重三级，并进一步细分为五个时间段“3个月以内，3个月（含）以上4个月以内，4个月（含）以上6个月以内，6个月（含）以上5年以内，5年（含）以上”，罚款标准细分五个等次为“1万元（含）以上2万元以下、2万元（含）以上3万元以下、3万元（含）以上4万元以下、4万元（含）以上5万元以下、5万元”。</w:t>
      </w:r>
    </w:p>
    <w:p>
      <w:r>
        <w:rPr>
          <w:rFonts w:hint="eastAsia" w:ascii="仿宋" w:hAnsi="仿宋" w:eastAsia="仿宋" w:cs="仿宋"/>
          <w:sz w:val="32"/>
          <w:szCs w:val="32"/>
        </w:rPr>
        <w:t>　　2、不为本单位职工办理住房公积金账户设立手续情形。根据违法情节和后果分为轻微、一般、严重三级，进一步细分为五类人数“50人以下，50人（含）以上80人以下，80人（含）以上100人以下，100人（含）以上500人以下，500人（含）以上”，罚款标准细分为五个等次“1万元（含）以上2万元以下、2万元（含）以上3万元以下、3万元（含）以上4万元以下、4万元（含）以上5万元以下、5万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C1EC7"/>
    <w:rsid w:val="08E026D6"/>
    <w:rsid w:val="0D1B143E"/>
    <w:rsid w:val="0E434133"/>
    <w:rsid w:val="122F6D45"/>
    <w:rsid w:val="12B95976"/>
    <w:rsid w:val="1A5F40C0"/>
    <w:rsid w:val="206731E1"/>
    <w:rsid w:val="229B60B8"/>
    <w:rsid w:val="235E7EBE"/>
    <w:rsid w:val="429B0453"/>
    <w:rsid w:val="526F7A12"/>
    <w:rsid w:val="59B4062E"/>
    <w:rsid w:val="5BC17F78"/>
    <w:rsid w:val="5FDA758A"/>
    <w:rsid w:val="66D67764"/>
    <w:rsid w:val="673B1158"/>
    <w:rsid w:val="6E897B50"/>
    <w:rsid w:val="6EDC5F46"/>
    <w:rsid w:val="6EF1268B"/>
    <w:rsid w:val="75070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2019-12-30T02:36:00Z</dcterms:created>
  <dc:creator>Administrator</dc:creator>
  <cp:lastModifiedBy>Administrator</cp:lastModifiedBy>
  <dcterms:modified xsi:type="dcterms:W3CDTF">2020-08-27T10:42:46Z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