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eastAsia="方正小标宋_GBK"/>
          <w:bCs/>
          <w:sz w:val="52"/>
          <w:szCs w:val="52"/>
          <w:highlight w:val="none"/>
          <w:lang w:eastAsia="zh-CN"/>
        </w:rPr>
      </w:pPr>
      <w:r>
        <w:rPr>
          <w:rFonts w:hint="eastAsia" w:eastAsia="方正小标宋_GBK"/>
          <w:bCs/>
          <w:sz w:val="52"/>
          <w:szCs w:val="52"/>
          <w:highlight w:val="none"/>
          <w:lang w:eastAsia="zh-CN"/>
        </w:rPr>
        <w:t>汕尾</w:t>
      </w:r>
      <w:r>
        <w:rPr>
          <w:rFonts w:eastAsia="方正小标宋_GBK"/>
          <w:bCs/>
          <w:sz w:val="52"/>
          <w:szCs w:val="52"/>
          <w:highlight w:val="none"/>
        </w:rPr>
        <w:t>市供电</w:t>
      </w:r>
      <w:r>
        <w:rPr>
          <w:rFonts w:hint="eastAsia" w:eastAsia="方正小标宋_GBK"/>
          <w:bCs/>
          <w:sz w:val="52"/>
          <w:szCs w:val="52"/>
          <w:highlight w:val="none"/>
        </w:rPr>
        <w:t>可靠性管制</w:t>
      </w:r>
      <w:r>
        <w:rPr>
          <w:rFonts w:eastAsia="方正小标宋_GBK"/>
          <w:bCs/>
          <w:sz w:val="52"/>
          <w:szCs w:val="52"/>
          <w:highlight w:val="none"/>
        </w:rPr>
        <w:t>计划</w:t>
      </w:r>
      <w:r>
        <w:rPr>
          <w:rFonts w:hint="eastAsia" w:eastAsia="方正小标宋_GBK"/>
          <w:bCs/>
          <w:sz w:val="52"/>
          <w:szCs w:val="52"/>
          <w:highlight w:val="none"/>
          <w:lang w:eastAsia="zh-CN"/>
        </w:rPr>
        <w:t>实施办法</w:t>
      </w:r>
    </w:p>
    <w:p>
      <w:pPr>
        <w:spacing w:line="640" w:lineRule="exact"/>
        <w:jc w:val="center"/>
        <w:rPr>
          <w:rFonts w:hint="eastAsia" w:eastAsia="方正小标宋_GBK"/>
          <w:bCs/>
          <w:sz w:val="52"/>
          <w:szCs w:val="52"/>
          <w:highlight w:val="none"/>
          <w:lang w:eastAsia="zh-CN"/>
        </w:rPr>
      </w:pPr>
      <w:r>
        <w:rPr>
          <w:rFonts w:hint="eastAsia" w:eastAsia="方正小标宋_GBK"/>
          <w:bCs/>
          <w:sz w:val="52"/>
          <w:szCs w:val="52"/>
          <w:highlight w:val="none"/>
          <w:lang w:eastAsia="zh-CN"/>
        </w:rPr>
        <w:t>（征求意见稿</w:t>
      </w:r>
      <w:bookmarkStart w:id="0" w:name="_GoBack"/>
      <w:bookmarkEnd w:id="0"/>
      <w:r>
        <w:rPr>
          <w:rFonts w:hint="eastAsia" w:eastAsia="方正小标宋_GBK"/>
          <w:bCs/>
          <w:sz w:val="52"/>
          <w:szCs w:val="52"/>
          <w:highlight w:val="none"/>
          <w:lang w:eastAsia="zh-CN"/>
        </w:rPr>
        <w:t>）</w:t>
      </w:r>
    </w:p>
    <w:p>
      <w:pPr>
        <w:spacing w:line="560" w:lineRule="exact"/>
        <w:rPr>
          <w:rFonts w:eastAsia="仿宋_GB2312"/>
          <w:color w:val="000000"/>
          <w:sz w:val="32"/>
          <w:szCs w:val="32"/>
          <w:highlight w:val="none"/>
        </w:rPr>
      </w:pPr>
    </w:p>
    <w:p>
      <w:pPr>
        <w:spacing w:line="240" w:lineRule="auto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第一章  总则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第一条  根据《关于202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eastAsia="仿宋_GB2312"/>
          <w:color w:val="000000"/>
          <w:sz w:val="32"/>
          <w:szCs w:val="32"/>
          <w:highlight w:val="none"/>
        </w:rPr>
        <w:t>年供电可靠性管制计划的协议》，为完善供电可靠性管制相应奖励或惩罚处理程序，进一步提高供电可靠性和服务水平，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为汕尾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融入“双区”、努力建设沿海经济带靓丽明珠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提供有力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的</w:t>
      </w:r>
      <w:r>
        <w:rPr>
          <w:rFonts w:eastAsia="仿宋_GB2312"/>
          <w:color w:val="000000"/>
          <w:sz w:val="32"/>
          <w:szCs w:val="32"/>
          <w:highlight w:val="none"/>
        </w:rPr>
        <w:t>电力保障，特制定本办法。</w:t>
      </w:r>
    </w:p>
    <w:p>
      <w:pPr>
        <w:spacing w:line="240" w:lineRule="auto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第二章  奖励惩罚标准</w:t>
      </w:r>
    </w:p>
    <w:p>
      <w:pPr>
        <w:spacing w:line="240" w:lineRule="auto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  <w:pict>
          <v:shape id="Object 2" o:spid="_x0000_s1030" o:spt="75" type="#_x0000_t75" style="position:absolute;left:0pt;margin-left:14.95pt;margin-top:231.4pt;height:52.65pt;width:430.15pt;mso-wrap-distance-left:9pt;mso-wrap-distance-right:9pt;z-index:-251657216;mso-width-relative:page;mso-height-relative:page;" o:ole="t" filled="f" o:preferrelative="t" stroked="f" coordsize="21600,21600" wrapcoords="21592 -2 0 0 0 21600 21592 21602 8 21602 21600 21600 21600 0 8 -2 21592 -2">
            <v:path/>
            <v:fill on="f" focussize="0,0"/>
            <v:stroke on="f"/>
            <v:imagedata r:id="rId10" o:title=""/>
            <o:lock v:ext="edit" aspectratio="t"/>
            <w10:wrap type="tight"/>
          </v:shape>
          <o:OLEObject Type="Embed" ProgID="" ShapeID="Object 2" DrawAspect="Content" ObjectID="_1468075725" r:id="rId9">
            <o:LockedField>false</o:LockedField>
          </o:OLEObject>
        </w:pict>
      </w:r>
      <w:r>
        <w:rPr>
          <w:rFonts w:eastAsia="仿宋_GB2312"/>
          <w:color w:val="000000"/>
          <w:sz w:val="32"/>
          <w:szCs w:val="32"/>
          <w:highlight w:val="none"/>
        </w:rPr>
        <w:t>第二条  计算方法。本办法供电可靠性指标以国家能源局审核、确认和发布的年度全口径用户平均停电时间（以下简称SAIDI，单位：小时/户）为准，统计标准按照国家能源局发布的《供电系统供电可靠性评价规程第1部分：通用要求（DL/T836.1-2016 ）》（以下简称 DL/T836.1-2016）执行，统计口径与国家能源局发布口径一致。SAIDI值计算方法参照 DL/T836.1-2016执行，统计期间时间按照年度总小时数计算，公式如下：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  <w:vertAlign w:val="baseli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第三条  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实施标准如下：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5073"/>
        <w:gridCol w:w="2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年度用户平均停电时间（小时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/户）</w:t>
            </w:r>
          </w:p>
        </w:tc>
        <w:tc>
          <w:tcPr>
            <w:tcW w:w="2084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eastAsia="zh-CN"/>
              </w:rPr>
              <w:t>奖罚标准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5.5&lt;</w:t>
            </w: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</w:p>
        </w:tc>
        <w:tc>
          <w:tcPr>
            <w:tcW w:w="2084" w:type="dxa"/>
          </w:tcPr>
          <w:p>
            <w:pPr>
              <w:spacing w:line="240" w:lineRule="auto"/>
              <w:jc w:val="left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扣罚20万元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5&lt;</w:t>
            </w: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≤5.5</w:t>
            </w:r>
          </w:p>
        </w:tc>
        <w:tc>
          <w:tcPr>
            <w:tcW w:w="2084" w:type="dxa"/>
          </w:tcPr>
          <w:p>
            <w:pPr>
              <w:spacing w:line="240" w:lineRule="auto"/>
              <w:jc w:val="left"/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扣罚10万元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3.8&lt;</w:t>
            </w: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≤5</w:t>
            </w:r>
          </w:p>
        </w:tc>
        <w:tc>
          <w:tcPr>
            <w:tcW w:w="2084" w:type="dxa"/>
          </w:tcPr>
          <w:p>
            <w:pPr>
              <w:spacing w:line="240" w:lineRule="auto"/>
              <w:ind w:firstLine="320" w:firstLineChars="100"/>
              <w:jc w:val="left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不作惩罚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6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073" w:type="dxa"/>
          </w:tcPr>
          <w:p>
            <w:pPr>
              <w:spacing w:line="240" w:lineRule="auto"/>
              <w:jc w:val="center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eastAsia="仿宋_GB2312"/>
                <w:color w:val="000000"/>
                <w:sz w:val="32"/>
                <w:szCs w:val="32"/>
                <w:highlight w:val="none"/>
              </w:rPr>
              <w:t>SAIDI</w:t>
            </w: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lang w:val="en-US" w:eastAsia="zh-CN"/>
              </w:rPr>
              <w:t>≤3.8</w:t>
            </w:r>
          </w:p>
        </w:tc>
        <w:tc>
          <w:tcPr>
            <w:tcW w:w="2084" w:type="dxa"/>
          </w:tcPr>
          <w:p>
            <w:pPr>
              <w:spacing w:line="240" w:lineRule="auto"/>
              <w:ind w:firstLine="640" w:firstLineChars="200"/>
              <w:jc w:val="left"/>
              <w:rPr>
                <w:rFonts w:hint="default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32"/>
                <w:szCs w:val="32"/>
                <w:highlight w:val="none"/>
                <w:vertAlign w:val="baseline"/>
                <w:lang w:val="en-US" w:eastAsia="zh-CN"/>
              </w:rPr>
              <w:t>表彰</w:t>
            </w:r>
          </w:p>
        </w:tc>
      </w:tr>
    </w:tbl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第四条  </w:t>
      </w:r>
      <w:r>
        <w:rPr>
          <w:rFonts w:hint="default" w:eastAsia="仿宋_GB2312"/>
          <w:color w:val="000000"/>
          <w:sz w:val="32"/>
          <w:szCs w:val="32"/>
          <w:highlight w:val="none"/>
        </w:rPr>
        <w:t>SAIDI值为国家能源局每年发布的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市全口径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用户</w:t>
      </w:r>
      <w:r>
        <w:rPr>
          <w:rFonts w:hint="default" w:eastAsia="仿宋_GB2312"/>
          <w:color w:val="000000"/>
          <w:sz w:val="32"/>
          <w:szCs w:val="32"/>
          <w:highlight w:val="none"/>
        </w:rPr>
        <w:t>平均停电时间，双方根据国家能源局发布的202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default" w:eastAsia="仿宋_GB2312"/>
          <w:color w:val="000000"/>
          <w:sz w:val="32"/>
          <w:szCs w:val="32"/>
          <w:highlight w:val="none"/>
        </w:rPr>
        <w:t>年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至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  <w:t>年度</w:t>
      </w:r>
      <w:r>
        <w:rPr>
          <w:rFonts w:hint="default" w:eastAsia="仿宋_GB2312"/>
          <w:color w:val="000000"/>
          <w:sz w:val="32"/>
          <w:szCs w:val="32"/>
          <w:highlight w:val="none"/>
        </w:rPr>
        <w:t>SAIDI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default" w:eastAsia="仿宋_GB2312"/>
          <w:color w:val="000000"/>
          <w:sz w:val="32"/>
          <w:szCs w:val="32"/>
          <w:highlight w:val="none"/>
        </w:rPr>
        <w:t>值按实施标准执行惩罚或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表彰</w:t>
      </w:r>
      <w:r>
        <w:rPr>
          <w:rFonts w:hint="default" w:eastAsia="仿宋_GB2312"/>
          <w:color w:val="000000"/>
          <w:sz w:val="32"/>
          <w:szCs w:val="32"/>
          <w:highlight w:val="none"/>
        </w:rPr>
        <w:t>，表彰</w:t>
      </w: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结果及形式</w:t>
      </w:r>
      <w:r>
        <w:rPr>
          <w:rFonts w:hint="default" w:eastAsia="仿宋_GB2312"/>
          <w:color w:val="000000"/>
          <w:sz w:val="32"/>
          <w:szCs w:val="32"/>
          <w:highlight w:val="none"/>
        </w:rPr>
        <w:t>由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汕尾市发展和改革</w:t>
      </w:r>
      <w:r>
        <w:rPr>
          <w:rFonts w:hint="default" w:eastAsia="仿宋_GB2312"/>
          <w:color w:val="000000"/>
          <w:sz w:val="32"/>
          <w:szCs w:val="32"/>
          <w:highlight w:val="none"/>
        </w:rPr>
        <w:t>局制定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汕尾供电局</w:t>
      </w:r>
      <w:r>
        <w:rPr>
          <w:rFonts w:hint="default" w:eastAsia="仿宋_GB2312"/>
          <w:color w:val="000000"/>
          <w:sz w:val="32"/>
          <w:szCs w:val="32"/>
          <w:highlight w:val="none"/>
        </w:rPr>
        <w:t>赔偿金额按规定上缴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市级财政。</w:t>
      </w:r>
    </w:p>
    <w:p>
      <w:pPr>
        <w:spacing w:line="240" w:lineRule="auto"/>
        <w:ind w:left="638" w:leftChars="304" w:firstLine="0" w:firstLineChars="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第五条  以下供电中断情况应免于计算在SAIDI值内。</w:t>
      </w:r>
    </w:p>
    <w:p>
      <w:pPr>
        <w:spacing w:line="240" w:lineRule="auto"/>
        <w:ind w:firstLine="640" w:firstLineChars="200"/>
        <w:jc w:val="left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（一）该中断持续小于3分钟。</w:t>
      </w:r>
    </w:p>
    <w:p>
      <w:pPr>
        <w:spacing w:line="240" w:lineRule="auto"/>
        <w:ind w:firstLine="320" w:firstLineChars="100"/>
        <w:jc w:val="left"/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  <w:highlight w:val="none"/>
        </w:rPr>
        <w:t>（二）用户提出或用户内部原因引起的供电中断事件。</w:t>
      </w:r>
    </w:p>
    <w:p>
      <w:pPr>
        <w:spacing w:line="240" w:lineRule="auto"/>
        <w:ind w:firstLine="320" w:firstLineChars="1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eastAsia="仿宋_GB2312"/>
          <w:color w:val="000000"/>
          <w:sz w:val="32"/>
          <w:szCs w:val="32"/>
          <w:highlight w:val="none"/>
        </w:rPr>
        <w:t>（三）该供电中断事件经政府监管机构认定，符合DL/T836.1-2016和IEEE 1366-2012标准内定义的“重大事件日”要求。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（四）该供电中断是由于配合市政工程、配合落实司法机关协助文书等实施。该事由以有权机关生效公文的判定为准。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（五）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供电局采取修剪或者砍伐林木等紧急处理措施，排除妨碍、消除危险的情况及处理其他突发性事件。该事由以有权机关生效公文的判定为准。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（六）其它不可抗力事件。</w:t>
      </w:r>
    </w:p>
    <w:p>
      <w:pPr>
        <w:spacing w:line="240" w:lineRule="auto"/>
        <w:ind w:firstLine="320" w:firstLineChars="100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第三章   惩罚资金上缴</w:t>
      </w:r>
    </w:p>
    <w:p>
      <w:pPr>
        <w:spacing w:line="240" w:lineRule="auto"/>
        <w:ind w:firstLine="640" w:firstLineChars="200"/>
        <w:jc w:val="left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六</w:t>
      </w:r>
      <w:r>
        <w:rPr>
          <w:rFonts w:eastAsia="仿宋_GB2312"/>
          <w:color w:val="000000"/>
          <w:sz w:val="32"/>
          <w:szCs w:val="32"/>
          <w:highlight w:val="none"/>
        </w:rPr>
        <w:t>条  符合惩罚标准要求的，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供电局应向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市发展和改革局提交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市供电可靠性情况报告，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市发展和改革局对相关材料进行审核、核算，确定惩罚的金额，并正式函告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供电局收到公函后30日内按规定将惩罚资金上缴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市级财政。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供电局对惩罚金额有异议，应在收到公函后5日内提出书面异议，由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eastAsia="仿宋_GB2312"/>
          <w:color w:val="000000"/>
          <w:sz w:val="32"/>
          <w:szCs w:val="32"/>
          <w:highlight w:val="none"/>
        </w:rPr>
        <w:t>市发展和改革局对异议材料进行审核，逾期未提出异议的视为认可惩罚金额。</w:t>
      </w:r>
    </w:p>
    <w:p>
      <w:pPr>
        <w:numPr>
          <w:ilvl w:val="0"/>
          <w:numId w:val="0"/>
        </w:numPr>
        <w:spacing w:line="560" w:lineRule="exact"/>
        <w:jc w:val="center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第四章 保障措施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第七条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eastAsia="仿宋_GB2312"/>
          <w:color w:val="000000"/>
          <w:sz w:val="32"/>
          <w:szCs w:val="32"/>
          <w:highlight w:val="none"/>
        </w:rPr>
        <w:t>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配合</w:t>
      </w:r>
      <w:r>
        <w:rPr>
          <w:rFonts w:hint="default" w:eastAsia="仿宋_GB2312"/>
          <w:color w:val="000000"/>
          <w:sz w:val="32"/>
          <w:szCs w:val="32"/>
          <w:highlight w:val="none"/>
        </w:rPr>
        <w:t>提高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市供电可靠性，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汕尾供电局</w:t>
      </w:r>
      <w:r>
        <w:rPr>
          <w:rFonts w:hint="default" w:eastAsia="仿宋_GB2312"/>
          <w:color w:val="000000"/>
          <w:sz w:val="32"/>
          <w:szCs w:val="32"/>
          <w:highlight w:val="none"/>
        </w:rPr>
        <w:t>要不断提升供电服务水平，努力打造国内领先电力营商环境。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（一）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对标国内领先标准和水平，出台相应的优质供电服务承诺和保障措施，并严格执行。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加强坚强智能电网建设，不断提高电网运行管理水平，提升城市供电可靠性。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（三）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扩大不停电作业范围，拓展复杂条件下的不停电作业，提升计划停电管控水平，持续降低客户年平均停电时间和年平均停电次数。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（四）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深化“互联网+”服务，推动智慧无人营业厅建设，提供线上申请办电、查询进度等服务。明确线上办电服务的范围和标准，简化客户办电资料，进一步提升客户获得电力便利度。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（五）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加强政企联动、数据互通，优化内部接电工作流程，加强时限管控，不断简化客户办电环节，持续压减客户电力接入时间。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（六）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开展综合能源服务，鼓励为客户提供“1+N”综合能源解决方案，进一步减低客户用电成本。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  <w:lang w:eastAsia="zh-CN"/>
        </w:rPr>
        <w:t>（七）</w:t>
      </w:r>
      <w:r>
        <w:rPr>
          <w:rFonts w:hint="default" w:eastAsia="仿宋_GB2312"/>
          <w:color w:val="000000"/>
          <w:sz w:val="32"/>
          <w:szCs w:val="32"/>
          <w:highlight w:val="none"/>
        </w:rPr>
        <w:t>严格执行政府制定的电价和服务政策，及时在线上、线下公开电价、服务标准，提升供电服务透明度。</w:t>
      </w:r>
    </w:p>
    <w:p>
      <w:pPr>
        <w:spacing w:line="240" w:lineRule="auto"/>
        <w:jc w:val="center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</w:p>
    <w:p>
      <w:pPr>
        <w:spacing w:line="240" w:lineRule="auto"/>
        <w:ind w:firstLine="640" w:firstLineChars="200"/>
        <w:jc w:val="center"/>
        <w:rPr>
          <w:rFonts w:eastAsia="仿宋_GB2312"/>
          <w:color w:val="000000"/>
          <w:sz w:val="32"/>
          <w:szCs w:val="32"/>
          <w:highlight w:val="none"/>
        </w:rPr>
      </w:pPr>
      <w:r>
        <w:rPr>
          <w:rFonts w:eastAsia="仿宋_GB2312"/>
          <w:color w:val="000000"/>
          <w:sz w:val="32"/>
          <w:szCs w:val="32"/>
          <w:highlight w:val="none"/>
        </w:rPr>
        <w:t>第五章  附则</w:t>
      </w:r>
    </w:p>
    <w:p>
      <w:pPr>
        <w:spacing w:line="240" w:lineRule="auto"/>
        <w:ind w:firstLine="640" w:firstLineChars="200"/>
        <w:jc w:val="left"/>
        <w:rPr>
          <w:rFonts w:hint="default" w:eastAsia="仿宋_GB2312"/>
          <w:color w:val="000000"/>
          <w:sz w:val="32"/>
          <w:szCs w:val="32"/>
          <w:highlight w:val="none"/>
        </w:rPr>
      </w:pPr>
      <w:r>
        <w:rPr>
          <w:rFonts w:hint="default" w:eastAsia="仿宋_GB2312"/>
          <w:color w:val="000000"/>
          <w:sz w:val="32"/>
          <w:szCs w:val="32"/>
          <w:highlight w:val="none"/>
        </w:rPr>
        <w:t>第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八</w:t>
      </w:r>
      <w:r>
        <w:rPr>
          <w:rFonts w:hint="default" w:eastAsia="仿宋_GB2312"/>
          <w:color w:val="000000"/>
          <w:sz w:val="32"/>
          <w:szCs w:val="32"/>
          <w:highlight w:val="none"/>
        </w:rPr>
        <w:t>条  本实施办法由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汕尾</w:t>
      </w:r>
      <w:r>
        <w:rPr>
          <w:rFonts w:hint="default" w:eastAsia="仿宋_GB2312"/>
          <w:color w:val="000000"/>
          <w:sz w:val="32"/>
          <w:szCs w:val="32"/>
          <w:highlight w:val="none"/>
        </w:rPr>
        <w:t>市发展和改革局负责解释，自印发之日起实施，有效期至202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default" w:eastAsia="仿宋_GB2312"/>
          <w:color w:val="000000"/>
          <w:sz w:val="32"/>
          <w:szCs w:val="32"/>
          <w:highlight w:val="none"/>
        </w:rPr>
        <w:t>年12月31日。</w:t>
      </w:r>
    </w:p>
    <w:p>
      <w:pPr>
        <w:spacing w:line="240" w:lineRule="auto"/>
        <w:ind w:left="643"/>
        <w:jc w:val="left"/>
        <w:rPr>
          <w:rFonts w:ascii="黑体" w:hAnsi="黑体" w:eastAsia="黑体"/>
          <w:bCs/>
          <w:color w:val="000000"/>
          <w:sz w:val="32"/>
          <w:szCs w:val="32"/>
          <w:highlight w:val="none"/>
        </w:rPr>
      </w:pPr>
    </w:p>
    <w:p>
      <w:pPr>
        <w:pStyle w:val="10"/>
        <w:spacing w:line="240" w:lineRule="auto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  <w:highlight w:val="none"/>
          <w:lang w:val="en-US" w:eastAsia="zh-CN" w:bidi="ar-SA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p>
      <w:pPr>
        <w:rPr>
          <w:b/>
          <w:bCs/>
          <w:highlight w:val="none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474" w:bottom="1588" w:left="1531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442" w:wrap="around" w:vAnchor="text" w:hAnchor="margin" w:xAlign="outside" w:y="1"/>
      <w:ind w:firstLine="140" w:firstLineChars="50"/>
      <w:rPr>
        <w:rStyle w:val="8"/>
        <w:rFonts w:hint="eastAsia"/>
        <w:sz w:val="28"/>
        <w:szCs w:val="28"/>
      </w:rPr>
    </w:pPr>
    <w:r>
      <w:rPr>
        <w:rStyle w:val="8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8"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8"/>
        <w:rFonts w:hint="eastAsia"/>
        <w:sz w:val="28"/>
        <w:szCs w:val="28"/>
      </w:rPr>
      <w:t xml:space="preserve"> —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xMjRhMjUxNDlkNTFlZTY4NzhlNGU4ODBlMjZhZmQifQ=="/>
  </w:docVars>
  <w:rsids>
    <w:rsidRoot w:val="03646B23"/>
    <w:rsid w:val="03646B23"/>
    <w:rsid w:val="0BEA7B92"/>
    <w:rsid w:val="19126D33"/>
    <w:rsid w:val="31E90A47"/>
    <w:rsid w:val="357D4425"/>
    <w:rsid w:val="3D316137"/>
    <w:rsid w:val="3DD971E5"/>
    <w:rsid w:val="47790DDA"/>
    <w:rsid w:val="4B171D3E"/>
    <w:rsid w:val="50C0038F"/>
    <w:rsid w:val="56F11F11"/>
    <w:rsid w:val="5C4A13D9"/>
    <w:rsid w:val="5FEE3D46"/>
    <w:rsid w:val="6734711D"/>
    <w:rsid w:val="6E77E7EB"/>
    <w:rsid w:val="77AFF3A4"/>
    <w:rsid w:val="7A55ECC6"/>
    <w:rsid w:val="BCDE41D8"/>
    <w:rsid w:val="DEBF1AE2"/>
    <w:rsid w:val="DFFF7749"/>
    <w:rsid w:val="E65F42E4"/>
    <w:rsid w:val="FB3D66AC"/>
    <w:rsid w:val="FE5898DC"/>
    <w:rsid w:val="FFFF9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Calibri" w:hAnsi="Calibri" w:eastAsia="黑体"/>
      <w:b/>
      <w:bCs/>
      <w:kern w:val="44"/>
      <w:sz w:val="2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0">
    <w:name w:val="Body text|1"/>
    <w:basedOn w:val="1"/>
    <w:qFormat/>
    <w:uiPriority w:val="0"/>
    <w:pPr>
      <w:spacing w:line="35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11">
    <w:name w:val="Char"/>
    <w:basedOn w:val="1"/>
    <w:qFormat/>
    <w:uiPriority w:val="0"/>
    <w:pPr>
      <w:tabs>
        <w:tab w:val="left" w:pos="425"/>
      </w:tabs>
      <w:ind w:left="425" w:hanging="425"/>
    </w:pPr>
    <w:rPr>
      <w:rFonts w:eastAsia="仿宋_GB2312"/>
      <w:kern w:val="24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1.bin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1547</Words>
  <Characters>1697</Characters>
  <Lines>0</Lines>
  <Paragraphs>0</Paragraphs>
  <TotalTime>39</TotalTime>
  <ScaleCrop>false</ScaleCrop>
  <LinksUpToDate>false</LinksUpToDate>
  <CharactersWithSpaces>1761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2020-11-30T02:32:00Z</dcterms:created>
  <dc:creator>关富敏</dc:creator>
  <cp:lastModifiedBy>linmiaoling</cp:lastModifiedBy>
  <cp:lastPrinted>2020-11-30T03:07:00Z</cp:lastPrinted>
  <dcterms:modified xsi:type="dcterms:W3CDTF">2024-12-30T15:43:05Z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9FCFBB01F8F544D192B8B061CB2B790E</vt:lpwstr>
  </property>
</Properties>
</file>