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color w:val="3D3D3D"/>
          <w:sz w:val="44"/>
          <w:szCs w:val="44"/>
          <w:shd w:val="clear" w:color="auto" w:fill="FFFFFF"/>
        </w:rPr>
        <w:t>汕尾市“圳品”培育奖励办法</w:t>
      </w:r>
      <w:r>
        <w:rPr>
          <w:rFonts w:hint="eastAsia" w:ascii="方正小标宋简体" w:eastAsia="方正小标宋简体"/>
          <w:color w:val="3D3D3D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eastAsia="方正小标宋简体"/>
          <w:color w:val="3D3D3D"/>
          <w:sz w:val="44"/>
          <w:szCs w:val="44"/>
          <w:shd w:val="clear" w:color="auto" w:fill="FFFFFF"/>
          <w:lang w:val="en-US" w:eastAsia="zh-CN"/>
        </w:rPr>
        <w:t>试行</w:t>
      </w:r>
      <w:r>
        <w:rPr>
          <w:rFonts w:hint="eastAsia" w:ascii="方正小标宋简体" w:eastAsia="方正小标宋简体"/>
          <w:color w:val="3D3D3D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60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《深圳市与汕尾市对口合作实施方案》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推动深圳、汕尾对口合作走深走实，</w:t>
      </w:r>
      <w:r>
        <w:rPr>
          <w:rFonts w:hint="eastAsia" w:ascii="仿宋_GB2312" w:eastAsia="仿宋_GB2312"/>
          <w:sz w:val="32"/>
          <w:szCs w:val="32"/>
        </w:rPr>
        <w:t>共同促进汕尾农业品牌发展，加快推进汕尾优质农产品申报“圳品”工作，推动老区特色农产品融入大湾区市场，提升汕尾农业品牌市场知名度。经与深圳对口帮扶协作汕尾指挥部沟通联系，</w:t>
      </w:r>
      <w:r>
        <w:rPr>
          <w:rFonts w:hint="eastAsia" w:ascii="仿宋_GB2312" w:eastAsia="仿宋_GB2312"/>
          <w:color w:val="3D3D3D"/>
          <w:sz w:val="32"/>
          <w:szCs w:val="32"/>
        </w:rPr>
        <w:t>市农业农村局牵头起草了《汕尾市“圳品”培育奖励办法（试行）》（下称《奖励办法》）。现将《奖励办法》制定的有关情况说明如下：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一、制定《</w:t>
      </w:r>
      <w:r>
        <w:rPr>
          <w:rFonts w:hint="eastAsia" w:ascii="黑体" w:hAnsi="黑体" w:eastAsia="黑体"/>
          <w:color w:val="3D3D3D"/>
          <w:sz w:val="32"/>
          <w:szCs w:val="32"/>
        </w:rPr>
        <w:t>奖励办法</w:t>
      </w:r>
      <w:r>
        <w:rPr>
          <w:rFonts w:hint="eastAsia" w:ascii="黑体" w:hAnsi="黑体" w:eastAsia="黑体"/>
          <w:sz w:val="32"/>
          <w:szCs w:val="32"/>
        </w:rPr>
        <w:t>》的必要性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一是制定《奖励办法》是贯彻落实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《深圳市与汕尾市对口合作实施方案》，深化拓展消费合作的具体举措，有助于推动更多汕尾特色农产品销往深圳，接入大湾区市场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二是制定《奖励办法》有助于提高汕尾农产品的知名度。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“圳品”是深圳市委市政府基于实施食品安全战略重点打造的食品领域“城市品牌”，成功申报“圳品”认定，意味着更高的标准、更严格的评价、更透明的过程和更优质的产品。</w:t>
      </w:r>
      <w:r>
        <w:rPr>
          <w:rFonts w:hint="eastAsia" w:ascii="仿宋_GB2312" w:eastAsia="仿宋_GB2312"/>
          <w:sz w:val="32"/>
          <w:szCs w:val="32"/>
        </w:rPr>
        <w:t>据测算。三是制定《奖励办法》能极大提升经营主体申报“圳品”的积极性。据初步测算，一项产品申报“圳品”认证，按照生产基地的条件，需前期投入2</w:t>
      </w:r>
      <w:r>
        <w:rPr>
          <w:rFonts w:ascii="仿宋_GB2312" w:eastAsia="仿宋_GB2312"/>
          <w:sz w:val="32"/>
          <w:szCs w:val="32"/>
        </w:rPr>
        <w:t>0000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40000</w:t>
      </w:r>
      <w:r>
        <w:rPr>
          <w:rFonts w:hint="eastAsia" w:ascii="仿宋_GB2312" w:eastAsia="仿宋_GB2312"/>
          <w:sz w:val="32"/>
          <w:szCs w:val="32"/>
        </w:rPr>
        <w:t>元，因此，给予成功申报“圳品”的主体一定的奖励激励，能减轻企业的负担，帮助企业改善生产条件。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二、《</w:t>
      </w:r>
      <w:r>
        <w:rPr>
          <w:rFonts w:hint="eastAsia" w:ascii="黑体" w:hAnsi="黑体" w:eastAsia="黑体"/>
          <w:color w:val="3D3D3D"/>
          <w:sz w:val="32"/>
          <w:szCs w:val="32"/>
        </w:rPr>
        <w:t>奖励办法</w:t>
      </w:r>
      <w:r>
        <w:rPr>
          <w:rFonts w:hint="eastAsia" w:ascii="黑体" w:hAnsi="黑体" w:eastAsia="黑体"/>
          <w:sz w:val="32"/>
          <w:szCs w:val="32"/>
        </w:rPr>
        <w:t>》的主要内容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《奖励办法》共五个章节十八条。第一章：总则，共四条；第二章：奖励标准，共两条；第三章：申报条件和程序，共七条；第四章：监督管理，共三条；第五章：附则，共两条。</w:t>
      </w:r>
    </w:p>
    <w:p>
      <w:pPr>
        <w:ind w:firstLine="66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三、法律政策依据</w:t>
      </w:r>
    </w:p>
    <w:p>
      <w:pPr>
        <w:ind w:firstLine="660"/>
        <w:rPr>
          <w:rFonts w:ascii="仿宋_GB2312" w:eastAsia="仿宋_GB2312"/>
          <w:color w:val="3D3D3D"/>
          <w:sz w:val="32"/>
          <w:szCs w:val="32"/>
        </w:rPr>
      </w:pPr>
      <w:r>
        <w:rPr>
          <w:rFonts w:hint="eastAsia" w:ascii="仿宋_GB2312" w:eastAsia="仿宋_GB2312"/>
          <w:color w:val="3D3D3D"/>
          <w:sz w:val="32"/>
          <w:szCs w:val="32"/>
        </w:rPr>
        <w:t>《广东省人民政府关于印发广州市与梅州市、深圳市与汕尾市对口合作实施方案的通知》</w:t>
      </w:r>
    </w:p>
    <w:p>
      <w:pPr>
        <w:ind w:firstLine="66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四、起草过程</w:t>
      </w:r>
    </w:p>
    <w:p>
      <w:pPr>
        <w:ind w:firstLine="660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eastAsia="楷体_GB2312" w:cs="楷体_GB2312"/>
          <w:kern w:val="0"/>
          <w:sz w:val="32"/>
          <w:szCs w:val="32"/>
        </w:rPr>
        <w:t>（一）征求相关部门意见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日，我局征求了市财政局、市审计局的意见，未提出修改意见。但由于涉及到深圳对口帮扶协作资金的使用，我局与深圳对口帮扶协作汕尾指挥部沟通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后进行了修改。并于2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日再次征求市财政局、市审计局、深圳对口帮扶协作汕尾指挥部意见，均无修改意见。</w:t>
      </w:r>
    </w:p>
    <w:p>
      <w:pPr>
        <w:ind w:firstLine="660"/>
        <w:rPr>
          <w:rFonts w:asci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（二）征求社会公众意见</w:t>
      </w:r>
    </w:p>
    <w:p>
      <w:pPr>
        <w:ind w:firstLine="6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日至1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再次</w:t>
      </w:r>
      <w:r>
        <w:rPr>
          <w:rFonts w:hint="eastAsia" w:ascii="仿宋_GB2312" w:eastAsia="仿宋_GB2312"/>
          <w:color w:val="auto"/>
          <w:sz w:val="32"/>
          <w:szCs w:val="32"/>
        </w:rPr>
        <w:t>公开征求社会公众意见，截至公告期满，未收到反馈意见或建议。</w:t>
      </w:r>
    </w:p>
    <w:p>
      <w:pPr>
        <w:ind w:firstLine="660"/>
        <w:rPr>
          <w:rFonts w:asci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（三）局合法性审查</w:t>
      </w:r>
    </w:p>
    <w:p>
      <w:pPr>
        <w:ind w:firstLine="6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2023年11月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3日通过局政策法规与市场信息科合法性审查。</w:t>
      </w:r>
    </w:p>
    <w:p>
      <w:pPr>
        <w:ind w:firstLine="660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eastAsia="楷体_GB2312" w:cs="楷体_GB2312"/>
          <w:kern w:val="0"/>
          <w:sz w:val="32"/>
          <w:szCs w:val="32"/>
        </w:rPr>
        <w:t>（四）局党组审议通过</w:t>
      </w:r>
    </w:p>
    <w:p>
      <w:pPr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日经局党组研究决定，原则上通过《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奖励办法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numPr>
          <w:ilvl w:val="0"/>
          <w:numId w:val="1"/>
        </w:numPr>
        <w:ind w:firstLine="66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公平竞争审查</w:t>
      </w:r>
    </w:p>
    <w:p>
      <w:pPr>
        <w:numPr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2023年12月27日征求市公平竞争审查工作部门间联席会议办公室意见，收到意见反馈1条，已采纳。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0728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37205"/>
    <w:multiLevelType w:val="singleLevel"/>
    <w:tmpl w:val="1823720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97"/>
    <w:rsid w:val="00044921"/>
    <w:rsid w:val="000F5D46"/>
    <w:rsid w:val="001E65E2"/>
    <w:rsid w:val="001F451E"/>
    <w:rsid w:val="0023618F"/>
    <w:rsid w:val="002369E1"/>
    <w:rsid w:val="00237821"/>
    <w:rsid w:val="002E2D28"/>
    <w:rsid w:val="002E6C3A"/>
    <w:rsid w:val="003737CC"/>
    <w:rsid w:val="00452951"/>
    <w:rsid w:val="00454A3B"/>
    <w:rsid w:val="004A6611"/>
    <w:rsid w:val="004B4F63"/>
    <w:rsid w:val="004F51EF"/>
    <w:rsid w:val="00506099"/>
    <w:rsid w:val="0056039B"/>
    <w:rsid w:val="0056053E"/>
    <w:rsid w:val="005B0266"/>
    <w:rsid w:val="005E56FB"/>
    <w:rsid w:val="006063D5"/>
    <w:rsid w:val="00632E0B"/>
    <w:rsid w:val="006E4AA3"/>
    <w:rsid w:val="007A2373"/>
    <w:rsid w:val="0082000A"/>
    <w:rsid w:val="0082726C"/>
    <w:rsid w:val="00854E8D"/>
    <w:rsid w:val="00881805"/>
    <w:rsid w:val="008C506D"/>
    <w:rsid w:val="008D08FE"/>
    <w:rsid w:val="008D4FAD"/>
    <w:rsid w:val="0091555D"/>
    <w:rsid w:val="00947BA1"/>
    <w:rsid w:val="00967D29"/>
    <w:rsid w:val="009E63AD"/>
    <w:rsid w:val="009F3759"/>
    <w:rsid w:val="009F5B71"/>
    <w:rsid w:val="00A77C60"/>
    <w:rsid w:val="00B546C9"/>
    <w:rsid w:val="00BA1E01"/>
    <w:rsid w:val="00BC4165"/>
    <w:rsid w:val="00C9772C"/>
    <w:rsid w:val="00CC20DF"/>
    <w:rsid w:val="00D00EC1"/>
    <w:rsid w:val="00D1536C"/>
    <w:rsid w:val="00D53197"/>
    <w:rsid w:val="00D92A40"/>
    <w:rsid w:val="00E007C9"/>
    <w:rsid w:val="00E56D32"/>
    <w:rsid w:val="00EC742C"/>
    <w:rsid w:val="00ED182F"/>
    <w:rsid w:val="00FC69AB"/>
    <w:rsid w:val="00FD3213"/>
    <w:rsid w:val="739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823</Characters>
  <Lines>6</Lines>
  <Paragraphs>1</Paragraphs>
  <TotalTime>1549</TotalTime>
  <ScaleCrop>false</ScaleCrop>
  <LinksUpToDate>false</LinksUpToDate>
  <CharactersWithSpaces>966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2023-12-14T01:14:00Z</dcterms:created>
  <dc:creator>Administrator</dc:creator>
  <cp:lastModifiedBy>Lenovo</cp:lastModifiedBy>
  <dcterms:modified xsi:type="dcterms:W3CDTF">2024-01-02T09:13:28Z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