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16</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汕尾市城区2021年度第</w:t>
      </w:r>
      <w:r>
        <w:rPr>
          <w:rFonts w:hint="eastAsia" w:eastAsia="方正小标宋简体" w:cs="Times New Roman"/>
          <w:b w:val="0"/>
          <w:bCs/>
          <w:color w:val="000000"/>
          <w:kern w:val="0"/>
          <w:sz w:val="44"/>
          <w:szCs w:val="44"/>
          <w:lang w:val="en-US" w:eastAsia="zh-CN" w:bidi="ar"/>
        </w:rPr>
        <w:t>十四</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汕尾市城区2021年度第</w:t>
      </w:r>
      <w:r>
        <w:rPr>
          <w:rFonts w:hint="eastAsia" w:eastAsia="仿宋_GB2312" w:cs="Times New Roman"/>
          <w:sz w:val="32"/>
          <w:szCs w:val="32"/>
          <w:lang w:val="en-US" w:eastAsia="zh-CN"/>
        </w:rPr>
        <w:t>十四</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236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汕尾市城区2021年度第</w:t>
      </w:r>
      <w:r>
        <w:rPr>
          <w:rFonts w:hint="eastAsia" w:eastAsia="仿宋_GB2312" w:cs="Times New Roman"/>
          <w:sz w:val="32"/>
          <w:szCs w:val="32"/>
          <w:lang w:val="en-US" w:eastAsia="zh-CN"/>
        </w:rPr>
        <w:t>十四</w:t>
      </w:r>
      <w:r>
        <w:rPr>
          <w:rFonts w:hint="default" w:ascii="Times New Roman" w:hAnsi="Times New Roman" w:eastAsia="仿宋_GB2312" w:cs="Times New Roman"/>
          <w:sz w:val="32"/>
          <w:szCs w:val="32"/>
          <w:lang w:val="en-US" w:eastAsia="zh-CN"/>
        </w:rPr>
        <w:t>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3.6677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rPr>
        <w:t>3.5517</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rPr>
        <w:t>1.6742</w:t>
      </w:r>
      <w:r>
        <w:rPr>
          <w:rFonts w:hint="default" w:ascii="Times New Roman" w:hAnsi="Times New Roman" w:eastAsia="仿宋_GB2312" w:cs="Times New Roman"/>
          <w:color w:val="000000"/>
          <w:kern w:val="0"/>
          <w:sz w:val="32"/>
          <w:szCs w:val="32"/>
          <w:lang w:val="en-US" w:eastAsia="zh-CN" w:bidi="ar"/>
        </w:rPr>
        <w:t>公顷）转为建设用地并办理征地手续，</w:t>
      </w:r>
      <w:r>
        <w:rPr>
          <w:rFonts w:hint="default" w:ascii="Times New Roman" w:hAnsi="Times New Roman" w:eastAsia="仿宋_GB2312" w:cs="Times New Roman"/>
          <w:color w:val="000000"/>
          <w:kern w:val="0"/>
          <w:sz w:val="32"/>
          <w:szCs w:val="32"/>
          <w:lang w:eastAsia="zh-CN" w:bidi="ar"/>
        </w:rPr>
        <w:t>另征收农民集体所有建设用地</w:t>
      </w:r>
      <w:r>
        <w:rPr>
          <w:rFonts w:hint="default" w:eastAsia="仿宋_GB2312" w:cs="Times New Roman"/>
          <w:sz w:val="32"/>
          <w:szCs w:val="32"/>
          <w:lang w:val="en-US" w:eastAsia="zh-CN"/>
        </w:rPr>
        <w:t>0.1160</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default" w:eastAsia="仿宋_GB2312" w:cs="Times New Roman"/>
          <w:sz w:val="32"/>
          <w:szCs w:val="32"/>
          <w:lang w:val="en-US" w:eastAsia="zh-CN"/>
        </w:rPr>
        <w:t>3.6677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4</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28</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2023-05-08T03:22:29Z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