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hint="eastAsia" w:eastAsia="方正小标宋简体"/>
          <w:sz w:val="44"/>
          <w:szCs w:val="44"/>
        </w:rPr>
      </w:pPr>
    </w:p>
    <w:p>
      <w:pPr>
        <w:widowControl/>
        <w:spacing w:line="580" w:lineRule="exact"/>
        <w:jc w:val="righ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粤府土审（11）〔2023〕</w:t>
      </w:r>
      <w:r>
        <w:rPr>
          <w:rFonts w:hint="default" w:ascii="Times New Roman" w:hAnsi="Times New Roman" w:eastAsia="仿宋_GB2312" w:cs="Times New Roman"/>
          <w:color w:val="000000"/>
          <w:kern w:val="0"/>
          <w:sz w:val="32"/>
          <w:szCs w:val="32"/>
          <w:lang w:val="en-US" w:bidi="ar"/>
        </w:rPr>
        <w:t>33</w:t>
      </w:r>
      <w:r>
        <w:rPr>
          <w:rFonts w:hint="eastAsia" w:ascii="Times New Roman" w:hAnsi="Times New Roman" w:eastAsia="仿宋_GB2312" w:cs="Times New Roman"/>
          <w:color w:val="000000"/>
          <w:kern w:val="0"/>
          <w:sz w:val="32"/>
          <w:szCs w:val="32"/>
          <w:lang w:bidi="ar"/>
        </w:rPr>
        <w:t>号</w:t>
      </w:r>
    </w:p>
    <w:p>
      <w:pPr>
        <w:snapToGrid w:val="0"/>
        <w:spacing w:line="580" w:lineRule="exact"/>
        <w:jc w:val="center"/>
        <w:rPr>
          <w:rFonts w:eastAsia="方正小标宋简体"/>
          <w:sz w:val="44"/>
          <w:szCs w:val="44"/>
        </w:rPr>
      </w:pPr>
    </w:p>
    <w:p>
      <w:pPr>
        <w:pStyle w:val="6"/>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kern w:val="0"/>
          <w:sz w:val="44"/>
          <w:szCs w:val="44"/>
          <w:lang w:eastAsia="zh-CN" w:bidi="ar"/>
        </w:rPr>
        <w:t>广东汕尾红海湾经济开发区2023年度第四批次</w:t>
      </w:r>
      <w:r>
        <w:rPr>
          <w:rFonts w:eastAsia="方正小标宋简体"/>
          <w:bCs/>
          <w:color w:val="000000"/>
          <w:kern w:val="0"/>
          <w:sz w:val="44"/>
          <w:szCs w:val="44"/>
          <w:lang w:bidi="ar"/>
        </w:rPr>
        <w:t>城镇建设用地的批复</w:t>
      </w:r>
    </w:p>
    <w:p>
      <w:pPr>
        <w:widowControl/>
        <w:spacing w:line="580" w:lineRule="exact"/>
        <w:rPr>
          <w:rFonts w:ascii="Times New Roman" w:hAnsi="Times New Roman" w:eastAsia="宋体" w:cs="Times New Roman"/>
          <w:color w:val="000000"/>
          <w:kern w:val="0"/>
          <w:sz w:val="30"/>
          <w:szCs w:val="30"/>
          <w:lang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6"/>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w:t>
      </w:r>
      <w:r>
        <w:rPr>
          <w:rFonts w:hint="eastAsia" w:eastAsia="仿宋_GB2312"/>
          <w:szCs w:val="32"/>
          <w:highlight w:val="none"/>
        </w:rPr>
        <w:t>广东汕尾红海湾经济开发区</w:t>
      </w:r>
      <w:r>
        <w:rPr>
          <w:rFonts w:hint="eastAsia" w:eastAsia="仿宋_GB2312"/>
          <w:szCs w:val="32"/>
          <w:highlight w:val="none"/>
          <w:lang w:val="en-US" w:eastAsia="zh-CN"/>
        </w:rPr>
        <w:t>管理委员会</w:t>
      </w:r>
      <w:r>
        <w:rPr>
          <w:rFonts w:eastAsia="仿宋_GB2312"/>
          <w:szCs w:val="32"/>
          <w:highlight w:val="none"/>
        </w:rPr>
        <w:t>关于</w:t>
      </w:r>
      <w:r>
        <w:rPr>
          <w:rFonts w:hint="eastAsia" w:eastAsia="仿宋_GB2312"/>
          <w:szCs w:val="32"/>
          <w:highlight w:val="none"/>
        </w:rPr>
        <w:t>申请</w:t>
      </w:r>
      <w:r>
        <w:rPr>
          <w:rFonts w:hint="eastAsia" w:eastAsia="仿宋_GB2312"/>
          <w:szCs w:val="32"/>
          <w:highlight w:val="none"/>
          <w:lang w:eastAsia="zh-CN"/>
        </w:rPr>
        <w:t>广东汕尾红海湾经济开发区2023年度第四批次</w:t>
      </w:r>
      <w:r>
        <w:rPr>
          <w:rFonts w:eastAsia="仿宋_GB2312"/>
          <w:szCs w:val="32"/>
          <w:highlight w:val="none"/>
        </w:rPr>
        <w:t>城镇建设用地</w:t>
      </w:r>
      <w:r>
        <w:rPr>
          <w:rFonts w:hint="eastAsia" w:eastAsia="仿宋_GB2312"/>
          <w:szCs w:val="32"/>
          <w:highlight w:val="none"/>
        </w:rPr>
        <w:t>土地征收</w:t>
      </w:r>
      <w:r>
        <w:rPr>
          <w:rFonts w:eastAsia="仿宋_GB2312"/>
          <w:szCs w:val="32"/>
          <w:highlight w:val="none"/>
        </w:rPr>
        <w:t>的请示</w:t>
      </w:r>
      <w:r>
        <w:rPr>
          <w:rFonts w:eastAsia="仿宋_GB2312"/>
          <w:szCs w:val="32"/>
        </w:rPr>
        <w:t>》（</w:t>
      </w:r>
      <w:r>
        <w:rPr>
          <w:rFonts w:hint="eastAsia" w:eastAsia="仿宋_GB2312"/>
          <w:szCs w:val="32"/>
          <w:highlight w:val="none"/>
        </w:rPr>
        <w:t>汕</w:t>
      </w:r>
      <w:r>
        <w:rPr>
          <w:rFonts w:hint="eastAsia" w:eastAsia="仿宋_GB2312"/>
          <w:szCs w:val="32"/>
          <w:highlight w:val="none"/>
          <w:lang w:val="en-US" w:eastAsia="zh-CN"/>
        </w:rPr>
        <w:t>红管</w:t>
      </w:r>
      <w:r>
        <w:rPr>
          <w:rFonts w:eastAsia="仿宋_GB2312"/>
          <w:szCs w:val="32"/>
          <w:highlight w:val="none"/>
        </w:rPr>
        <w:t>〔2023〕</w:t>
      </w:r>
      <w:r>
        <w:rPr>
          <w:rFonts w:hint="default" w:eastAsia="仿宋_GB2312"/>
          <w:szCs w:val="32"/>
          <w:highlight w:val="none"/>
          <w:lang w:val="en-US"/>
        </w:rPr>
        <w:t>11</w:t>
      </w:r>
      <w:r>
        <w:rPr>
          <w:rFonts w:eastAsia="仿宋_GB2312"/>
          <w:szCs w:val="32"/>
          <w:highlight w:val="none"/>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6"/>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hint="eastAsia" w:eastAsia="仿宋_GB2312"/>
          <w:szCs w:val="32"/>
          <w:lang w:eastAsia="zh-CN"/>
        </w:rPr>
        <w:t>广东汕尾红海湾经济开发区2023年度第四批次</w:t>
      </w:r>
      <w:r>
        <w:rPr>
          <w:rFonts w:eastAsia="仿宋_GB2312"/>
          <w:color w:val="000000"/>
          <w:kern w:val="0"/>
          <w:szCs w:val="32"/>
          <w:lang w:val="zh-CN" w:bidi="ar"/>
        </w:rPr>
        <w:t>使用</w:t>
      </w:r>
      <w:r>
        <w:rPr>
          <w:rFonts w:hint="default" w:eastAsia="仿宋_GB2312"/>
          <w:color w:val="000000"/>
          <w:kern w:val="0"/>
          <w:szCs w:val="32"/>
          <w:lang w:val="en-US" w:bidi="ar"/>
        </w:rPr>
        <w:t>16.0808</w:t>
      </w:r>
      <w:r>
        <w:rPr>
          <w:rFonts w:eastAsia="仿宋_GB2312"/>
          <w:color w:val="000000"/>
          <w:kern w:val="0"/>
          <w:szCs w:val="32"/>
          <w:lang w:bidi="ar"/>
        </w:rPr>
        <w:t>公顷</w:t>
      </w:r>
      <w:r>
        <w:rPr>
          <w:rFonts w:hint="eastAsia" w:eastAsia="仿宋_GB2312"/>
          <w:color w:val="000000"/>
          <w:kern w:val="0"/>
          <w:szCs w:val="32"/>
          <w:lang w:bidi="ar"/>
        </w:rPr>
        <w:t>城镇</w:t>
      </w:r>
      <w:r>
        <w:rPr>
          <w:rFonts w:eastAsia="仿宋_GB2312"/>
          <w:color w:val="000000"/>
          <w:kern w:val="0"/>
          <w:szCs w:val="32"/>
          <w:lang w:bidi="ar"/>
        </w:rPr>
        <w:t>建设用地，即同意你市</w:t>
      </w:r>
      <w:r>
        <w:rPr>
          <w:rFonts w:hint="eastAsia" w:eastAsia="仿宋_GB2312"/>
          <w:szCs w:val="32"/>
          <w:highlight w:val="none"/>
        </w:rPr>
        <w:t>广东汕尾红海湾经济开发区</w:t>
      </w:r>
      <w:r>
        <w:rPr>
          <w:rFonts w:hint="eastAsia" w:eastAsia="仿宋_GB2312"/>
          <w:szCs w:val="32"/>
          <w:highlight w:val="none"/>
          <w:lang w:val="en-US" w:eastAsia="zh-CN"/>
        </w:rPr>
        <w:t>管理委员会</w:t>
      </w:r>
      <w:r>
        <w:rPr>
          <w:rFonts w:eastAsia="仿宋_GB2312"/>
          <w:color w:val="000000"/>
          <w:kern w:val="0"/>
          <w:szCs w:val="32"/>
          <w:lang w:bidi="ar"/>
        </w:rPr>
        <w:t>将农民集体所有农用地</w:t>
      </w:r>
      <w:r>
        <w:rPr>
          <w:rFonts w:hint="default" w:eastAsia="仿宋_GB2312"/>
          <w:color w:val="000000"/>
          <w:kern w:val="0"/>
          <w:szCs w:val="32"/>
          <w:lang w:val="en-US" w:bidi="ar"/>
        </w:rPr>
        <w:t>15.9855</w:t>
      </w:r>
      <w:r>
        <w:rPr>
          <w:rFonts w:eastAsia="仿宋_GB2312"/>
          <w:color w:val="000000"/>
          <w:kern w:val="0"/>
          <w:szCs w:val="32"/>
          <w:lang w:bidi="ar"/>
        </w:rPr>
        <w:t>公顷（</w:t>
      </w:r>
      <w:r>
        <w:rPr>
          <w:rFonts w:hint="eastAsia" w:eastAsia="仿宋_GB2312"/>
          <w:color w:val="000000"/>
          <w:kern w:val="0"/>
          <w:szCs w:val="32"/>
          <w:lang w:val="en-US" w:eastAsia="zh-CN" w:bidi="ar"/>
        </w:rPr>
        <w:t>其中</w:t>
      </w:r>
      <w:r>
        <w:rPr>
          <w:rFonts w:eastAsia="仿宋_GB2312"/>
          <w:color w:val="000000"/>
          <w:kern w:val="0"/>
          <w:szCs w:val="32"/>
          <w:lang w:bidi="ar"/>
        </w:rPr>
        <w:t>耕地</w:t>
      </w:r>
      <w:r>
        <w:rPr>
          <w:rFonts w:hint="eastAsia" w:eastAsia="仿宋_GB2312"/>
          <w:color w:val="000000"/>
          <w:kern w:val="0"/>
          <w:szCs w:val="32"/>
          <w:lang w:bidi="ar"/>
        </w:rPr>
        <w:t>13.4487</w:t>
      </w:r>
      <w:r>
        <w:rPr>
          <w:rFonts w:hint="eastAsia" w:eastAsia="仿宋_GB2312"/>
          <w:color w:val="000000"/>
          <w:kern w:val="0"/>
          <w:szCs w:val="32"/>
          <w:lang w:val="en-US" w:eastAsia="zh-CN" w:bidi="ar"/>
        </w:rPr>
        <w:t>公顷</w:t>
      </w:r>
      <w:r>
        <w:rPr>
          <w:rFonts w:eastAsia="仿宋_GB2312"/>
          <w:color w:val="000000"/>
          <w:kern w:val="0"/>
          <w:szCs w:val="32"/>
          <w:lang w:bidi="ar"/>
        </w:rPr>
        <w:t>）</w:t>
      </w:r>
      <w:r>
        <w:rPr>
          <w:rFonts w:hint="eastAsia" w:eastAsia="仿宋_GB2312"/>
          <w:color w:val="000000"/>
          <w:kern w:val="0"/>
          <w:szCs w:val="32"/>
          <w:lang w:val="en-US" w:eastAsia="zh-CN" w:bidi="ar"/>
        </w:rPr>
        <w:t>和</w:t>
      </w:r>
      <w:r>
        <w:rPr>
          <w:rFonts w:hint="eastAsia" w:eastAsia="仿宋_GB2312"/>
          <w:color w:val="000000"/>
          <w:kern w:val="0"/>
          <w:szCs w:val="32"/>
          <w:lang w:bidi="ar"/>
        </w:rPr>
        <w:t>未利用地0.0953公顷</w:t>
      </w:r>
      <w:r>
        <w:rPr>
          <w:rFonts w:eastAsia="仿宋_GB2312"/>
          <w:color w:val="000000"/>
          <w:kern w:val="0"/>
          <w:szCs w:val="32"/>
          <w:lang w:bidi="ar"/>
        </w:rPr>
        <w:t>转为建设用地并办理征地手续。上述</w:t>
      </w:r>
      <w:r>
        <w:rPr>
          <w:rFonts w:hint="default" w:eastAsia="仿宋_GB2312"/>
          <w:color w:val="000000"/>
          <w:kern w:val="0"/>
          <w:szCs w:val="32"/>
          <w:lang w:val="en-US" w:bidi="ar"/>
        </w:rPr>
        <w:t>16.0808</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当地人民政府按照土地利用总体规划和</w:t>
      </w:r>
      <w:r>
        <w:rPr>
          <w:rFonts w:hint="eastAsia" w:eastAsia="仿宋_GB2312"/>
          <w:color w:val="000000"/>
          <w:kern w:val="0"/>
          <w:szCs w:val="32"/>
          <w:lang w:bidi="ar"/>
        </w:rPr>
        <w:t>城乡规划确定的用途</w:t>
      </w:r>
      <w:r>
        <w:rPr>
          <w:rFonts w:eastAsia="仿宋_GB2312"/>
          <w:color w:val="000000"/>
          <w:kern w:val="0"/>
          <w:szCs w:val="32"/>
          <w:lang w:bidi="ar"/>
        </w:rPr>
        <w:t>供应，用于城</w:t>
      </w:r>
      <w:r>
        <w:rPr>
          <w:rFonts w:hint="eastAsia" w:eastAsia="仿宋_GB2312"/>
          <w:color w:val="000000"/>
          <w:kern w:val="0"/>
          <w:szCs w:val="32"/>
          <w:lang w:bidi="ar"/>
        </w:rPr>
        <w:t>镇</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三、请你市人民政府负责落实补充耕地。督促补充耕地责任单位认真按照补充耕地方案，补充数量相等、质量相当的耕地，落实建设占用耕地耕作层土壤剥离利用。</w:t>
      </w:r>
    </w:p>
    <w:p>
      <w:pPr>
        <w:widowControl/>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color w:val="000000"/>
          <w:kern w:val="0"/>
          <w:sz w:val="32"/>
          <w:szCs w:val="32"/>
          <w:lang w:bidi="ar"/>
        </w:rPr>
        <w:t>四</w:t>
      </w:r>
      <w:r>
        <w:rPr>
          <w:rFonts w:ascii="Times New Roman" w:hAnsi="Times New Roman" w:eastAsia="仿宋_GB2312" w:cs="Times New Roman"/>
          <w:color w:val="000000"/>
          <w:kern w:val="0"/>
          <w:sz w:val="32"/>
          <w:szCs w:val="32"/>
          <w:lang w:bidi="ar"/>
        </w:rPr>
        <w:t>、</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5"/>
        <w:textAlignment w:val="baseline"/>
        <w:rPr>
          <w:rFonts w:ascii="仿宋_GB2312" w:eastAsia="仿宋_GB2312"/>
          <w:sz w:val="32"/>
        </w:rPr>
      </w:pPr>
    </w:p>
    <w:p>
      <w:pPr>
        <w:widowControl/>
        <w:spacing w:line="580" w:lineRule="exact"/>
        <w:ind w:firstLine="645"/>
        <w:textAlignment w:val="baseline"/>
        <w:rPr>
          <w:rFonts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ascii="Times New Roman" w:hAnsi="Times New Roman" w:eastAsia="仿宋_GB2312" w:cs="Times New Roman"/>
          <w:sz w:val="32"/>
          <w:szCs w:val="32"/>
        </w:rPr>
      </w:pPr>
      <w:r>
        <w:rPr>
          <w:rFonts w:eastAsia="仿宋_GB2312"/>
          <w:sz w:val="32"/>
          <w:szCs w:val="32"/>
        </w:rPr>
        <w:t xml:space="preserve">                         </w:t>
      </w:r>
      <w:r>
        <w:rPr>
          <w:rFonts w:ascii="Times New Roman" w:hAnsi="Times New Roman" w:eastAsia="仿宋_GB2312" w:cs="Times New Roman"/>
          <w:sz w:val="32"/>
          <w:szCs w:val="32"/>
        </w:rPr>
        <w:t xml:space="preserve"> 2023</w:t>
      </w:r>
      <w:r>
        <w:rPr>
          <w:rFonts w:hint="eastAsia"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rPr>
        <w:t>11</w:t>
      </w:r>
      <w:r>
        <w:rPr>
          <w:rFonts w:hint="eastAsia"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rPr>
        <w:t>19</w:t>
      </w:r>
      <w:r>
        <w:rPr>
          <w:rFonts w:ascii="Times New Roman" w:hAnsi="Times New Roman" w:eastAsia="仿宋_GB2312" w:cs="Times New Roman"/>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bookmarkStart w:id="0" w:name="_GoBack"/>
      <w:bookmarkEnd w:id="0"/>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ascii="Times New Roman" w:hAnsi="Times New Roman" w:cs="Times New Roma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0A645C"/>
    <w:rsid w:val="0034328D"/>
    <w:rsid w:val="004B444F"/>
    <w:rsid w:val="00715CDE"/>
    <w:rsid w:val="008021BE"/>
    <w:rsid w:val="00981144"/>
    <w:rsid w:val="00BC1024"/>
    <w:rsid w:val="00C63D23"/>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223C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9B166B"/>
    <w:rsid w:val="0FCA183C"/>
    <w:rsid w:val="0FE15195"/>
    <w:rsid w:val="103E36DE"/>
    <w:rsid w:val="104259D1"/>
    <w:rsid w:val="10ED1105"/>
    <w:rsid w:val="10F52E84"/>
    <w:rsid w:val="111A79E9"/>
    <w:rsid w:val="11307DEC"/>
    <w:rsid w:val="113B48F6"/>
    <w:rsid w:val="114D7E4B"/>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216B44"/>
    <w:rsid w:val="248A2194"/>
    <w:rsid w:val="24C222E7"/>
    <w:rsid w:val="24CB32FA"/>
    <w:rsid w:val="24D4303A"/>
    <w:rsid w:val="24E25A95"/>
    <w:rsid w:val="24EC492E"/>
    <w:rsid w:val="25CB0C29"/>
    <w:rsid w:val="25CF00E0"/>
    <w:rsid w:val="25E1326A"/>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A669FF"/>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83653D"/>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274D2A"/>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9E4BE5"/>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B302D4"/>
    <w:rsid w:val="4ACA3B83"/>
    <w:rsid w:val="4AE426E8"/>
    <w:rsid w:val="4BA13319"/>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AB07CA"/>
    <w:rsid w:val="4DC96953"/>
    <w:rsid w:val="4E3E025E"/>
    <w:rsid w:val="4EA72AF3"/>
    <w:rsid w:val="4F22744E"/>
    <w:rsid w:val="4F5304CD"/>
    <w:rsid w:val="4F556CDA"/>
    <w:rsid w:val="4FD33E96"/>
    <w:rsid w:val="4FF34B87"/>
    <w:rsid w:val="500E25F9"/>
    <w:rsid w:val="501B68FE"/>
    <w:rsid w:val="50B52202"/>
    <w:rsid w:val="50C83156"/>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1E36C2"/>
    <w:rsid w:val="576500E9"/>
    <w:rsid w:val="579A5EA3"/>
    <w:rsid w:val="57A0450D"/>
    <w:rsid w:val="57DF5107"/>
    <w:rsid w:val="57F426D7"/>
    <w:rsid w:val="57F54D7C"/>
    <w:rsid w:val="5847076E"/>
    <w:rsid w:val="584A0EA0"/>
    <w:rsid w:val="589857CA"/>
    <w:rsid w:val="58DF2116"/>
    <w:rsid w:val="5909096B"/>
    <w:rsid w:val="590B1D42"/>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571B9B"/>
    <w:rsid w:val="6C5A086D"/>
    <w:rsid w:val="6C790D60"/>
    <w:rsid w:val="6C984A57"/>
    <w:rsid w:val="6CDA4DED"/>
    <w:rsid w:val="6CE34A9B"/>
    <w:rsid w:val="6CF92CB1"/>
    <w:rsid w:val="6D022A3E"/>
    <w:rsid w:val="6D4E601F"/>
    <w:rsid w:val="6D5A5FEC"/>
    <w:rsid w:val="6D8B547D"/>
    <w:rsid w:val="6D9A375E"/>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B825D8"/>
    <w:rsid w:val="78B9045D"/>
    <w:rsid w:val="78DD1E86"/>
    <w:rsid w:val="796529D2"/>
    <w:rsid w:val="79874153"/>
    <w:rsid w:val="79A81DF6"/>
    <w:rsid w:val="7A240566"/>
    <w:rsid w:val="7A79018F"/>
    <w:rsid w:val="7A862B22"/>
    <w:rsid w:val="7A9447D1"/>
    <w:rsid w:val="7AA143F1"/>
    <w:rsid w:val="7AAD0946"/>
    <w:rsid w:val="7AC737ED"/>
    <w:rsid w:val="7AF62810"/>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after="33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SWSZRZYJ</Company>
  <Pages>2</Pages>
  <Words>97</Words>
  <Characters>554</Characters>
  <Lines>4</Lines>
  <Paragraphs>1</Paragraphs>
  <TotalTime>1</TotalTime>
  <ScaleCrop>false</ScaleCrop>
  <LinksUpToDate>false</LinksUpToDate>
  <CharactersWithSpaces>650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吴国兴</cp:lastModifiedBy>
  <cp:lastPrinted>2021-09-09T13:20:00Z</cp:lastPrinted>
  <dcterms:modified xsi:type="dcterms:W3CDTF">2023-11-16T06:47:39Z</dcterms:modified>
  <dc:title>广东省人民政府关于韶关市新白线公路</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