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F52B2">
      <w:pPr>
        <w:jc w:val="center"/>
        <w:rPr>
          <w:b/>
          <w:bCs/>
          <w:sz w:val="44"/>
          <w:szCs w:val="48"/>
        </w:rPr>
      </w:pPr>
      <w:r>
        <w:rPr>
          <w:rFonts w:hint="eastAsia"/>
          <w:b/>
          <w:bCs/>
          <w:sz w:val="44"/>
          <w:szCs w:val="48"/>
        </w:rPr>
        <w:t>汕尾市捷胜片区控制性详细规划</w:t>
      </w:r>
      <w:r>
        <w:rPr>
          <w:b/>
          <w:bCs/>
          <w:sz w:val="44"/>
          <w:szCs w:val="48"/>
        </w:rPr>
        <w:t>规划</w:t>
      </w:r>
    </w:p>
    <w:p w14:paraId="281176E0">
      <w:pPr>
        <w:jc w:val="center"/>
        <w:rPr>
          <w:b/>
          <w:bCs/>
          <w:sz w:val="36"/>
          <w:szCs w:val="40"/>
        </w:rPr>
      </w:pPr>
      <w:r>
        <w:rPr>
          <w:rFonts w:hint="eastAsia"/>
          <w:b/>
          <w:bCs/>
          <w:sz w:val="44"/>
          <w:szCs w:val="48"/>
        </w:rPr>
        <w:t>内容简介</w:t>
      </w:r>
    </w:p>
    <w:p w14:paraId="0656E26F">
      <w:pPr>
        <w:pStyle w:val="7"/>
        <w:numPr>
          <w:ilvl w:val="0"/>
          <w:numId w:val="1"/>
        </w:numPr>
        <w:ind w:firstLineChars="0"/>
        <w:rPr>
          <w:rFonts w:ascii="仿宋_GB2312" w:hAnsi="仿宋_GB2312" w:eastAsia="仿宋_GB2312" w:cs="仿宋_GB2312"/>
          <w:b/>
          <w:bCs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2"/>
        </w:rPr>
        <w:t>规划范围</w:t>
      </w:r>
    </w:p>
    <w:p w14:paraId="5460D45F">
      <w:pPr>
        <w:ind w:firstLine="560" w:firstLineChars="200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本规划总规划范围3.07平方公里</w:t>
      </w:r>
      <w:r>
        <w:rPr>
          <w:rFonts w:hint="eastAsia" w:ascii="仿宋_GB2312" w:hAnsi="仿宋_GB2312" w:eastAsia="仿宋_GB2312" w:cs="仿宋_GB2312"/>
          <w:sz w:val="28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32"/>
        </w:rPr>
        <w:t>涉及SW-CQ-07-01、SW-CQ-07-02、SW-CQ-07-03和SW-CQ-07-04四个详细规划单元。为全局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统筹</w:t>
      </w:r>
      <w:r>
        <w:rPr>
          <w:rFonts w:hint="eastAsia" w:ascii="仿宋_GB2312" w:hAnsi="仿宋_GB2312" w:eastAsia="仿宋_GB2312" w:cs="仿宋_GB2312"/>
          <w:sz w:val="28"/>
          <w:szCs w:val="32"/>
        </w:rPr>
        <w:t>捷胜片区的发展定位和功能布局，本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次</w:t>
      </w:r>
      <w:r>
        <w:rPr>
          <w:rFonts w:hint="eastAsia" w:ascii="仿宋_GB2312" w:hAnsi="仿宋_GB2312" w:eastAsia="仿宋_GB2312" w:cs="仿宋_GB2312"/>
          <w:sz w:val="28"/>
          <w:szCs w:val="32"/>
        </w:rPr>
        <w:t>规划结合四个详细规划单元及其周边的自然界线、行政界线、海域边界、现状道路等划定研究范围11.27平方公里。</w:t>
      </w:r>
      <w:bookmarkStart w:id="0" w:name="_GoBack"/>
      <w:bookmarkEnd w:id="0"/>
    </w:p>
    <w:p w14:paraId="6E989E60">
      <w:pPr>
        <w:pStyle w:val="7"/>
        <w:numPr>
          <w:ilvl w:val="0"/>
          <w:numId w:val="1"/>
        </w:numPr>
        <w:ind w:firstLineChars="0"/>
        <w:rPr>
          <w:rFonts w:ascii="仿宋_GB2312" w:hAnsi="仿宋_GB2312" w:eastAsia="仿宋_GB2312" w:cs="仿宋_GB2312"/>
          <w:b/>
          <w:bCs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2"/>
        </w:rPr>
        <w:t>规划定位</w:t>
      </w:r>
    </w:p>
    <w:p w14:paraId="3274C017">
      <w:pPr>
        <w:pStyle w:val="7"/>
        <w:ind w:firstLine="560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落实上层次规划对规划区的发展要求，将规划区打造成渔体旅发展名镇和都市山海后花园，通过港镇产一体、渔体旅融合发展，成为汕尾城区对接、融入“双区”“双城”发展的特色组团、承接汕尾主城东拓的重要平台。</w:t>
      </w:r>
    </w:p>
    <w:p w14:paraId="4E989363">
      <w:pPr>
        <w:pStyle w:val="7"/>
        <w:numPr>
          <w:ilvl w:val="0"/>
          <w:numId w:val="1"/>
        </w:numPr>
        <w:ind w:firstLineChars="0"/>
        <w:rPr>
          <w:rFonts w:ascii="仿宋_GB2312" w:hAnsi="仿宋_GB2312" w:eastAsia="仿宋_GB2312" w:cs="仿宋_GB2312"/>
          <w:b/>
          <w:bCs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2"/>
        </w:rPr>
        <w:t>整体空间结构</w:t>
      </w:r>
    </w:p>
    <w:p w14:paraId="0734863D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规划形成“一带、两轴、一核、六片”的整体空间结构。</w:t>
      </w:r>
    </w:p>
    <w:p w14:paraId="5B2B720F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一带：沿海岸线打造的滨海休闲带。</w:t>
      </w:r>
    </w:p>
    <w:p w14:paraId="4B66FE11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两轴：依托县道124和沙角尾路形成的两条城镇发展轴。</w:t>
      </w:r>
    </w:p>
    <w:p w14:paraId="4297F347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一核：由捷胜镇区（市级公共服务）和运动小镇（市级公共服务）共同打造的综合服务核心。</w:t>
      </w:r>
    </w:p>
    <w:p w14:paraId="7FC565AE">
      <w:pPr>
        <w:ind w:firstLine="560" w:firstLineChars="200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六片：形成门户文旅休闲区、老镇生活服务区、智造产业发展区、运动小镇片区、现代渔港经济区、乡村振兴发展区六个片区。“三区”：通过两轴南北串联南部山海旅居区、中部老城生活区和北部产城融合区。</w:t>
      </w:r>
    </w:p>
    <w:p w14:paraId="53CF92C0">
      <w:pPr>
        <w:ind w:firstLine="560" w:firstLineChars="200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“四心”：形成南部康养旅居服务中心、中部老城文化中心、北部公共服务中心和产业服务中心四个城市中心。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DE55AA"/>
    <w:multiLevelType w:val="multilevel"/>
    <w:tmpl w:val="38DE55AA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xYmViODI1YjYwOWI1ZTA3NWNkMjRhNDhjYjcxYTkifQ=="/>
  </w:docVars>
  <w:rsids>
    <w:rsidRoot w:val="00DA6255"/>
    <w:rsid w:val="00002AB9"/>
    <w:rsid w:val="000C6A5B"/>
    <w:rsid w:val="001B04EC"/>
    <w:rsid w:val="002F06D5"/>
    <w:rsid w:val="00323C76"/>
    <w:rsid w:val="004A6FDB"/>
    <w:rsid w:val="005E0E0D"/>
    <w:rsid w:val="005E1232"/>
    <w:rsid w:val="00627C8F"/>
    <w:rsid w:val="00663882"/>
    <w:rsid w:val="00821A6D"/>
    <w:rsid w:val="00876548"/>
    <w:rsid w:val="009F5BA5"/>
    <w:rsid w:val="00A5503E"/>
    <w:rsid w:val="00D10690"/>
    <w:rsid w:val="00DA6255"/>
    <w:rsid w:val="00DF44C3"/>
    <w:rsid w:val="00E52F93"/>
    <w:rsid w:val="02EB425D"/>
    <w:rsid w:val="186C142F"/>
    <w:rsid w:val="574C3302"/>
    <w:rsid w:val="682A0557"/>
    <w:rsid w:val="7E8E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2</Pages>
  <Words>481</Words>
  <Characters>530</Characters>
  <Lines>3</Lines>
  <Paragraphs>1</Paragraphs>
  <TotalTime>5</TotalTime>
  <ScaleCrop>false</ScaleCrop>
  <LinksUpToDate>false</LinksUpToDate>
  <CharactersWithSpaces>530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2024-07-11T07:10:00Z</dcterms:created>
  <dc:creator>梁永雄</dc:creator>
  <cp:lastModifiedBy>李</cp:lastModifiedBy>
  <cp:lastPrinted>2022-08-10T03:32:00Z</cp:lastPrinted>
  <dcterms:modified xsi:type="dcterms:W3CDTF">2024-07-31T02:57:16Z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37BE837715A0426C940BB4F5F976819F</vt:lpwstr>
  </property>
</Properties>
</file>