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ED0000"/>
          <w:kern w:val="0"/>
          <w:sz w:val="36"/>
          <w:szCs w:val="36"/>
        </w:rPr>
      </w:pPr>
      <w:r>
        <w:rPr>
          <w:rFonts w:hint="eastAsia" w:ascii="黑体" w:hAnsi="黑体" w:eastAsia="黑体" w:cs="黑体"/>
          <w:b/>
          <w:color w:val="ED0000"/>
          <w:kern w:val="0"/>
          <w:sz w:val="36"/>
          <w:szCs w:val="36"/>
          <w:lang w:eastAsia="zh-CN"/>
        </w:rPr>
        <w:t>汕尾</w:t>
      </w:r>
      <w:r>
        <w:rPr>
          <w:rFonts w:hint="eastAsia" w:ascii="黑体" w:hAnsi="黑体" w:eastAsia="黑体" w:cs="黑体"/>
          <w:b/>
          <w:color w:val="ED0000"/>
          <w:kern w:val="0"/>
          <w:sz w:val="36"/>
          <w:szCs w:val="36"/>
        </w:rPr>
        <w:t>市</w:t>
      </w:r>
      <w:r>
        <w:rPr>
          <w:rFonts w:hint="eastAsia" w:ascii="黑体" w:hAnsi="黑体" w:eastAsia="黑体" w:cs="黑体"/>
          <w:color w:val="ED0000"/>
          <w:spacing w:val="-2"/>
          <w:kern w:val="0"/>
          <w:sz w:val="36"/>
          <w:szCs w:val="36"/>
          <w:u w:val="single"/>
        </w:rPr>
        <w:t xml:space="preserve">          </w:t>
      </w:r>
      <w:r>
        <w:rPr>
          <w:rFonts w:hint="eastAsia" w:ascii="黑体" w:hAnsi="黑体" w:eastAsia="黑体" w:cs="黑体"/>
          <w:b/>
          <w:color w:val="ED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黑体" w:hAnsi="黑体" w:eastAsia="黑体" w:cs="Times New Roman"/>
          <w:b/>
          <w:kern w:val="0"/>
          <w:sz w:val="32"/>
        </w:rPr>
      </w:pPr>
      <w:r>
        <w:rPr>
          <w:rFonts w:hint="eastAsia" w:ascii="黑体" w:hAnsi="黑体" w:eastAsia="黑体" w:cs="Times New Roman"/>
          <w:b/>
          <w:kern w:val="0"/>
          <w:sz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根据《中华人民共和国公司法》、《中华人民共和国外</w:t>
      </w:r>
      <w:r>
        <w:rPr>
          <w:rFonts w:hint="eastAsia" w:ascii="宋体" w:hAnsi="宋体" w:eastAsia="宋体" w:cs="Times New Roman"/>
          <w:spacing w:val="-2"/>
          <w:kern w:val="0"/>
          <w:sz w:val="32"/>
          <w:lang w:eastAsia="zh-CN"/>
        </w:rPr>
        <w:t>商投资</w:t>
      </w:r>
      <w:r>
        <w:rPr>
          <w:rFonts w:hint="eastAsia" w:ascii="宋体" w:hAnsi="宋体" w:eastAsia="宋体" w:cs="Times New Roman"/>
          <w:spacing w:val="-2"/>
          <w:kern w:val="0"/>
          <w:sz w:val="32"/>
        </w:rPr>
        <w:t>法》及其他有关法律规定，</w:t>
      </w:r>
      <w:r>
        <w:rPr>
          <w:rFonts w:hint="eastAsia" w:ascii="宋体" w:hAnsi="宋体" w:eastAsia="宋体" w:cs="Times New Roman"/>
          <w:spacing w:val="-2"/>
          <w:kern w:val="0"/>
          <w:sz w:val="32"/>
          <w:lang w:eastAsia="zh-CN"/>
        </w:rPr>
        <w:t>中国香港居民</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lang w:val="en-US" w:eastAsia="zh-CN"/>
        </w:rPr>
        <w:t xml:space="preserve">    </w:t>
      </w:r>
      <w:r>
        <w:rPr>
          <w:rFonts w:hint="eastAsia" w:ascii="宋体" w:hAnsi="宋体" w:eastAsia="宋体" w:cs="Times New Roman"/>
          <w:spacing w:val="-2"/>
          <w:kern w:val="0"/>
          <w:sz w:val="32"/>
        </w:rPr>
        <w:t>（以下简称投资者），决定在</w:t>
      </w:r>
      <w:r>
        <w:rPr>
          <w:rFonts w:hint="eastAsia" w:ascii="宋体" w:hAnsi="宋体" w:eastAsia="宋体" w:cs="Times New Roman"/>
          <w:spacing w:val="-2"/>
          <w:kern w:val="0"/>
          <w:sz w:val="32"/>
          <w:lang w:eastAsia="zh-CN"/>
        </w:rPr>
        <w:t>汕尾</w:t>
      </w:r>
      <w:r>
        <w:rPr>
          <w:rFonts w:hint="eastAsia" w:ascii="宋体" w:hAnsi="宋体" w:eastAsia="宋体" w:cs="Times New Roman"/>
          <w:spacing w:val="-2"/>
          <w:kern w:val="0"/>
          <w:sz w:val="32"/>
        </w:rPr>
        <w:t>市设立</w:t>
      </w:r>
      <w:r>
        <w:rPr>
          <w:rFonts w:hint="eastAsia" w:ascii="宋体" w:hAnsi="宋体" w:eastAsia="宋体" w:cs="Times New Roman"/>
          <w:spacing w:val="-2"/>
          <w:kern w:val="0"/>
          <w:sz w:val="32"/>
          <w:lang w:eastAsia="zh-CN"/>
        </w:rPr>
        <w:t>汕尾市</w:t>
      </w:r>
      <w:r>
        <w:rPr>
          <w:rFonts w:hint="eastAsia" w:ascii="宋体" w:hAnsi="宋体" w:eastAsia="宋体" w:cs="Times New Roman"/>
          <w:color w:val="FF0000"/>
          <w:spacing w:val="-2"/>
          <w:kern w:val="0"/>
          <w:sz w:val="32"/>
          <w:lang w:val="en-US" w:eastAsia="zh-CN"/>
        </w:rPr>
        <w:t>XXX</w:t>
      </w:r>
      <w:r>
        <w:rPr>
          <w:rFonts w:hint="eastAsia" w:ascii="宋体" w:hAnsi="宋体" w:eastAsia="宋体" w:cs="Times New Roman"/>
          <w:spacing w:val="-2"/>
          <w:kern w:val="0"/>
          <w:sz w:val="32"/>
        </w:rPr>
        <w:t>有限公司</w:t>
      </w:r>
      <w:r>
        <w:rPr>
          <w:rFonts w:hint="eastAsia" w:ascii="宋体" w:hAnsi="宋体" w:eastAsia="宋体" w:cs="Times New Roman"/>
          <w:spacing w:val="-2"/>
          <w:kern w:val="0"/>
          <w:sz w:val="32"/>
          <w:lang w:eastAsia="zh-CN"/>
        </w:rPr>
        <w:t>（港澳台自然人独资）</w:t>
      </w:r>
      <w:r>
        <w:rPr>
          <w:rFonts w:hint="eastAsia" w:ascii="宋体" w:hAnsi="宋体" w:eastAsia="宋体" w:cs="Times New Roman"/>
          <w:spacing w:val="-2"/>
          <w:kern w:val="0"/>
          <w:sz w:val="32"/>
        </w:rPr>
        <w:t>(以下简称公司),特制订立本章程。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w:t>
      </w:r>
      <w:r>
        <w:rPr>
          <w:rFonts w:hint="eastAsia" w:ascii="黑体" w:hAnsi="黑体" w:eastAsia="黑体" w:cs="Times New Roman"/>
          <w:b/>
          <w:kern w:val="0"/>
          <w:sz w:val="32"/>
        </w:rPr>
        <w:t>、</w:t>
      </w:r>
      <w:r>
        <w:rPr>
          <w:rFonts w:ascii="黑体" w:hAnsi="黑体" w:eastAsia="黑体" w:cs="Times New Roman"/>
          <w:b/>
          <w:kern w:val="0"/>
          <w:sz w:val="32"/>
        </w:rPr>
        <w:t>住所</w:t>
      </w:r>
      <w:r>
        <w:rPr>
          <w:rFonts w:hint="eastAsia" w:ascii="黑体" w:hAnsi="黑体" w:eastAsia="黑体" w:cs="Times New Roman"/>
          <w:b/>
          <w:kern w:val="0"/>
          <w:sz w:val="32"/>
        </w:rPr>
        <w:t>、</w:t>
      </w:r>
      <w:r>
        <w:rPr>
          <w:rFonts w:ascii="黑体" w:hAnsi="黑体" w:eastAsia="黑体" w:cs="Times New Roman"/>
          <w:b/>
          <w:kern w:val="0"/>
          <w:sz w:val="32"/>
        </w:rPr>
        <w:t>经营范围</w:t>
      </w:r>
      <w:r>
        <w:rPr>
          <w:rFonts w:hint="eastAsia" w:ascii="黑体" w:hAnsi="黑体" w:eastAsia="黑体" w:cs="Times New Roman"/>
          <w:b/>
          <w:kern w:val="0"/>
          <w:sz w:val="32"/>
        </w:rPr>
        <w:t>、</w:t>
      </w:r>
      <w:r>
        <w:rPr>
          <w:rFonts w:ascii="黑体" w:hAnsi="黑体" w:eastAsia="黑体" w:cs="Times New Roman"/>
          <w:b/>
          <w:kern w:val="0"/>
          <w:sz w:val="32"/>
        </w:rPr>
        <w:t>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ED0000"/>
          <w:spacing w:val="-2"/>
          <w:kern w:val="0"/>
          <w:sz w:val="32"/>
          <w:lang w:eastAsia="zh-CN"/>
        </w:rPr>
        <w:t>汕尾</w:t>
      </w:r>
      <w:r>
        <w:rPr>
          <w:rFonts w:hint="eastAsia" w:ascii="宋体" w:hAnsi="宋体" w:eastAsia="宋体" w:cs="Times New Roman"/>
          <w:color w:val="ED0000"/>
          <w:spacing w:val="-2"/>
          <w:kern w:val="0"/>
          <w:sz w:val="32"/>
        </w:rPr>
        <w:t>市</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w:t>
      </w:r>
      <w:r>
        <w:rPr>
          <w:rFonts w:hint="eastAsia" w:ascii="宋体" w:hAnsi="宋体" w:eastAsia="宋体" w:cs="Times New Roman"/>
          <w:spacing w:val="-2"/>
          <w:kern w:val="0"/>
          <w:sz w:val="32"/>
        </w:rPr>
        <w:t>地址选择及生产经营过程的环境保护方案、消防安全措施，须经汕尾市环境保护部门、消防管理部门审核批准。</w:t>
      </w:r>
    </w:p>
    <w:p>
      <w:pPr>
        <w:ind w:left="624"/>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ED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hint="eastAsia" w:ascii="宋体" w:hAnsi="宋体" w:eastAsia="宋体" w:cs="Times New Roman"/>
          <w:spacing w:val="-2"/>
          <w:kern w:val="0"/>
          <w:sz w:val="32"/>
          <w:lang w:eastAsia="zh-CN"/>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Times New Roman"/>
          <w:spacing w:val="-2"/>
          <w:kern w:val="0"/>
          <w:sz w:val="32"/>
          <w:lang w:eastAsia="zh-CN"/>
        </w:rPr>
        <w:t>公司的投资总额为人民币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r>
        <w:rPr>
          <w:rFonts w:hint="eastAsia" w:ascii="宋体" w:hAnsi="宋体" w:eastAsia="宋体" w:cs="Times New Roman"/>
          <w:spacing w:val="-2"/>
          <w:kern w:val="0"/>
          <w:sz w:val="32"/>
          <w:lang w:eastAsia="zh-CN"/>
        </w:rPr>
        <w:t>；</w:t>
      </w:r>
    </w:p>
    <w:p>
      <w:pPr>
        <w:ind w:firstLine="640" w:firstLineChars="200"/>
        <w:rPr>
          <w:rFonts w:ascii="宋体" w:hAnsi="宋体" w:eastAsia="宋体" w:cs="Times New Roman"/>
          <w:spacing w:val="-2"/>
          <w:kern w:val="0"/>
          <w:sz w:val="32"/>
        </w:rPr>
      </w:pP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widowControl/>
        <w:ind w:firstLine="635" w:firstLineChars="200"/>
        <w:jc w:val="left"/>
        <w:rPr>
          <w:color w:val="FF0000"/>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u w:val="single"/>
          <w:lang w:val="en-US" w:eastAsia="zh-CN"/>
        </w:rPr>
        <w:t xml:space="preserve">      </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港澳居民来往内地通行证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hint="eastAsia" w:ascii="宋体" w:hAnsi="宋体" w:eastAsia="宋体" w:cs="Times New Roman"/>
          <w:color w:val="FF0000"/>
          <w:spacing w:val="-2"/>
          <w:kern w:val="0"/>
          <w:sz w:val="32"/>
          <w:lang w:eastAsia="zh-CN"/>
        </w:rPr>
        <w:t>商业登记证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960" w:firstLineChars="300"/>
        <w:rPr>
          <w:rFonts w:hint="eastAsia" w:ascii="宋体" w:hAnsi="宋体" w:eastAsia="宋体" w:cs="宋体"/>
          <w:color w:val="FF0000"/>
          <w:kern w:val="0"/>
          <w:sz w:val="32"/>
          <w:szCs w:val="32"/>
          <w:lang w:bidi="ar"/>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r>
        <w:rPr>
          <w:rFonts w:hint="eastAsia" w:ascii="宋体" w:hAnsi="宋体" w:eastAsia="宋体" w:cs="Times New Roman"/>
          <w:spacing w:val="-2"/>
          <w:kern w:val="0"/>
          <w:sz w:val="32"/>
        </w:rPr>
        <w:t>董事决定</w:t>
      </w:r>
      <w:r>
        <w:rPr>
          <w:rFonts w:ascii="宋体" w:hAnsi="宋体" w:eastAsia="宋体" w:cs="Times New Roman"/>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ED0000"/>
          <w:spacing w:val="-2"/>
          <w:kern w:val="0"/>
          <w:sz w:val="32"/>
        </w:rPr>
      </w:pP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认缴出资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万元，其中：以货币/知识产权作价/实物作价/土地使用权作价/股权作价/债权作价出资</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万元</w:t>
      </w:r>
      <w:r>
        <w:rPr>
          <w:rFonts w:hint="eastAsia" w:ascii="宋体" w:hAnsi="宋体" w:eastAsia="宋体" w:cs="Times New Roman"/>
          <w:color w:val="ED0000"/>
          <w:spacing w:val="-2"/>
          <w:kern w:val="0"/>
          <w:sz w:val="32"/>
        </w:rPr>
        <w:t>，</w:t>
      </w:r>
      <w:r>
        <w:rPr>
          <w:rFonts w:ascii="宋体" w:hAnsi="宋体" w:eastAsia="宋体" w:cs="Times New Roman"/>
          <w:color w:val="ED0000"/>
          <w:spacing w:val="-2"/>
          <w:kern w:val="0"/>
          <w:sz w:val="32"/>
        </w:rPr>
        <w:t>于</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ascii="宋体" w:hAnsi="宋体" w:eastAsia="宋体" w:cs="Times New Roman"/>
          <w:color w:val="FF0000"/>
          <w:spacing w:val="-2"/>
          <w:kern w:val="0"/>
          <w:sz w:val="32"/>
          <w:u w:val="single"/>
        </w:rPr>
        <w:t>/</w:t>
      </w:r>
      <w:r>
        <w:rPr>
          <w:rFonts w:hint="eastAsia" w:ascii="宋体" w:hAnsi="宋体" w:cs="Times New Roman"/>
          <w:color w:val="FF0000"/>
          <w:spacing w:val="-2"/>
          <w:kern w:val="0"/>
          <w:sz w:val="32"/>
          <w:u w:val="single"/>
        </w:rPr>
        <w:t>变更</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spacing w:val="-2"/>
          <w:kern w:val="0"/>
          <w:sz w:val="32"/>
        </w:rPr>
        <w:t>外汇与人民币的折算按投入当天中国人民银行公布的汇率折算。</w:t>
      </w:r>
      <w:bookmarkStart w:id="0" w:name="_GoBack"/>
      <w:bookmarkEnd w:id="0"/>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第二十条 </w:t>
      </w:r>
      <w:r>
        <w:rPr>
          <w:rFonts w:ascii="宋体" w:hAnsi="宋体" w:eastAsia="宋体" w:cs="Times New Roman"/>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违反前款规定的，股东应当返还抽逃的出资；给公司造成损失的，负有责任的董事、高级管理人员应当与股东承担连带赔偿责任。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股东可以转让其全部或者部分股权。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ED0000"/>
          <w:spacing w:val="-2"/>
          <w:kern w:val="0"/>
          <w:sz w:val="32"/>
          <w:u w:val="single"/>
        </w:rPr>
        <w:t>代表公司执行公司事务的董事</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和更换董事，决定有关董事的报酬事项；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股东可以授权董事对发行公司债券作出决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公司设董事</w:t>
      </w:r>
      <w:r>
        <w:rPr>
          <w:rFonts w:hint="eastAsia" w:ascii="宋体" w:hAnsi="宋体" w:eastAsia="宋体" w:cs="Times New Roman"/>
          <w:color w:val="ED0000"/>
          <w:spacing w:val="-2"/>
          <w:kern w:val="0"/>
          <w:sz w:val="32"/>
          <w:u w:val="single"/>
        </w:rPr>
        <w:t>1</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股东任命</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ED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二</w:t>
      </w:r>
      <w:r>
        <w:rPr>
          <w:rFonts w:ascii="宋体" w:hAnsi="宋体" w:eastAsia="宋体" w:cs="Times New Roman"/>
          <w:spacing w:val="-2"/>
          <w:kern w:val="0"/>
          <w:sz w:val="32"/>
        </w:rPr>
        <w:t>）执行股东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三</w:t>
      </w:r>
      <w:r>
        <w:rPr>
          <w:rFonts w:ascii="宋体" w:hAnsi="宋体" w:eastAsia="宋体" w:cs="Times New Roman"/>
          <w:spacing w:val="-2"/>
          <w:kern w:val="0"/>
          <w:sz w:val="32"/>
        </w:rPr>
        <w:t>）决定公司的经营计划和投资方案；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九</w:t>
      </w:r>
      <w:r>
        <w:rPr>
          <w:rFonts w:ascii="宋体" w:hAnsi="宋体" w:eastAsia="宋体" w:cs="Times New Roman"/>
          <w:spacing w:val="-2"/>
          <w:kern w:val="0"/>
          <w:sz w:val="32"/>
        </w:rPr>
        <w:t>）制定公司的基本管理制度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十</w:t>
      </w:r>
      <w:r>
        <w:rPr>
          <w:rFonts w:ascii="宋体" w:hAnsi="宋体" w:eastAsia="宋体" w:cs="Times New Roman"/>
          <w:spacing w:val="-2"/>
          <w:kern w:val="0"/>
          <w:sz w:val="32"/>
        </w:rPr>
        <w:t>）公司章程规定或者股东授予的其他职权。</w:t>
      </w:r>
    </w:p>
    <w:p>
      <w:pPr>
        <w:pStyle w:val="7"/>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color w:val="ED0000"/>
          <w:spacing w:val="-2"/>
          <w:kern w:val="0"/>
          <w:sz w:val="32"/>
        </w:rPr>
        <w:t>公司</w:t>
      </w:r>
      <w:r>
        <w:rPr>
          <w:rFonts w:hint="eastAsia" w:ascii="宋体" w:hAnsi="宋体" w:eastAsia="宋体" w:cs="Times New Roman"/>
          <w:color w:val="ED0000"/>
          <w:spacing w:val="-2"/>
          <w:kern w:val="0"/>
          <w:sz w:val="32"/>
        </w:rPr>
        <w:t>不</w:t>
      </w:r>
      <w:r>
        <w:rPr>
          <w:rFonts w:ascii="宋体" w:hAnsi="宋体" w:eastAsia="宋体" w:cs="Times New Roman"/>
          <w:color w:val="ED0000"/>
          <w:spacing w:val="-2"/>
          <w:kern w:val="0"/>
          <w:sz w:val="32"/>
        </w:rPr>
        <w:t>设监事</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有下列情形之一的，不得担任公司的董事、高级管理人员：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三十九</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第四十一条</w:t>
      </w:r>
      <w:r>
        <w:rPr>
          <w:rFonts w:hint="eastAsia" w:ascii="Microsoft JhengHei" w:hAnsi="Microsoft JhengHei" w:eastAsia="Microsoft JhengHei" w:cs="Times New Roman"/>
          <w:b/>
          <w:kern w:val="0"/>
          <w:sz w:val="32"/>
        </w:rPr>
        <w:t xml:space="preserve"> </w:t>
      </w:r>
      <w:r>
        <w:rPr>
          <w:rFonts w:hint="eastAsia" w:ascii="宋体" w:hAnsi="宋体" w:eastAsia="宋体" w:cs="Times New Roman"/>
          <w:spacing w:val="-2"/>
          <w:kern w:val="0"/>
          <w:sz w:val="32"/>
        </w:rPr>
        <w:t>董事、高级管理人员，不得利用职务便利为自己或者他人谋取属于公司的商业机会。但是，有下列情形之一的除外：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第四十二条</w:t>
      </w:r>
      <w:r>
        <w:rPr>
          <w:rFonts w:hint="eastAsia" w:ascii="Microsoft JhengHei" w:hAnsi="Microsoft JhengHei" w:eastAsia="Microsoft JhengHei" w:cs="Times New Roman"/>
          <w:b/>
          <w:kern w:val="0"/>
          <w:sz w:val="32"/>
        </w:rPr>
        <w:t>　</w:t>
      </w:r>
      <w:r>
        <w:rPr>
          <w:rFonts w:hint="eastAsia" w:ascii="宋体" w:hAnsi="宋体" w:eastAsia="宋体" w:cs="Times New Roman"/>
          <w:spacing w:val="-2"/>
          <w:kern w:val="0"/>
          <w:sz w:val="32"/>
        </w:rPr>
        <w:t>董事、高级管理人员未向董事或者股东报告，并经</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决定通过，不得自营或者为他人经营与其任职公司同类的业务。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第四十三条 </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四十六</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第四十七条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第四十八条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lang w:eastAsia="zh-CN"/>
        </w:rPr>
        <w:t>决定</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五十一</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五十二</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五十四</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五十七</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五十八</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股东、董事、高级管理人员应当把联系方式（包括通信地址、电话、电子邮箱等）报公司置备，发生变动的，应及时报公司予以更新。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w:t>
      </w:r>
      <w:r>
        <w:rPr>
          <w:rFonts w:cs="Times New Roman" w:asciiTheme="minorEastAsia" w:hAnsiTheme="minorEastAsia"/>
          <w:color w:val="FF0000"/>
          <w:spacing w:val="-2"/>
          <w:kern w:val="0"/>
          <w:sz w:val="32"/>
        </w:rPr>
        <w:t>/</w:t>
      </w:r>
      <w:r>
        <w:rPr>
          <w:rFonts w:hint="eastAsia" w:cs="Times New Roman" w:asciiTheme="minorEastAsia" w:hAnsiTheme="minorEastAsia"/>
          <w:color w:val="FF0000"/>
          <w:spacing w:val="-2"/>
          <w:kern w:val="0"/>
          <w:sz w:val="32"/>
          <w:lang w:eastAsia="zh-CN"/>
        </w:rPr>
        <w:t>股东（二选一）</w:t>
      </w:r>
      <w:r>
        <w:rPr>
          <w:rFonts w:hint="eastAsia" w:ascii="宋体" w:hAnsi="宋体" w:eastAsia="宋体" w:cs="Times New Roman"/>
          <w:spacing w:val="-2"/>
          <w:kern w:val="0"/>
          <w:sz w:val="32"/>
        </w:rPr>
        <w:t>决定</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本章程于</w:t>
      </w:r>
      <w:r>
        <w:rPr>
          <w:rFonts w:ascii="宋体" w:hAnsi="宋体" w:eastAsia="宋体" w:cs="Times New Roman"/>
          <w:color w:val="ED0000"/>
          <w:spacing w:val="-2"/>
          <w:kern w:val="0"/>
          <w:sz w:val="32"/>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r>
        <w:rPr>
          <w:rFonts w:ascii="宋体" w:hAnsi="宋体" w:eastAsia="宋体" w:cs="Times New Roman"/>
          <w:spacing w:val="-2"/>
          <w:kern w:val="0"/>
          <w:sz w:val="32"/>
        </w:rPr>
        <w:t>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rPr>
          <w:rFonts w:ascii="宋体" w:hAnsi="宋体" w:eastAsia="宋体" w:cs="Times New Roman"/>
          <w:color w:val="ED0000"/>
          <w:kern w:val="0"/>
          <w:sz w:val="32"/>
        </w:rPr>
      </w:pP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97A37"/>
    <w:rsid w:val="000F6065"/>
    <w:rsid w:val="001E18C0"/>
    <w:rsid w:val="00240A4F"/>
    <w:rsid w:val="002F7D0A"/>
    <w:rsid w:val="00540F8B"/>
    <w:rsid w:val="005B038D"/>
    <w:rsid w:val="006634E8"/>
    <w:rsid w:val="00727848"/>
    <w:rsid w:val="00856116"/>
    <w:rsid w:val="0090099A"/>
    <w:rsid w:val="00944512"/>
    <w:rsid w:val="00A068AD"/>
    <w:rsid w:val="00A0777B"/>
    <w:rsid w:val="00DA7234"/>
    <w:rsid w:val="00DF533F"/>
    <w:rsid w:val="02A0252E"/>
    <w:rsid w:val="0EBA6009"/>
    <w:rsid w:val="13C82EBE"/>
    <w:rsid w:val="1CB00320"/>
    <w:rsid w:val="27740341"/>
    <w:rsid w:val="2E210DA6"/>
    <w:rsid w:val="30412871"/>
    <w:rsid w:val="31CD25F0"/>
    <w:rsid w:val="3D6637FD"/>
    <w:rsid w:val="3FB622D7"/>
    <w:rsid w:val="451B7CDE"/>
    <w:rsid w:val="45750D0A"/>
    <w:rsid w:val="45AB3805"/>
    <w:rsid w:val="488C6CB4"/>
    <w:rsid w:val="51906DE2"/>
    <w:rsid w:val="52063744"/>
    <w:rsid w:val="56D56C11"/>
    <w:rsid w:val="616E24C9"/>
    <w:rsid w:val="628B2A89"/>
    <w:rsid w:val="64605D35"/>
    <w:rsid w:val="6CA37D42"/>
    <w:rsid w:val="6CB0032D"/>
    <w:rsid w:val="74CE5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rPr>
      <w:rFonts w:hint="eastAsia" w:cs="Times New Roman"/>
      <w:sz w:val="24"/>
    </w:rPr>
  </w:style>
  <w:style w:type="character" w:customStyle="1" w:styleId="10">
    <w:name w:val="页眉 字符"/>
    <w:basedOn w:val="9"/>
    <w:link w:val="6"/>
    <w:qFormat/>
    <w:uiPriority w:val="0"/>
    <w:rPr>
      <w:rFonts w:asciiTheme="minorHAnsi" w:hAnsiTheme="minorHAnsi" w:eastAsiaTheme="minorEastAsia" w:cstheme="minorBidi"/>
      <w:kern w:val="2"/>
      <w:sz w:val="18"/>
      <w:szCs w:val="18"/>
    </w:rPr>
  </w:style>
  <w:style w:type="character" w:customStyle="1" w:styleId="11">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6591</Words>
  <Characters>6596</Characters>
  <Lines>52</Lines>
  <Paragraphs>14</Paragraphs>
  <TotalTime>0</TotalTime>
  <ScaleCrop>false</ScaleCrop>
  <LinksUpToDate>false</LinksUpToDate>
  <CharactersWithSpaces>7189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2024-08-13T03:51:07Z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5B8B7559E433427A86EB543ABC0B26AB_13</vt:lpwstr>
  </property>
</Properties>
</file>