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right"/>
        <w:rPr>
          <w:rFonts w:eastAsia="方正小标宋简体"/>
          <w:sz w:val="44"/>
          <w:szCs w:val="44"/>
        </w:rPr>
      </w:pPr>
      <w:r>
        <w:rPr>
          <w:rFonts w:hint="eastAsia" w:ascii="仿宋_GB2312" w:hAnsi="仿宋_GB2312" w:eastAsia="仿宋_GB2312"/>
          <w:sz w:val="32"/>
          <w:szCs w:val="32"/>
        </w:rPr>
        <w:t>粤府土审（</w:t>
      </w:r>
      <w:r>
        <w:rPr>
          <w:rFonts w:hint="eastAsia" w:ascii="Times New Roman" w:hAnsi="Times New Roman" w:eastAsia="仿宋_GB2312" w:cs="Times New Roman"/>
          <w:sz w:val="32"/>
          <w:szCs w:val="32"/>
        </w:rPr>
        <w:t>11</w:t>
      </w:r>
      <w:r>
        <w:rPr>
          <w:rFonts w:hint="eastAsia" w:ascii="仿宋_GB2312" w:hAnsi="仿宋_GB2312" w:eastAsia="仿宋_GB2312"/>
          <w:sz w:val="32"/>
          <w:szCs w:val="32"/>
        </w:rPr>
        <w:t>）〔</w:t>
      </w:r>
      <w:r>
        <w:rPr>
          <w:rFonts w:hint="eastAsia"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sz w:val="32"/>
          <w:szCs w:val="32"/>
        </w:rPr>
        <w:t>〕</w:t>
      </w:r>
      <w:r>
        <w:rPr>
          <w:rFonts w:hint="eastAsia" w:ascii="Times New Roman" w:hAnsi="Times New Roman" w:eastAsia="仿宋_GB2312" w:cs="Times New Roman"/>
          <w:sz w:val="32"/>
          <w:szCs w:val="32"/>
          <w:lang w:val="en-US" w:eastAsia="zh-CN"/>
        </w:rPr>
        <w:t>11</w:t>
      </w:r>
      <w:r>
        <w:rPr>
          <w:rFonts w:hint="eastAsia" w:ascii="仿宋_GB2312" w:hAnsi="仿宋_GB2312" w:eastAsia="仿宋_GB2312"/>
          <w:sz w:val="32"/>
          <w:szCs w:val="32"/>
        </w:rPr>
        <w:t>号</w:t>
      </w:r>
    </w:p>
    <w:p>
      <w:pPr>
        <w:snapToGrid w:val="0"/>
        <w:spacing w:line="580" w:lineRule="exact"/>
        <w:jc w:val="center"/>
        <w:rPr>
          <w:rFonts w:eastAsia="方正小标宋简体"/>
          <w:sz w:val="44"/>
          <w:szCs w:val="44"/>
        </w:rPr>
      </w:pPr>
    </w:p>
    <w:p>
      <w:pPr>
        <w:pStyle w:val="10"/>
        <w:keepNext w:val="0"/>
        <w:keepLines w:val="0"/>
        <w:pageBreakBefore w:val="0"/>
        <w:widowControl w:val="0"/>
        <w:kinsoku/>
        <w:wordWrap/>
        <w:overflowPunct/>
        <w:topLinePunct w:val="0"/>
        <w:autoSpaceDE w:val="0"/>
        <w:autoSpaceDN w:val="0"/>
        <w:bidi w:val="0"/>
        <w:adjustRightInd/>
        <w:snapToGrid/>
        <w:spacing w:line="580" w:lineRule="exact"/>
        <w:jc w:val="center"/>
        <w:textAlignment w:val="auto"/>
        <w:rPr>
          <w:rFonts w:hint="default" w:ascii="Times New Roman" w:hAnsi="Times New Roman" w:eastAsia="方正小标宋简体" w:cs="Times New Roman"/>
          <w:b w:val="0"/>
          <w:bCs/>
          <w:color w:val="000000"/>
          <w:kern w:val="0"/>
          <w:sz w:val="44"/>
          <w:szCs w:val="44"/>
          <w:lang w:val="en-US" w:eastAsia="zh-CN" w:bidi="ar"/>
        </w:rPr>
      </w:pPr>
      <w:r>
        <w:rPr>
          <w:rFonts w:hint="default" w:ascii="Times New Roman" w:hAnsi="Times New Roman" w:eastAsia="方正小标宋简体" w:cs="Times New Roman"/>
          <w:b w:val="0"/>
          <w:bCs/>
          <w:color w:val="000000"/>
          <w:kern w:val="0"/>
          <w:sz w:val="44"/>
          <w:szCs w:val="44"/>
          <w:lang w:val="en-US" w:eastAsia="zh-CN" w:bidi="ar"/>
        </w:rPr>
        <w:t>广东</w:t>
      </w:r>
      <w:r>
        <w:rPr>
          <w:rFonts w:hint="default" w:ascii="Times New Roman" w:hAnsi="Times New Roman" w:eastAsia="方正小标宋简体" w:cs="Times New Roman"/>
          <w:b w:val="0"/>
          <w:bCs/>
          <w:color w:val="000000"/>
          <w:spacing w:val="-11"/>
          <w:kern w:val="0"/>
          <w:sz w:val="44"/>
          <w:szCs w:val="44"/>
          <w:lang w:val="en-US" w:eastAsia="zh-CN" w:bidi="ar"/>
        </w:rPr>
        <w:t>省人民政府关于</w:t>
      </w:r>
      <w:r>
        <w:rPr>
          <w:rFonts w:hint="default" w:ascii="Times New Roman" w:hAnsi="Times New Roman" w:eastAsia="方正小标宋简体" w:cs="Times New Roman"/>
          <w:b w:val="0"/>
          <w:bCs/>
          <w:color w:val="000000"/>
          <w:kern w:val="0"/>
          <w:sz w:val="44"/>
          <w:szCs w:val="44"/>
          <w:lang w:val="en-US" w:eastAsia="zh-CN" w:bidi="ar"/>
        </w:rPr>
        <w:t>陆河县2022年度</w:t>
      </w:r>
    </w:p>
    <w:p>
      <w:pPr>
        <w:pStyle w:val="10"/>
        <w:keepNext w:val="0"/>
        <w:keepLines w:val="0"/>
        <w:pageBreakBefore w:val="0"/>
        <w:widowControl w:val="0"/>
        <w:kinsoku/>
        <w:wordWrap/>
        <w:overflowPunct/>
        <w:topLinePunct w:val="0"/>
        <w:autoSpaceDE w:val="0"/>
        <w:autoSpaceDN w:val="0"/>
        <w:bidi w:val="0"/>
        <w:adjustRightInd/>
        <w:snapToGrid/>
        <w:spacing w:line="580" w:lineRule="exact"/>
        <w:jc w:val="center"/>
        <w:textAlignment w:val="auto"/>
        <w:rPr>
          <w:rFonts w:hint="default" w:ascii="Times New Roman" w:hAnsi="Times New Roman" w:eastAsia="方正小标宋简体" w:cs="Times New Roman"/>
          <w:b w:val="0"/>
          <w:bCs/>
          <w:color w:val="000000"/>
          <w:kern w:val="0"/>
          <w:sz w:val="44"/>
          <w:szCs w:val="44"/>
          <w:lang w:val="en-US" w:eastAsia="zh-CN" w:bidi="ar"/>
        </w:rPr>
      </w:pPr>
      <w:r>
        <w:rPr>
          <w:rFonts w:hint="default" w:ascii="Times New Roman" w:hAnsi="Times New Roman" w:eastAsia="方正小标宋简体" w:cs="Times New Roman"/>
          <w:b w:val="0"/>
          <w:bCs/>
          <w:color w:val="000000"/>
          <w:kern w:val="0"/>
          <w:sz w:val="44"/>
          <w:szCs w:val="44"/>
          <w:lang w:val="en-US" w:eastAsia="zh-CN" w:bidi="ar"/>
        </w:rPr>
        <w:t>第一批次城镇建设用地的批复</w:t>
      </w: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宋体" w:cs="Times New Roman"/>
          <w:color w:val="000000"/>
          <w:kern w:val="0"/>
          <w:sz w:val="30"/>
          <w:szCs w:val="30"/>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b w:val="0"/>
          <w:bCs/>
          <w:color w:val="000000"/>
          <w:kern w:val="0"/>
          <w:sz w:val="32"/>
          <w:szCs w:val="32"/>
          <w:lang w:val="en-US" w:eastAsia="zh-CN" w:bidi="ar"/>
        </w:rPr>
        <w:t>汕尾</w:t>
      </w:r>
      <w:r>
        <w:rPr>
          <w:rFonts w:hint="default" w:ascii="Times New Roman" w:hAnsi="Times New Roman" w:eastAsia="仿宋_GB2312" w:cs="Times New Roman"/>
          <w:b w:val="0"/>
          <w:bCs/>
          <w:color w:val="000000"/>
          <w:kern w:val="0"/>
          <w:sz w:val="32"/>
          <w:szCs w:val="32"/>
          <w:lang w:val="en-US" w:eastAsia="zh-CN" w:bidi="ar"/>
        </w:rPr>
        <w:t>市人</w:t>
      </w:r>
      <w:r>
        <w:rPr>
          <w:rFonts w:hint="default" w:ascii="Times New Roman" w:hAnsi="Times New Roman" w:eastAsia="仿宋_GB2312" w:cs="Times New Roman"/>
          <w:color w:val="000000"/>
          <w:kern w:val="0"/>
          <w:sz w:val="32"/>
          <w:szCs w:val="32"/>
          <w:lang w:val="en-US" w:eastAsia="zh-CN" w:bidi="ar"/>
        </w:rPr>
        <w:t xml:space="preserve">民政府： </w:t>
      </w:r>
    </w:p>
    <w:p>
      <w:pPr>
        <w:pStyle w:val="10"/>
        <w:keepNext w:val="0"/>
        <w:keepLines w:val="0"/>
        <w:pageBreakBefore w:val="0"/>
        <w:widowControl w:val="0"/>
        <w:kinsoku/>
        <w:wordWrap/>
        <w:overflowPunct/>
        <w:topLinePunct w:val="0"/>
        <w:autoSpaceDE w:val="0"/>
        <w:autoSpaceDN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 xml:space="preserve">    </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CN"/>
        </w:rPr>
        <w:t>关于审批</w:t>
      </w:r>
      <w:r>
        <w:rPr>
          <w:rFonts w:hint="default" w:ascii="Times New Roman" w:hAnsi="Times New Roman" w:eastAsia="仿宋_GB2312" w:cs="Times New Roman"/>
          <w:sz w:val="32"/>
          <w:szCs w:val="32"/>
          <w:lang w:val="en-US" w:eastAsia="zh-CN"/>
        </w:rPr>
        <w:t>陆河县2022年度第一批次城镇建设用地</w:t>
      </w:r>
      <w:r>
        <w:rPr>
          <w:rFonts w:hint="default" w:ascii="Times New Roman" w:hAnsi="Times New Roman" w:eastAsia="仿宋_GB2312" w:cs="Times New Roman"/>
          <w:sz w:val="32"/>
          <w:szCs w:val="32"/>
          <w:lang w:eastAsia="zh-CN"/>
        </w:rPr>
        <w:t>的请示》</w:t>
      </w:r>
      <w:r>
        <w:rPr>
          <w:rFonts w:hint="default"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汕自然资</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lang w:val="en-US" w:eastAsia="zh-CN"/>
        </w:rPr>
        <w:t>2024</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lang w:val="en-US" w:eastAsia="zh-CN"/>
        </w:rPr>
        <w:t>20</w:t>
      </w:r>
      <w:r>
        <w:rPr>
          <w:rFonts w:hint="default" w:ascii="Times New Roman" w:hAnsi="Times New Roman" w:eastAsia="仿宋_GB2312" w:cs="Times New Roman"/>
          <w:sz w:val="32"/>
          <w:szCs w:val="32"/>
          <w:highlight w:val="none"/>
          <w:lang w:val="en-US" w:eastAsia="zh-CN"/>
        </w:rPr>
        <w:t>号</w:t>
      </w:r>
      <w:r>
        <w:rPr>
          <w:rFonts w:hint="default" w:ascii="Times New Roman" w:hAnsi="Times New Roman" w:eastAsia="仿宋_GB2312" w:cs="Times New Roman"/>
          <w:sz w:val="32"/>
          <w:szCs w:val="32"/>
          <w:highlight w:val="none"/>
          <w:lang w:val="zh-CN" w:eastAsia="zh-CN"/>
        </w:rPr>
        <w:t>）</w:t>
      </w:r>
      <w:r>
        <w:rPr>
          <w:rFonts w:hint="default" w:ascii="Times New Roman" w:hAnsi="Times New Roman" w:eastAsia="仿宋_GB2312" w:cs="Times New Roman"/>
          <w:color w:val="000000"/>
          <w:kern w:val="0"/>
          <w:sz w:val="32"/>
          <w:szCs w:val="32"/>
          <w:lang w:val="en-US" w:eastAsia="zh-CN" w:bidi="ar"/>
        </w:rPr>
        <w:t>收悉</w:t>
      </w:r>
      <w:r>
        <w:rPr>
          <w:rFonts w:hint="eastAsia" w:eastAsia="仿宋_GB2312" w:cs="Times New Roman"/>
          <w:color w:val="000000"/>
          <w:kern w:val="0"/>
          <w:sz w:val="32"/>
          <w:szCs w:val="32"/>
          <w:lang w:val="en-US" w:eastAsia="zh-CN" w:bidi="ar"/>
        </w:rPr>
        <w:t>，</w:t>
      </w:r>
      <w:r>
        <w:rPr>
          <w:rFonts w:hint="default" w:ascii="Times New Roman" w:hAnsi="Times New Roman" w:eastAsia="仿宋_GB2312" w:cs="Times New Roman"/>
          <w:color w:val="000000"/>
          <w:kern w:val="0"/>
          <w:sz w:val="32"/>
          <w:szCs w:val="32"/>
          <w:lang w:val="en-US" w:eastAsia="zh-CN" w:bidi="ar"/>
        </w:rPr>
        <w:t>现批复如下：</w:t>
      </w:r>
    </w:p>
    <w:p>
      <w:pPr>
        <w:pStyle w:val="10"/>
        <w:keepNext w:val="0"/>
        <w:keepLines w:val="0"/>
        <w:pageBreakBefore w:val="0"/>
        <w:widowControl w:val="0"/>
        <w:kinsoku/>
        <w:wordWrap/>
        <w:overflowPunct/>
        <w:topLinePunct w:val="0"/>
        <w:autoSpaceDE w:val="0"/>
        <w:autoSpaceDN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一、同意</w:t>
      </w:r>
      <w:r>
        <w:rPr>
          <w:rFonts w:hint="default" w:ascii="Times New Roman" w:hAnsi="Times New Roman" w:eastAsia="仿宋_GB2312" w:cs="Times New Roman"/>
          <w:sz w:val="32"/>
          <w:szCs w:val="32"/>
          <w:lang w:val="en-US" w:eastAsia="zh-CN"/>
        </w:rPr>
        <w:t>陆河县2022年度第一批次</w:t>
      </w:r>
      <w:r>
        <w:rPr>
          <w:rFonts w:hint="default" w:ascii="Times New Roman" w:hAnsi="Times New Roman" w:eastAsia="仿宋_GB2312" w:cs="Times New Roman"/>
          <w:color w:val="000000"/>
          <w:kern w:val="0"/>
          <w:sz w:val="32"/>
          <w:szCs w:val="32"/>
          <w:lang w:val="zh-CN" w:eastAsia="zh-CN" w:bidi="ar"/>
        </w:rPr>
        <w:t>使用</w:t>
      </w:r>
      <w:r>
        <w:rPr>
          <w:rFonts w:hint="eastAsia" w:eastAsia="仿宋_GB2312" w:cs="Times New Roman"/>
          <w:sz w:val="32"/>
          <w:szCs w:val="32"/>
          <w:lang w:val="en-US" w:eastAsia="zh-CN"/>
        </w:rPr>
        <w:t>0.5032</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w:t>
      </w:r>
      <w:r>
        <w:rPr>
          <w:rFonts w:hint="eastAsia" w:eastAsia="仿宋_GB2312" w:cs="Times New Roman"/>
          <w:sz w:val="32"/>
          <w:szCs w:val="32"/>
          <w:highlight w:val="none"/>
          <w:lang w:val="en-US" w:eastAsia="zh-CN"/>
        </w:rPr>
        <w:t>城镇</w:t>
      </w:r>
      <w:r>
        <w:rPr>
          <w:rFonts w:hint="default" w:ascii="Times New Roman" w:hAnsi="Times New Roman" w:eastAsia="仿宋_GB2312" w:cs="Times New Roman"/>
          <w:sz w:val="32"/>
          <w:szCs w:val="32"/>
          <w:highlight w:val="none"/>
          <w:lang w:val="en-US" w:eastAsia="zh-CN"/>
        </w:rPr>
        <w:t>建设用地</w:t>
      </w:r>
      <w:r>
        <w:rPr>
          <w:rFonts w:hint="default" w:ascii="Times New Roman" w:hAnsi="Times New Roman" w:eastAsia="仿宋_GB2312" w:cs="Times New Roman"/>
          <w:color w:val="000000"/>
          <w:kern w:val="0"/>
          <w:sz w:val="32"/>
          <w:szCs w:val="32"/>
          <w:lang w:val="en-US" w:eastAsia="zh-CN" w:bidi="ar"/>
        </w:rPr>
        <w:t>，即同意你市</w:t>
      </w:r>
      <w:r>
        <w:rPr>
          <w:rFonts w:hint="eastAsia" w:eastAsia="仿宋_GB2312" w:cs="Times New Roman"/>
          <w:sz w:val="32"/>
          <w:szCs w:val="32"/>
          <w:lang w:val="en-US" w:eastAsia="zh-CN"/>
        </w:rPr>
        <w:t>陆河县</w:t>
      </w:r>
      <w:r>
        <w:rPr>
          <w:rFonts w:hint="default" w:ascii="Times New Roman" w:hAnsi="Times New Roman" w:eastAsia="仿宋_GB2312" w:cs="Times New Roman"/>
          <w:color w:val="000000"/>
          <w:kern w:val="0"/>
          <w:sz w:val="32"/>
          <w:szCs w:val="32"/>
          <w:lang w:val="en-US" w:eastAsia="zh-CN" w:bidi="ar"/>
        </w:rPr>
        <w:t>将农民集体所有农用地</w:t>
      </w:r>
      <w:r>
        <w:rPr>
          <w:rFonts w:hint="default" w:ascii="Times New Roman" w:hAnsi="Times New Roman" w:eastAsia="仿宋_GB2312" w:cs="Times New Roman"/>
          <w:sz w:val="32"/>
          <w:szCs w:val="32"/>
          <w:lang w:val="en-US" w:eastAsia="zh-CN"/>
        </w:rPr>
        <w:t>0.5032公顷（耕地0.0860</w:t>
      </w:r>
      <w:r>
        <w:rPr>
          <w:rFonts w:hint="default" w:ascii="Times New Roman" w:hAnsi="Times New Roman" w:eastAsia="仿宋_GB2312" w:cs="Times New Roman"/>
          <w:color w:val="000000"/>
          <w:kern w:val="0"/>
          <w:sz w:val="32"/>
          <w:szCs w:val="32"/>
          <w:lang w:val="en-US" w:eastAsia="zh-CN" w:bidi="ar"/>
        </w:rPr>
        <w:t>公顷）转为建设用地。上述</w:t>
      </w:r>
      <w:r>
        <w:rPr>
          <w:rFonts w:hint="eastAsia" w:eastAsia="仿宋_GB2312" w:cs="Times New Roman"/>
          <w:sz w:val="32"/>
          <w:szCs w:val="32"/>
          <w:lang w:val="en-US" w:eastAsia="zh-CN"/>
        </w:rPr>
        <w:t>0.5032</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顷用地</w:t>
      </w:r>
      <w:r>
        <w:rPr>
          <w:rFonts w:hint="default" w:ascii="Times New Roman" w:hAnsi="Times New Roman" w:eastAsia="仿宋_GB2312" w:cs="Times New Roman"/>
          <w:sz w:val="32"/>
          <w:szCs w:val="32"/>
          <w:lang w:val="en-US" w:eastAsia="zh-CN"/>
        </w:rPr>
        <w:t>由</w:t>
      </w:r>
      <w:r>
        <w:rPr>
          <w:rFonts w:hint="default" w:ascii="Times New Roman" w:hAnsi="Times New Roman" w:eastAsia="仿宋_GB2312" w:cs="Times New Roman"/>
          <w:color w:val="000000"/>
          <w:kern w:val="0"/>
          <w:sz w:val="32"/>
          <w:szCs w:val="32"/>
          <w:u w:val="none"/>
          <w:lang w:val="en-US" w:eastAsia="zh-CN" w:bidi="ar"/>
        </w:rPr>
        <w:t>当地人民政府按照</w:t>
      </w:r>
      <w:r>
        <w:rPr>
          <w:rFonts w:hint="eastAsia" w:eastAsia="仿宋_GB2312" w:cs="Times New Roman"/>
          <w:color w:val="000000"/>
          <w:kern w:val="0"/>
          <w:sz w:val="32"/>
          <w:szCs w:val="32"/>
          <w:u w:val="none"/>
          <w:lang w:val="en-US" w:eastAsia="zh-CN" w:bidi="ar"/>
        </w:rPr>
        <w:t>国土空间总体规划确定的用途</w:t>
      </w:r>
      <w:r>
        <w:rPr>
          <w:rFonts w:hint="default" w:ascii="Times New Roman" w:hAnsi="Times New Roman" w:eastAsia="仿宋_GB2312" w:cs="Times New Roman"/>
          <w:color w:val="000000"/>
          <w:kern w:val="0"/>
          <w:sz w:val="32"/>
          <w:szCs w:val="32"/>
          <w:u w:val="none"/>
          <w:lang w:val="en-US" w:eastAsia="zh-CN" w:bidi="ar"/>
        </w:rPr>
        <w:t>供应，用于</w:t>
      </w:r>
      <w:r>
        <w:rPr>
          <w:rFonts w:hint="eastAsia" w:eastAsia="仿宋_GB2312" w:cs="Times New Roman"/>
          <w:color w:val="000000"/>
          <w:kern w:val="0"/>
          <w:sz w:val="32"/>
          <w:szCs w:val="32"/>
          <w:u w:val="none"/>
          <w:lang w:val="en-US" w:eastAsia="zh-CN" w:bidi="ar"/>
        </w:rPr>
        <w:t>村集体</w:t>
      </w:r>
      <w:r>
        <w:rPr>
          <w:rFonts w:hint="default" w:ascii="Times New Roman" w:hAnsi="Times New Roman" w:eastAsia="仿宋_GB2312" w:cs="Times New Roman"/>
          <w:color w:val="000000"/>
          <w:kern w:val="0"/>
          <w:sz w:val="32"/>
          <w:szCs w:val="32"/>
          <w:u w:val="none"/>
          <w:lang w:val="en-US" w:eastAsia="zh-CN" w:bidi="ar"/>
        </w:rPr>
        <w:t>建设</w:t>
      </w:r>
      <w:r>
        <w:rPr>
          <w:rFonts w:hint="default" w:ascii="Times New Roman" w:hAnsi="Times New Roman" w:eastAsia="仿宋_GB2312" w:cs="Times New Roman"/>
          <w:color w:val="000000"/>
          <w:kern w:val="0"/>
          <w:sz w:val="32"/>
          <w:szCs w:val="32"/>
          <w:lang w:val="en-US" w:eastAsia="zh-CN" w:bidi="ar"/>
        </w:rPr>
        <w:t>。</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kern w:val="0"/>
          <w:sz w:val="32"/>
          <w:szCs w:val="32"/>
          <w:lang w:val="en-US" w:eastAsia="zh-CN" w:bidi="ar"/>
        </w:rPr>
        <w:t>二、请请你</w:t>
      </w:r>
      <w:r>
        <w:rPr>
          <w:rFonts w:hint="default" w:ascii="Times New Roman" w:hAnsi="Times New Roman" w:eastAsia="仿宋_GB2312" w:cs="Times New Roman"/>
          <w:color w:val="000000"/>
          <w:kern w:val="0"/>
          <w:sz w:val="32"/>
          <w:szCs w:val="32"/>
          <w:lang w:eastAsia="zh-CN" w:bidi="ar"/>
        </w:rPr>
        <w:t>市人民</w:t>
      </w:r>
      <w:r>
        <w:rPr>
          <w:rFonts w:hint="default" w:ascii="Times New Roman" w:hAnsi="Times New Roman" w:eastAsia="仿宋_GB2312" w:cs="Times New Roman"/>
          <w:color w:val="000000"/>
          <w:kern w:val="0"/>
          <w:sz w:val="32"/>
          <w:szCs w:val="32"/>
          <w:lang w:val="en-US" w:eastAsia="zh-CN" w:bidi="ar"/>
        </w:rPr>
        <w:t>政府负责落实补充耕地。督促补充耕地责任单位认真按照补充耕地方案，补充数量相等、质量相当的耕地</w:t>
      </w:r>
      <w:r>
        <w:rPr>
          <w:rFonts w:hint="default" w:ascii="Times New Roman" w:hAnsi="Times New Roman" w:eastAsia="仿宋_GB2312" w:cs="Times New Roman"/>
          <w:color w:val="000000"/>
          <w:kern w:val="0"/>
          <w:sz w:val="32"/>
          <w:szCs w:val="32"/>
          <w:highlight w:val="none"/>
          <w:lang w:val="en-US" w:eastAsia="zh-CN" w:bidi="ar"/>
        </w:rPr>
        <w:t>，落实建设占用耕地耕作层土壤剥离利用</w:t>
      </w:r>
      <w:r>
        <w:rPr>
          <w:rFonts w:hint="default" w:ascii="Times New Roman" w:hAnsi="Times New Roman" w:eastAsia="仿宋_GB2312" w:cs="Times New Roman"/>
          <w:color w:val="000000"/>
          <w:kern w:val="0"/>
          <w:sz w:val="32"/>
          <w:szCs w:val="32"/>
          <w:lang w:val="en-US" w:eastAsia="zh-CN" w:bidi="ar"/>
        </w:rPr>
        <w:t>。</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kern w:val="0"/>
          <w:sz w:val="32"/>
          <w:szCs w:val="32"/>
          <w:u w:val="none"/>
          <w:lang w:val="en-US" w:eastAsia="zh-CN" w:bidi="ar"/>
        </w:rPr>
      </w:pPr>
      <w:r>
        <w:rPr>
          <w:rFonts w:hint="eastAsia" w:ascii="Times New Roman" w:hAnsi="Times New Roman" w:eastAsia="仿宋_GB2312" w:cs="Times New Roman"/>
          <w:color w:val="000000"/>
          <w:kern w:val="0"/>
          <w:sz w:val="32"/>
          <w:szCs w:val="32"/>
          <w:lang w:val="en-US" w:eastAsia="zh-CN" w:bidi="ar"/>
        </w:rPr>
        <w:t>三</w:t>
      </w:r>
      <w:r>
        <w:rPr>
          <w:rFonts w:hint="default" w:ascii="Times New Roman" w:hAnsi="Times New Roman" w:eastAsia="仿宋_GB2312" w:cs="Times New Roman"/>
          <w:color w:val="000000"/>
          <w:kern w:val="0"/>
          <w:sz w:val="32"/>
          <w:szCs w:val="32"/>
          <w:lang w:val="en-US" w:eastAsia="zh-CN" w:bidi="ar"/>
        </w:rPr>
        <w:t>、</w:t>
      </w:r>
      <w:r>
        <w:rPr>
          <w:rFonts w:hint="default" w:ascii="Times New Roman" w:hAnsi="Times New Roman" w:eastAsia="仿宋_GB2312" w:cs="Times New Roman"/>
          <w:color w:val="auto"/>
          <w:sz w:val="32"/>
          <w:szCs w:val="32"/>
          <w:highlight w:val="none"/>
          <w:lang w:val="en-US" w:eastAsia="zh-CN"/>
        </w:rPr>
        <w:t>严格按照国家有关规定征收新增建设用地土地有偿使用费。</w:t>
      </w:r>
    </w:p>
    <w:p>
      <w:pPr>
        <w:widowControl/>
        <w:spacing w:line="580" w:lineRule="exact"/>
        <w:ind w:firstLine="645"/>
        <w:textAlignment w:val="baseline"/>
        <w:rPr>
          <w:rFonts w:eastAsia="仿宋_GB2312"/>
          <w:sz w:val="32"/>
          <w:szCs w:val="32"/>
        </w:rPr>
      </w:pPr>
      <w:r>
        <w:rPr>
          <w:rFonts w:eastAsia="仿宋_GB2312"/>
          <w:sz w:val="32"/>
          <w:szCs w:val="32"/>
        </w:rPr>
        <w:t xml:space="preserve">                               广东省人民政府</w:t>
      </w:r>
    </w:p>
    <w:p>
      <w:pPr>
        <w:widowControl/>
        <w:spacing w:line="580" w:lineRule="exact"/>
        <w:ind w:firstLine="645"/>
        <w:jc w:val="center"/>
        <w:textAlignment w:val="baseline"/>
        <w:rPr>
          <w:rFonts w:eastAsia="仿宋_GB2312"/>
          <w:sz w:val="32"/>
          <w:szCs w:val="32"/>
        </w:rPr>
      </w:pPr>
      <w:r>
        <w:rPr>
          <w:rFonts w:eastAsia="仿宋_GB2312"/>
          <w:sz w:val="32"/>
          <w:szCs w:val="32"/>
        </w:rPr>
        <w:t xml:space="preserve">                         </w:t>
      </w:r>
      <w:r>
        <w:rPr>
          <w:rFonts w:hint="default" w:ascii="Times New Roman" w:hAnsi="Times New Roman" w:eastAsia="仿宋_GB2312" w:cs="Times New Roman"/>
          <w:sz w:val="32"/>
          <w:szCs w:val="32"/>
        </w:rPr>
        <w:t xml:space="preserve"> 202</w:t>
      </w:r>
      <w:r>
        <w:rPr>
          <w:rFonts w:hint="eastAsia" w:ascii="Times New Roman" w:hAnsi="Times New Roman" w:eastAsia="仿宋_GB2312" w:cs="Times New Roman"/>
          <w:sz w:val="32"/>
          <w:szCs w:val="32"/>
          <w:lang w:val="en-US" w:eastAsia="zh-CN"/>
        </w:rPr>
        <w:t>4</w:t>
      </w:r>
      <w:r>
        <w:rPr>
          <w:rFonts w:hint="eastAsia" w:ascii="仿宋_GB2312" w:eastAsia="仿宋_GB2312"/>
          <w:sz w:val="32"/>
          <w:szCs w:val="32"/>
        </w:rPr>
        <w:t>年</w:t>
      </w:r>
      <w:r>
        <w:rPr>
          <w:rFonts w:hint="eastAsia" w:ascii="Times New Roman" w:hAnsi="Times New Roman" w:eastAsia="仿宋_GB2312" w:cs="Times New Roman"/>
          <w:sz w:val="32"/>
          <w:szCs w:val="32"/>
          <w:lang w:val="en-US" w:eastAsia="zh-CN"/>
        </w:rPr>
        <w:t>1</w:t>
      </w:r>
      <w:r>
        <w:rPr>
          <w:rFonts w:hint="eastAsia" w:ascii="仿宋_GB2312" w:eastAsia="仿宋_GB2312"/>
          <w:sz w:val="32"/>
          <w:szCs w:val="32"/>
        </w:rPr>
        <w:t>月</w:t>
      </w:r>
      <w:r>
        <w:rPr>
          <w:rFonts w:hint="eastAsia" w:ascii="Times New Roman" w:hAnsi="Times New Roman" w:eastAsia="仿宋_GB2312" w:cs="Times New Roman"/>
          <w:sz w:val="32"/>
          <w:szCs w:val="32"/>
          <w:lang w:val="en-US" w:eastAsia="zh-CN"/>
        </w:rPr>
        <w:t>5</w:t>
      </w:r>
      <w:bookmarkStart w:id="0" w:name="_GoBack"/>
      <w:bookmarkEnd w:id="0"/>
      <w:r>
        <w:rPr>
          <w:rFonts w:eastAsia="仿宋_GB2312"/>
          <w:sz w:val="32"/>
          <w:szCs w:val="32"/>
        </w:rPr>
        <w:t>日</w:t>
      </w: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600" w:lineRule="exact"/>
        <w:textAlignment w:val="baseline"/>
        <w:rPr>
          <w:rFonts w:hint="eastAsia" w:ascii="黑体" w:hAnsi="黑体" w:eastAsia="黑体"/>
          <w:sz w:val="32"/>
          <w:szCs w:val="32"/>
        </w:rPr>
      </w:pPr>
    </w:p>
    <w:p>
      <w:pPr>
        <w:widowControl/>
        <w:spacing w:line="600" w:lineRule="exact"/>
        <w:textAlignment w:val="baseline"/>
        <w:rPr>
          <w:rFonts w:hint="eastAsia" w:ascii="黑体" w:hAnsi="黑体" w:eastAsia="黑体"/>
          <w:sz w:val="32"/>
          <w:szCs w:val="32"/>
        </w:rPr>
      </w:pPr>
    </w:p>
    <w:p>
      <w:pPr>
        <w:widowControl/>
        <w:spacing w:line="600" w:lineRule="exact"/>
        <w:textAlignment w:val="baseline"/>
        <w:rPr>
          <w:rFonts w:hint="eastAsia" w:ascii="黑体" w:hAnsi="黑体" w:eastAsia="黑体"/>
          <w:sz w:val="32"/>
          <w:szCs w:val="32"/>
        </w:rPr>
      </w:pPr>
    </w:p>
    <w:p>
      <w:pPr>
        <w:widowControl/>
        <w:spacing w:line="600" w:lineRule="exact"/>
        <w:textAlignment w:val="baseline"/>
        <w:rPr>
          <w:rFonts w:hint="eastAsia" w:ascii="黑体" w:hAnsi="黑体" w:eastAsia="黑体"/>
          <w:sz w:val="32"/>
          <w:szCs w:val="32"/>
        </w:rPr>
      </w:pPr>
    </w:p>
    <w:p>
      <w:pPr>
        <w:widowControl/>
        <w:spacing w:line="600" w:lineRule="exact"/>
        <w:textAlignment w:val="baseline"/>
        <w:rPr>
          <w:rFonts w:hint="eastAsia" w:ascii="黑体" w:hAnsi="黑体" w:eastAsia="黑体"/>
          <w:sz w:val="32"/>
          <w:szCs w:val="32"/>
        </w:rPr>
      </w:pPr>
    </w:p>
    <w:p>
      <w:pPr>
        <w:widowControl/>
        <w:spacing w:line="600" w:lineRule="exact"/>
        <w:textAlignment w:val="baseline"/>
        <w:rPr>
          <w:rFonts w:hint="eastAsia" w:ascii="黑体" w:hAnsi="黑体" w:eastAsia="黑体"/>
          <w:sz w:val="32"/>
          <w:szCs w:val="32"/>
        </w:rPr>
      </w:pPr>
    </w:p>
    <w:p>
      <w:pPr>
        <w:widowControl/>
        <w:spacing w:line="600" w:lineRule="exact"/>
        <w:textAlignment w:val="baseline"/>
        <w:rPr>
          <w:rFonts w:hint="eastAsia" w:ascii="黑体" w:hAnsi="黑体" w:eastAsia="黑体"/>
          <w:sz w:val="32"/>
          <w:szCs w:val="32"/>
        </w:rPr>
      </w:pPr>
    </w:p>
    <w:p>
      <w:pPr>
        <w:widowControl/>
        <w:spacing w:line="600" w:lineRule="exact"/>
        <w:textAlignment w:val="baseline"/>
        <w:rPr>
          <w:rFonts w:hint="eastAsia" w:ascii="黑体" w:hAnsi="黑体" w:eastAsia="黑体"/>
          <w:sz w:val="32"/>
          <w:szCs w:val="32"/>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pPr>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sectPr>
      <w:footerReference r:id="rId3" w:type="default"/>
      <w:footerReference r:id="rId4" w:type="even"/>
      <w:pgSz w:w="11906" w:h="16838"/>
      <w:pgMar w:top="1440" w:right="1800" w:bottom="1440" w:left="1800" w:header="851" w:footer="1280"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ordWrap w:val="0"/>
      <w:ind w:right="181"/>
      <w:jc w:val="right"/>
      <w:rPr>
        <w:rFonts w:ascii="仿宋_GB2312" w:eastAsia="仿宋_GB2312"/>
        <w:b/>
        <w:sz w:val="28"/>
        <w:szCs w:val="28"/>
      </w:rPr>
    </w:pPr>
    <w:r>
      <w:rPr>
        <w:rFonts w:hint="eastAsia" w:ascii="仿宋_GB2312" w:eastAsia="仿宋_GB2312"/>
        <w:b/>
        <w:sz w:val="28"/>
        <w:szCs w:val="28"/>
      </w:rPr>
      <w:t xml:space="preserve">—  </w:t>
    </w:r>
    <w:r>
      <w:rPr>
        <w:rFonts w:hint="eastAsia" w:ascii="仿宋_GB2312" w:eastAsia="仿宋_GB2312"/>
        <w:bCs/>
        <w:sz w:val="28"/>
        <w:szCs w:val="28"/>
      </w:rPr>
      <w:t>1</w:t>
    </w:r>
    <w:r>
      <w:rPr>
        <w:rFonts w:hint="eastAsia" w:ascii="仿宋_GB2312" w:eastAsia="仿宋_GB2312"/>
        <w:b/>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ascii="仿宋_GB2312" w:eastAsia="仿宋_GB2312"/>
        <w:b/>
        <w:sz w:val="28"/>
        <w:szCs w:val="28"/>
      </w:rPr>
      <w:t xml:space="preserve">—  </w:t>
    </w:r>
    <w:r>
      <w:rPr>
        <w:rFonts w:ascii="仿宋_GB2312" w:eastAsia="仿宋_GB2312"/>
        <w:bCs/>
        <w:sz w:val="28"/>
        <w:szCs w:val="28"/>
      </w:rPr>
      <w:t>2</w:t>
    </w:r>
    <w:r>
      <w:rPr>
        <w:rFonts w:hint="eastAsia" w:ascii="仿宋_GB2312" w:eastAsia="仿宋_GB2312"/>
        <w:b/>
        <w:sz w:val="28"/>
        <w:szCs w:val="2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5Yjk4YjhiMTE3N2Q3OTcwYWJlYmY4OWRhMjg0YzYifQ=="/>
  </w:docVars>
  <w:rsids>
    <w:rsidRoot w:val="00F87743"/>
    <w:rsid w:val="000B16A9"/>
    <w:rsid w:val="001478B7"/>
    <w:rsid w:val="00151EB3"/>
    <w:rsid w:val="0015343E"/>
    <w:rsid w:val="001574A2"/>
    <w:rsid w:val="00176BD6"/>
    <w:rsid w:val="00257930"/>
    <w:rsid w:val="003B2F13"/>
    <w:rsid w:val="003F5E63"/>
    <w:rsid w:val="00402885"/>
    <w:rsid w:val="0040390A"/>
    <w:rsid w:val="00446D79"/>
    <w:rsid w:val="005250F3"/>
    <w:rsid w:val="005332EB"/>
    <w:rsid w:val="00537916"/>
    <w:rsid w:val="005608E8"/>
    <w:rsid w:val="005B7782"/>
    <w:rsid w:val="005E11E9"/>
    <w:rsid w:val="00671595"/>
    <w:rsid w:val="0072654D"/>
    <w:rsid w:val="00792D4B"/>
    <w:rsid w:val="008374A4"/>
    <w:rsid w:val="00874430"/>
    <w:rsid w:val="009F1B83"/>
    <w:rsid w:val="009F40C2"/>
    <w:rsid w:val="00A52FDC"/>
    <w:rsid w:val="00B051E5"/>
    <w:rsid w:val="00B50DFE"/>
    <w:rsid w:val="00B60E3A"/>
    <w:rsid w:val="00C23CA1"/>
    <w:rsid w:val="00C30EC6"/>
    <w:rsid w:val="00C72C80"/>
    <w:rsid w:val="00D72A5F"/>
    <w:rsid w:val="00D732D1"/>
    <w:rsid w:val="00D948D3"/>
    <w:rsid w:val="00DA0F4F"/>
    <w:rsid w:val="00DB4B47"/>
    <w:rsid w:val="00F55ECD"/>
    <w:rsid w:val="00F83B70"/>
    <w:rsid w:val="00F87743"/>
    <w:rsid w:val="00FD4DF4"/>
    <w:rsid w:val="02647F25"/>
    <w:rsid w:val="038849E9"/>
    <w:rsid w:val="05390A67"/>
    <w:rsid w:val="05AA2B82"/>
    <w:rsid w:val="05D43348"/>
    <w:rsid w:val="07FE14F5"/>
    <w:rsid w:val="0966792B"/>
    <w:rsid w:val="0A4670B7"/>
    <w:rsid w:val="0C9D5E3C"/>
    <w:rsid w:val="0CAA0F8B"/>
    <w:rsid w:val="0FDE79EC"/>
    <w:rsid w:val="10AF6ED6"/>
    <w:rsid w:val="115B3742"/>
    <w:rsid w:val="11E271A7"/>
    <w:rsid w:val="14E9640E"/>
    <w:rsid w:val="15186C64"/>
    <w:rsid w:val="184D6E56"/>
    <w:rsid w:val="18C654D2"/>
    <w:rsid w:val="197C223B"/>
    <w:rsid w:val="1CBD6FD7"/>
    <w:rsid w:val="1D7238DD"/>
    <w:rsid w:val="1F66238A"/>
    <w:rsid w:val="20A0321D"/>
    <w:rsid w:val="214D6F16"/>
    <w:rsid w:val="23724D45"/>
    <w:rsid w:val="29475D68"/>
    <w:rsid w:val="2D6920FF"/>
    <w:rsid w:val="2F4225B4"/>
    <w:rsid w:val="2F6A5A4B"/>
    <w:rsid w:val="312E117A"/>
    <w:rsid w:val="3410686E"/>
    <w:rsid w:val="36BD6809"/>
    <w:rsid w:val="373331A0"/>
    <w:rsid w:val="3A964170"/>
    <w:rsid w:val="3BDD2760"/>
    <w:rsid w:val="3DD921C9"/>
    <w:rsid w:val="3E142D90"/>
    <w:rsid w:val="3FFA0B9E"/>
    <w:rsid w:val="43001E9D"/>
    <w:rsid w:val="430B48D5"/>
    <w:rsid w:val="438E019A"/>
    <w:rsid w:val="45C9314C"/>
    <w:rsid w:val="48804A58"/>
    <w:rsid w:val="49650FBA"/>
    <w:rsid w:val="49BC7D35"/>
    <w:rsid w:val="4BB05C4A"/>
    <w:rsid w:val="4C531BAF"/>
    <w:rsid w:val="4F8F6472"/>
    <w:rsid w:val="50752B1D"/>
    <w:rsid w:val="56525879"/>
    <w:rsid w:val="56EB3F93"/>
    <w:rsid w:val="59715274"/>
    <w:rsid w:val="5EDB010B"/>
    <w:rsid w:val="62022C32"/>
    <w:rsid w:val="63F36930"/>
    <w:rsid w:val="65382221"/>
    <w:rsid w:val="65E7131A"/>
    <w:rsid w:val="67E14A1A"/>
    <w:rsid w:val="692470C2"/>
    <w:rsid w:val="698F5407"/>
    <w:rsid w:val="699F0F8D"/>
    <w:rsid w:val="6AFC39B9"/>
    <w:rsid w:val="6AFC3B8C"/>
    <w:rsid w:val="6BFA7645"/>
    <w:rsid w:val="6D3E4767"/>
    <w:rsid w:val="71C540E3"/>
    <w:rsid w:val="76CA0F2A"/>
    <w:rsid w:val="7AED6E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5"/>
    <w:link w:val="4"/>
    <w:qFormat/>
    <w:uiPriority w:val="99"/>
    <w:rPr>
      <w:sz w:val="18"/>
      <w:szCs w:val="18"/>
    </w:rPr>
  </w:style>
  <w:style w:type="character" w:customStyle="1" w:styleId="8">
    <w:name w:val="页脚 字符"/>
    <w:basedOn w:val="5"/>
    <w:link w:val="3"/>
    <w:qFormat/>
    <w:uiPriority w:val="99"/>
    <w:rPr>
      <w:sz w:val="18"/>
      <w:szCs w:val="18"/>
    </w:rPr>
  </w:style>
  <w:style w:type="character" w:customStyle="1" w:styleId="9">
    <w:name w:val="批注框文本 字符"/>
    <w:basedOn w:val="5"/>
    <w:link w:val="2"/>
    <w:semiHidden/>
    <w:qFormat/>
    <w:uiPriority w:val="99"/>
    <w:rPr>
      <w:rFonts w:ascii="Calibri" w:hAnsi="Calibri" w:eastAsia="宋体" w:cs="Times New Roman"/>
      <w:sz w:val="18"/>
      <w:szCs w:val="18"/>
    </w:rPr>
  </w:style>
  <w:style w:type="paragraph" w:customStyle="1" w:styleId="10">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jc w:val="both"/>
    </w:pPr>
    <w:rPr>
      <w:rFonts w:ascii="Times New Roman" w:hAnsi="Times New Roman" w:eastAsia="宋体" w:cs="Times New Roman"/>
      <w:kern w:val="2"/>
      <w:sz w:val="32"/>
      <w:lang w:val="en-US" w:eastAsia="zh-CN" w:bidi="ar-SA"/>
    </w:rPr>
  </w:style>
  <w:style w:type="paragraph" w:customStyle="1" w:styleId="11">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928</Words>
  <Characters>1001</Characters>
  <Lines>6</Lines>
  <Paragraphs>1</Paragraphs>
  <TotalTime>1</TotalTime>
  <ScaleCrop>false</ScaleCrop>
  <LinksUpToDate>false</LinksUpToDate>
  <CharactersWithSpaces>1061</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2020-08-17T07:18:00Z</dcterms:created>
  <dc:creator>Guoxing Wu</dc:creator>
  <cp:lastModifiedBy>YTGZK</cp:lastModifiedBy>
  <cp:lastPrinted>2020-09-08T01:17:00Z</cp:lastPrinted>
  <dcterms:modified xsi:type="dcterms:W3CDTF">2024-01-05T15:48:27Z</dcterms:modified>
  <dc:title>粤府土审（11）〔2020〕号</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54FEE80AA87C4E80904576D57506DA8C_13</vt:lpwstr>
  </property>
</Properties>
</file>