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b w:val="0"/>
          <w:bCs/>
          <w:color w:val="000000"/>
          <w:kern w:val="0"/>
          <w:sz w:val="32"/>
          <w:szCs w:val="32"/>
          <w:lang w:val="en-US" w:eastAsia="zh-CN" w:bidi="ar"/>
        </w:rPr>
      </w:pPr>
      <w:r>
        <w:rPr>
          <w:rFonts w:hint="eastAsia" w:ascii="Times New Roman" w:hAnsi="Times New Roman" w:eastAsia="仿宋_GB2312" w:cs="Times New Roman"/>
          <w:b w:val="0"/>
          <w:bCs/>
          <w:color w:val="000000"/>
          <w:kern w:val="0"/>
          <w:sz w:val="32"/>
          <w:szCs w:val="32"/>
          <w:lang w:val="en-US" w:eastAsia="zh-CN" w:bidi="ar"/>
        </w:rPr>
        <w:t>粤府土审（11）〔2024〕22号</w:t>
      </w:r>
    </w:p>
    <w:p>
      <w:pPr>
        <w:snapToGrid w:val="0"/>
        <w:spacing w:line="580" w:lineRule="exact"/>
        <w:jc w:val="center"/>
        <w:rPr>
          <w:rFonts w:eastAsia="方正小标宋简体"/>
          <w:sz w:val="44"/>
          <w:szCs w:val="44"/>
        </w:rPr>
      </w:pPr>
    </w:p>
    <w:p>
      <w:pPr>
        <w:pStyle w:val="11"/>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广东</w:t>
      </w:r>
      <w:r>
        <w:rPr>
          <w:rFonts w:eastAsia="方正小标宋简体"/>
          <w:bCs/>
          <w:color w:val="000000"/>
          <w:spacing w:val="-11"/>
          <w:kern w:val="0"/>
          <w:sz w:val="44"/>
          <w:szCs w:val="44"/>
          <w:lang w:bidi="ar"/>
        </w:rPr>
        <w:t>省人民政府关于</w:t>
      </w:r>
      <w:r>
        <w:rPr>
          <w:rFonts w:hint="eastAsia" w:eastAsia="方正小标宋简体"/>
          <w:bCs/>
          <w:color w:val="000000"/>
          <w:kern w:val="0"/>
          <w:sz w:val="44"/>
          <w:szCs w:val="44"/>
          <w:lang w:bidi="ar"/>
        </w:rPr>
        <w:t>海丰县2023</w:t>
      </w:r>
      <w:r>
        <w:rPr>
          <w:rFonts w:eastAsia="方正小标宋简体"/>
          <w:bCs/>
          <w:color w:val="000000"/>
          <w:kern w:val="0"/>
          <w:sz w:val="44"/>
          <w:szCs w:val="44"/>
          <w:lang w:bidi="ar"/>
        </w:rPr>
        <w:t>年度</w:t>
      </w:r>
    </w:p>
    <w:p>
      <w:pPr>
        <w:pStyle w:val="11"/>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第</w:t>
      </w:r>
      <w:r>
        <w:rPr>
          <w:rFonts w:hint="eastAsia" w:eastAsia="方正小标宋简体"/>
          <w:bCs/>
          <w:color w:val="000000"/>
          <w:kern w:val="0"/>
          <w:sz w:val="44"/>
          <w:szCs w:val="44"/>
          <w:lang w:bidi="ar"/>
        </w:rPr>
        <w:t>六批次城镇建设用地</w:t>
      </w:r>
      <w:r>
        <w:rPr>
          <w:rFonts w:eastAsia="方正小标宋简体"/>
          <w:bCs/>
          <w:color w:val="000000"/>
          <w:kern w:val="0"/>
          <w:sz w:val="44"/>
          <w:szCs w:val="44"/>
          <w:lang w:bidi="ar"/>
        </w:rPr>
        <w:t>的批复</w:t>
      </w:r>
    </w:p>
    <w:p>
      <w:pPr>
        <w:keepNext w:val="0"/>
        <w:keepLines w:val="0"/>
        <w:pageBreakBefore w:val="0"/>
        <w:widowControl/>
        <w:suppressLineNumbers w:val="0"/>
        <w:kinsoku/>
        <w:wordWrap/>
        <w:overflowPunct/>
        <w:topLinePunct w:val="0"/>
        <w:bidi w:val="0"/>
        <w:adjustRightInd/>
        <w:snapToGrid/>
        <w:spacing w:line="580" w:lineRule="exact"/>
        <w:jc w:val="center"/>
        <w:textAlignment w:val="auto"/>
        <w:rPr>
          <w:rFonts w:hint="eastAsia" w:eastAsia="方正小标宋简体"/>
          <w:bCs/>
          <w:color w:val="000000"/>
          <w:kern w:val="0"/>
          <w:sz w:val="44"/>
          <w:szCs w:val="44"/>
          <w:lang w:val="en-US" w:eastAsia="zh-CN" w:bidi="ar"/>
        </w:rPr>
      </w:pPr>
    </w:p>
    <w:p>
      <w:pPr>
        <w:widowControl/>
        <w:spacing w:line="580" w:lineRule="exact"/>
        <w:rPr>
          <w:rFonts w:ascii="Times New Roman" w:hAnsi="Times New Roman" w:eastAsia="仿宋_GB2312" w:cs="Times New Roman"/>
          <w:sz w:val="32"/>
          <w:szCs w:val="32"/>
        </w:rPr>
      </w:pPr>
      <w:r>
        <w:rPr>
          <w:rFonts w:hint="eastAsia" w:ascii="Times New Roman" w:hAnsi="Times New Roman" w:eastAsia="仿宋_GB2312" w:cs="Times New Roman"/>
          <w:bCs/>
          <w:color w:val="000000"/>
          <w:kern w:val="0"/>
          <w:sz w:val="32"/>
          <w:szCs w:val="32"/>
          <w:lang w:bidi="ar"/>
        </w:rPr>
        <w:t>汕尾</w:t>
      </w:r>
      <w:r>
        <w:rPr>
          <w:rFonts w:ascii="Times New Roman" w:hAnsi="Times New Roman" w:eastAsia="仿宋_GB2312" w:cs="Times New Roman"/>
          <w:bCs/>
          <w:color w:val="000000"/>
          <w:kern w:val="0"/>
          <w:sz w:val="32"/>
          <w:szCs w:val="32"/>
          <w:lang w:bidi="ar"/>
        </w:rPr>
        <w:t>市人</w:t>
      </w:r>
      <w:r>
        <w:rPr>
          <w:rFonts w:ascii="Times New Roman" w:hAnsi="Times New Roman" w:eastAsia="仿宋_GB2312" w:cs="Times New Roman"/>
          <w:color w:val="000000"/>
          <w:kern w:val="0"/>
          <w:sz w:val="32"/>
          <w:szCs w:val="32"/>
          <w:lang w:bidi="ar"/>
        </w:rPr>
        <w:t xml:space="preserve">民政府： </w:t>
      </w:r>
    </w:p>
    <w:p>
      <w:pPr>
        <w:pStyle w:val="11"/>
        <w:widowControl w:val="0"/>
        <w:autoSpaceDE w:val="0"/>
        <w:autoSpaceDN w:val="0"/>
        <w:spacing w:line="580" w:lineRule="exact"/>
        <w:rPr>
          <w:rFonts w:eastAsia="仿宋_GB2312"/>
          <w:color w:val="000000"/>
          <w:kern w:val="0"/>
          <w:szCs w:val="32"/>
          <w:lang w:bidi="ar"/>
        </w:rPr>
      </w:pPr>
      <w:r>
        <w:rPr>
          <w:rFonts w:eastAsia="仿宋_GB2312"/>
          <w:color w:val="000000"/>
          <w:kern w:val="0"/>
          <w:szCs w:val="32"/>
          <w:lang w:bidi="ar"/>
        </w:rPr>
        <w:t xml:space="preserve">    </w:t>
      </w:r>
      <w:r>
        <w:rPr>
          <w:rFonts w:eastAsia="仿宋_GB2312"/>
          <w:szCs w:val="32"/>
        </w:rPr>
        <w:t>《关于审批</w:t>
      </w:r>
      <w:r>
        <w:rPr>
          <w:rFonts w:hint="eastAsia" w:eastAsia="仿宋_GB2312"/>
          <w:szCs w:val="32"/>
        </w:rPr>
        <w:t>海丰县2023年度第六批次城镇建设用地</w:t>
      </w:r>
      <w:r>
        <w:rPr>
          <w:rFonts w:eastAsia="仿宋_GB2312"/>
          <w:szCs w:val="32"/>
        </w:rPr>
        <w:t>的请示》（</w:t>
      </w:r>
      <w:r>
        <w:rPr>
          <w:rFonts w:hint="eastAsia" w:eastAsia="仿宋_GB2312"/>
          <w:szCs w:val="32"/>
          <w:lang w:val="en-US" w:eastAsia="zh-CN"/>
        </w:rPr>
        <w:t>汕</w:t>
      </w:r>
      <w:r>
        <w:rPr>
          <w:rFonts w:hint="eastAsia" w:eastAsia="仿宋_GB2312"/>
          <w:szCs w:val="32"/>
        </w:rPr>
        <w:t>自然资</w:t>
      </w:r>
      <w:r>
        <w:rPr>
          <w:rFonts w:eastAsia="仿宋_GB2312"/>
          <w:szCs w:val="32"/>
        </w:rPr>
        <w:t>〔2024〕</w:t>
      </w:r>
      <w:r>
        <w:rPr>
          <w:rFonts w:hint="eastAsia" w:eastAsia="仿宋_GB2312"/>
          <w:szCs w:val="32"/>
          <w:lang w:val="en-US" w:eastAsia="zh-CN"/>
        </w:rPr>
        <w:t>17</w:t>
      </w:r>
      <w:r>
        <w:rPr>
          <w:rFonts w:eastAsia="仿宋_GB2312"/>
          <w:szCs w:val="32"/>
        </w:rPr>
        <w:t>号</w:t>
      </w:r>
      <w:r>
        <w:rPr>
          <w:rFonts w:eastAsia="仿宋_GB2312"/>
          <w:szCs w:val="32"/>
          <w:lang w:val="zh-CN"/>
        </w:rPr>
        <w:t>）</w:t>
      </w:r>
      <w:r>
        <w:rPr>
          <w:rFonts w:eastAsia="仿宋_GB2312"/>
          <w:color w:val="000000"/>
          <w:kern w:val="0"/>
          <w:szCs w:val="32"/>
          <w:lang w:bidi="ar"/>
        </w:rPr>
        <w:t>收悉</w:t>
      </w:r>
      <w:r>
        <w:rPr>
          <w:rFonts w:hint="eastAsia" w:eastAsia="仿宋_GB2312"/>
          <w:color w:val="000000"/>
          <w:kern w:val="0"/>
          <w:szCs w:val="32"/>
          <w:lang w:bidi="ar"/>
        </w:rPr>
        <w:t>，</w:t>
      </w:r>
      <w:r>
        <w:rPr>
          <w:rFonts w:eastAsia="仿宋_GB2312"/>
          <w:color w:val="000000"/>
          <w:kern w:val="0"/>
          <w:szCs w:val="32"/>
          <w:lang w:bidi="ar"/>
        </w:rPr>
        <w:t>现批复如下：</w:t>
      </w:r>
    </w:p>
    <w:p>
      <w:pPr>
        <w:pStyle w:val="11"/>
        <w:widowControl w:val="0"/>
        <w:autoSpaceDE w:val="0"/>
        <w:autoSpaceDN w:val="0"/>
        <w:spacing w:line="580" w:lineRule="exact"/>
        <w:ind w:firstLine="640" w:firstLineChars="200"/>
        <w:rPr>
          <w:rFonts w:eastAsia="仿宋_GB2312"/>
          <w:color w:val="000000"/>
          <w:kern w:val="0"/>
          <w:szCs w:val="32"/>
          <w:lang w:bidi="ar"/>
        </w:rPr>
      </w:pPr>
      <w:r>
        <w:rPr>
          <w:rFonts w:eastAsia="仿宋_GB2312"/>
          <w:color w:val="000000"/>
          <w:kern w:val="0"/>
          <w:szCs w:val="32"/>
          <w:lang w:bidi="ar"/>
        </w:rPr>
        <w:t>一、同意</w:t>
      </w:r>
      <w:r>
        <w:rPr>
          <w:rFonts w:hint="eastAsia" w:eastAsia="仿宋_GB2312"/>
          <w:color w:val="000000"/>
          <w:kern w:val="0"/>
          <w:szCs w:val="32"/>
          <w:lang w:bidi="ar"/>
        </w:rPr>
        <w:t>海丰</w:t>
      </w:r>
      <w:r>
        <w:rPr>
          <w:rFonts w:eastAsia="仿宋_GB2312"/>
          <w:szCs w:val="32"/>
        </w:rPr>
        <w:t>县</w:t>
      </w:r>
      <w:r>
        <w:rPr>
          <w:rFonts w:hint="eastAsia" w:eastAsia="仿宋_GB2312"/>
          <w:szCs w:val="32"/>
        </w:rPr>
        <w:t>2023</w:t>
      </w:r>
      <w:r>
        <w:rPr>
          <w:rFonts w:eastAsia="仿宋_GB2312"/>
          <w:color w:val="000000"/>
          <w:kern w:val="0"/>
          <w:szCs w:val="32"/>
          <w:lang w:bidi="ar"/>
        </w:rPr>
        <w:t>年度第</w:t>
      </w:r>
      <w:r>
        <w:rPr>
          <w:rFonts w:hint="eastAsia" w:eastAsia="仿宋_GB2312"/>
          <w:szCs w:val="32"/>
        </w:rPr>
        <w:t>六</w:t>
      </w:r>
      <w:r>
        <w:rPr>
          <w:rFonts w:eastAsia="仿宋_GB2312"/>
          <w:color w:val="000000"/>
          <w:kern w:val="0"/>
          <w:szCs w:val="32"/>
          <w:lang w:bidi="ar"/>
        </w:rPr>
        <w:t>批次</w:t>
      </w:r>
      <w:r>
        <w:rPr>
          <w:rFonts w:eastAsia="仿宋_GB2312"/>
          <w:color w:val="000000"/>
          <w:kern w:val="0"/>
          <w:szCs w:val="32"/>
          <w:lang w:val="zh-CN" w:bidi="ar"/>
        </w:rPr>
        <w:t>使用</w:t>
      </w:r>
      <w:r>
        <w:rPr>
          <w:rFonts w:hint="eastAsia" w:eastAsia="仿宋_GB2312"/>
          <w:szCs w:val="32"/>
        </w:rPr>
        <w:t>0.6326</w:t>
      </w:r>
      <w:r>
        <w:rPr>
          <w:rFonts w:eastAsia="仿宋_GB2312"/>
          <w:color w:val="000000"/>
          <w:kern w:val="0"/>
          <w:szCs w:val="32"/>
          <w:lang w:bidi="ar"/>
        </w:rPr>
        <w:t>公</w:t>
      </w:r>
      <w:r>
        <w:rPr>
          <w:rFonts w:eastAsia="仿宋_GB2312"/>
          <w:szCs w:val="32"/>
        </w:rPr>
        <w:t>顷</w:t>
      </w:r>
      <w:r>
        <w:rPr>
          <w:rFonts w:hint="eastAsia" w:eastAsia="仿宋_GB2312"/>
          <w:szCs w:val="32"/>
        </w:rPr>
        <w:t>城镇</w:t>
      </w:r>
      <w:r>
        <w:rPr>
          <w:rFonts w:eastAsia="仿宋_GB2312"/>
          <w:szCs w:val="32"/>
        </w:rPr>
        <w:t>建设用地</w:t>
      </w:r>
      <w:r>
        <w:rPr>
          <w:rFonts w:eastAsia="仿宋_GB2312"/>
          <w:color w:val="000000"/>
          <w:kern w:val="0"/>
          <w:szCs w:val="32"/>
          <w:lang w:bidi="ar"/>
        </w:rPr>
        <w:t>，即同意你市</w:t>
      </w:r>
      <w:r>
        <w:rPr>
          <w:rFonts w:hint="eastAsia" w:eastAsia="仿宋_GB2312"/>
          <w:szCs w:val="32"/>
        </w:rPr>
        <w:t>海丰县</w:t>
      </w:r>
      <w:r>
        <w:rPr>
          <w:rFonts w:eastAsia="仿宋_GB2312"/>
          <w:color w:val="000000"/>
          <w:kern w:val="0"/>
          <w:szCs w:val="32"/>
          <w:lang w:bidi="ar"/>
        </w:rPr>
        <w:t>将农民集体所有农用地</w:t>
      </w:r>
      <w:r>
        <w:rPr>
          <w:rFonts w:hint="eastAsia" w:eastAsia="仿宋_GB2312"/>
          <w:szCs w:val="32"/>
        </w:rPr>
        <w:t>0.6326</w:t>
      </w:r>
      <w:r>
        <w:rPr>
          <w:rFonts w:eastAsia="仿宋_GB2312"/>
          <w:color w:val="000000"/>
          <w:kern w:val="0"/>
          <w:szCs w:val="32"/>
          <w:lang w:bidi="ar"/>
        </w:rPr>
        <w:t>公顷（其中耕地</w:t>
      </w:r>
      <w:r>
        <w:rPr>
          <w:rFonts w:hint="eastAsia" w:eastAsia="仿宋_GB2312"/>
          <w:szCs w:val="32"/>
        </w:rPr>
        <w:t>0</w:t>
      </w:r>
      <w:r>
        <w:rPr>
          <w:rFonts w:eastAsia="仿宋_GB2312"/>
          <w:color w:val="000000"/>
          <w:kern w:val="0"/>
          <w:szCs w:val="32"/>
          <w:lang w:bidi="ar"/>
        </w:rPr>
        <w:t>公顷）转为建设用地并办理征地手续；同意将</w:t>
      </w:r>
      <w:r>
        <w:rPr>
          <w:rFonts w:eastAsia="仿宋_GB2312"/>
          <w:szCs w:val="32"/>
        </w:rPr>
        <w:t>国有</w:t>
      </w:r>
      <w:r>
        <w:rPr>
          <w:rFonts w:eastAsia="仿宋_GB2312"/>
          <w:color w:val="000000"/>
          <w:kern w:val="0"/>
          <w:szCs w:val="32"/>
          <w:lang w:bidi="ar"/>
        </w:rPr>
        <w:t>农用地</w:t>
      </w:r>
      <w:r>
        <w:rPr>
          <w:rFonts w:hint="eastAsia" w:eastAsia="仿宋_GB2312"/>
          <w:szCs w:val="32"/>
        </w:rPr>
        <w:t>0.6326</w:t>
      </w:r>
      <w:r>
        <w:rPr>
          <w:rFonts w:eastAsia="仿宋_GB2312"/>
          <w:color w:val="000000"/>
          <w:kern w:val="0"/>
          <w:szCs w:val="32"/>
          <w:lang w:bidi="ar"/>
        </w:rPr>
        <w:t>公顷（其中耕地</w:t>
      </w:r>
      <w:r>
        <w:rPr>
          <w:rFonts w:hint="eastAsia" w:eastAsia="仿宋_GB2312"/>
          <w:szCs w:val="32"/>
        </w:rPr>
        <w:t>0</w:t>
      </w:r>
      <w:r>
        <w:rPr>
          <w:rFonts w:eastAsia="仿宋_GB2312"/>
          <w:color w:val="000000"/>
          <w:kern w:val="0"/>
          <w:szCs w:val="32"/>
          <w:lang w:bidi="ar"/>
        </w:rPr>
        <w:t>公顷）转为建设用地。上述</w:t>
      </w:r>
      <w:r>
        <w:rPr>
          <w:rFonts w:hint="eastAsia" w:eastAsia="仿宋_GB2312"/>
          <w:szCs w:val="32"/>
        </w:rPr>
        <w:t>0.6326</w:t>
      </w:r>
      <w:r>
        <w:rPr>
          <w:rFonts w:eastAsia="仿宋_GB2312"/>
          <w:color w:val="000000"/>
          <w:kern w:val="0"/>
          <w:szCs w:val="32"/>
          <w:lang w:bidi="ar"/>
        </w:rPr>
        <w:t>公</w:t>
      </w:r>
      <w:r>
        <w:rPr>
          <w:rFonts w:eastAsia="仿宋_GB2312"/>
          <w:szCs w:val="32"/>
        </w:rPr>
        <w:t>顷用地由</w:t>
      </w:r>
      <w:r>
        <w:rPr>
          <w:rFonts w:eastAsia="仿宋_GB2312"/>
          <w:color w:val="000000"/>
          <w:kern w:val="0"/>
          <w:szCs w:val="32"/>
          <w:lang w:bidi="ar"/>
        </w:rPr>
        <w:t>当地人民政府按照</w:t>
      </w:r>
      <w:r>
        <w:rPr>
          <w:rFonts w:hint="eastAsia" w:eastAsia="仿宋_GB2312"/>
          <w:color w:val="000000"/>
          <w:kern w:val="0"/>
          <w:szCs w:val="32"/>
          <w:lang w:val="en-US" w:eastAsia="zh-CN" w:bidi="ar"/>
        </w:rPr>
        <w:t>国土空间总体</w:t>
      </w:r>
      <w:r>
        <w:rPr>
          <w:rFonts w:hint="eastAsia" w:eastAsia="仿宋_GB2312"/>
          <w:color w:val="000000"/>
          <w:kern w:val="0"/>
          <w:szCs w:val="32"/>
          <w:lang w:bidi="ar"/>
        </w:rPr>
        <w:t>规划确定的用途</w:t>
      </w:r>
      <w:r>
        <w:rPr>
          <w:rFonts w:eastAsia="仿宋_GB2312"/>
          <w:color w:val="000000"/>
          <w:kern w:val="0"/>
          <w:szCs w:val="32"/>
          <w:lang w:bidi="ar"/>
        </w:rPr>
        <w:t>供应，用于城</w:t>
      </w:r>
      <w:r>
        <w:rPr>
          <w:rFonts w:hint="eastAsia" w:eastAsia="仿宋_GB2312"/>
          <w:color w:val="000000"/>
          <w:kern w:val="0"/>
          <w:szCs w:val="32"/>
          <w:lang w:bidi="ar"/>
        </w:rPr>
        <w:t>镇</w:t>
      </w:r>
      <w:r>
        <w:rPr>
          <w:rFonts w:eastAsia="仿宋_GB2312"/>
          <w:color w:val="000000"/>
          <w:kern w:val="0"/>
          <w:szCs w:val="32"/>
          <w:lang w:bidi="ar"/>
        </w:rPr>
        <w:t>建设。</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 xml:space="preserve">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 </w:t>
      </w:r>
    </w:p>
    <w:p>
      <w:pPr>
        <w:widowControl/>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color w:val="000000"/>
          <w:kern w:val="0"/>
          <w:sz w:val="32"/>
          <w:szCs w:val="32"/>
          <w:lang w:bidi="ar"/>
        </w:rPr>
        <w:t>三</w:t>
      </w:r>
      <w:r>
        <w:rPr>
          <w:rFonts w:ascii="Times New Roman" w:hAnsi="Times New Roman" w:eastAsia="仿宋_GB2312" w:cs="Times New Roman"/>
          <w:color w:val="000000"/>
          <w:kern w:val="0"/>
          <w:sz w:val="32"/>
          <w:szCs w:val="32"/>
          <w:lang w:bidi="ar"/>
        </w:rPr>
        <w:t>、</w:t>
      </w:r>
      <w:r>
        <w:rPr>
          <w:rFonts w:ascii="Times New Roman" w:hAnsi="Times New Roman" w:eastAsia="仿宋_GB2312" w:cs="Times New Roman"/>
          <w:sz w:val="32"/>
          <w:szCs w:val="32"/>
        </w:rPr>
        <w:t>严格按照国家有关规定征收新增建设用地土地有偿使用费。</w:t>
      </w:r>
    </w:p>
    <w:p>
      <w:pPr>
        <w:widowControl/>
        <w:spacing w:line="58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 xml:space="preserve"> </w:t>
      </w: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jc w:val="right"/>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 xml:space="preserve">广东省人民政府 </w:t>
      </w:r>
    </w:p>
    <w:p>
      <w:pPr>
        <w:widowControl/>
        <w:spacing w:line="580" w:lineRule="exact"/>
        <w:jc w:val="righ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202</w:t>
      </w:r>
      <w:r>
        <w:rPr>
          <w:rFonts w:hint="eastAsia" w:ascii="Times New Roman" w:hAnsi="Times New Roman" w:eastAsia="仿宋_GB2312" w:cs="Times New Roman"/>
          <w:color w:val="000000"/>
          <w:kern w:val="0"/>
          <w:sz w:val="32"/>
          <w:szCs w:val="32"/>
          <w:lang w:bidi="ar"/>
        </w:rPr>
        <w:t>4</w:t>
      </w:r>
      <w:r>
        <w:rPr>
          <w:rFonts w:ascii="Times New Roman" w:hAnsi="Times New Roman" w:eastAsia="仿宋_GB2312" w:cs="Times New Roman"/>
          <w:color w:val="000000"/>
          <w:kern w:val="0"/>
          <w:sz w:val="32"/>
          <w:szCs w:val="32"/>
          <w:lang w:bidi="ar"/>
        </w:rPr>
        <w:t>年</w:t>
      </w:r>
      <w:r>
        <w:rPr>
          <w:rFonts w:hint="eastAsia" w:ascii="Times New Roman" w:hAnsi="Times New Roman" w:eastAsia="仿宋_GB2312" w:cs="Times New Roman"/>
          <w:color w:val="000000"/>
          <w:kern w:val="0"/>
          <w:sz w:val="32"/>
          <w:szCs w:val="32"/>
          <w:lang w:bidi="ar"/>
        </w:rPr>
        <w:t>1</w:t>
      </w:r>
      <w:r>
        <w:rPr>
          <w:rFonts w:ascii="Times New Roman" w:hAnsi="Times New Roman" w:eastAsia="仿宋_GB2312" w:cs="Times New Roman"/>
          <w:color w:val="000000"/>
          <w:kern w:val="0"/>
          <w:sz w:val="32"/>
          <w:szCs w:val="32"/>
          <w:lang w:bidi="ar"/>
        </w:rPr>
        <w:t>月</w:t>
      </w:r>
      <w:r>
        <w:rPr>
          <w:rFonts w:hint="eastAsia" w:ascii="Times New Roman" w:hAnsi="Times New Roman" w:eastAsia="仿宋_GB2312" w:cs="Times New Roman"/>
          <w:color w:val="000000"/>
          <w:kern w:val="0"/>
          <w:sz w:val="32"/>
          <w:szCs w:val="32"/>
          <w:lang w:val="en-US" w:eastAsia="zh-CN" w:bidi="ar"/>
        </w:rPr>
        <w:t>5</w:t>
      </w:r>
      <w:bookmarkStart w:id="0" w:name="_GoBack"/>
      <w:bookmarkEnd w:id="0"/>
      <w:r>
        <w:rPr>
          <w:rFonts w:ascii="Times New Roman" w:hAnsi="Times New Roman" w:eastAsia="仿宋_GB2312" w:cs="Times New Roman"/>
          <w:color w:val="000000"/>
          <w:kern w:val="0"/>
          <w:sz w:val="32"/>
          <w:szCs w:val="32"/>
          <w:lang w:bidi="ar"/>
        </w:rPr>
        <w:t>日</w:t>
      </w: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966792B"/>
    <w:rsid w:val="0A4670B7"/>
    <w:rsid w:val="0CAA0F8B"/>
    <w:rsid w:val="0FDE79EC"/>
    <w:rsid w:val="10AF6ED6"/>
    <w:rsid w:val="115B3742"/>
    <w:rsid w:val="11E271A7"/>
    <w:rsid w:val="14E9640E"/>
    <w:rsid w:val="15186C64"/>
    <w:rsid w:val="184D6E56"/>
    <w:rsid w:val="18C654D2"/>
    <w:rsid w:val="197C223B"/>
    <w:rsid w:val="1BCE0AC5"/>
    <w:rsid w:val="1CBD6FD7"/>
    <w:rsid w:val="1D7238DD"/>
    <w:rsid w:val="1F66238A"/>
    <w:rsid w:val="20A0321D"/>
    <w:rsid w:val="214D6F16"/>
    <w:rsid w:val="23724D45"/>
    <w:rsid w:val="27A91ED6"/>
    <w:rsid w:val="29475D68"/>
    <w:rsid w:val="2D6920FF"/>
    <w:rsid w:val="2F4225B4"/>
    <w:rsid w:val="2F6A5A4B"/>
    <w:rsid w:val="312E117A"/>
    <w:rsid w:val="36BD6809"/>
    <w:rsid w:val="373331A0"/>
    <w:rsid w:val="3A964170"/>
    <w:rsid w:val="3DD921C9"/>
    <w:rsid w:val="3E142D90"/>
    <w:rsid w:val="3FFA0B9E"/>
    <w:rsid w:val="43001E9D"/>
    <w:rsid w:val="430B48D5"/>
    <w:rsid w:val="438E019A"/>
    <w:rsid w:val="45C9314C"/>
    <w:rsid w:val="48804A58"/>
    <w:rsid w:val="49650FBA"/>
    <w:rsid w:val="49BC7D35"/>
    <w:rsid w:val="4BB05C4A"/>
    <w:rsid w:val="4C531BAF"/>
    <w:rsid w:val="4F8F6472"/>
    <w:rsid w:val="50752B1D"/>
    <w:rsid w:val="56525879"/>
    <w:rsid w:val="56EB3F93"/>
    <w:rsid w:val="59715274"/>
    <w:rsid w:val="5EDB010B"/>
    <w:rsid w:val="63582FA8"/>
    <w:rsid w:val="63F36930"/>
    <w:rsid w:val="65382221"/>
    <w:rsid w:val="67E14A1A"/>
    <w:rsid w:val="692470C2"/>
    <w:rsid w:val="698F5407"/>
    <w:rsid w:val="699F0F8D"/>
    <w:rsid w:val="69B81498"/>
    <w:rsid w:val="6AFC39B9"/>
    <w:rsid w:val="6AFC3B8C"/>
    <w:rsid w:val="6BFA7645"/>
    <w:rsid w:val="6D3E4767"/>
    <w:rsid w:val="76CA0F2A"/>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20</TotalTime>
  <ScaleCrop>false</ScaleCrop>
  <LinksUpToDate>false</LinksUpToDate>
  <CharactersWithSpaces>1061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2024-01-05T15:46:13Z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54FEE80AA87C4E80904576D57506DA8C_13</vt:lpwstr>
  </property>
</Properties>
</file>