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汕尾市手提式灭火器产品质量</w:t>
      </w: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监督抽查实施细则</w:t>
      </w:r>
    </w:p>
    <w:p>
      <w:pPr>
        <w:keepNext w:val="0"/>
        <w:keepLines w:val="0"/>
        <w:widowControl w:val="0"/>
        <w:suppressLineNumbers w:val="0"/>
        <w:spacing w:before="0" w:beforeAutospacing="0" w:after="0" w:afterAutospacing="0" w:line="440" w:lineRule="exact"/>
        <w:ind w:left="0" w:right="0"/>
        <w:jc w:val="center"/>
        <w:rPr>
          <w:rFonts w:hint="default" w:ascii="Times New Roman" w:hAnsi="Times New Roman" w:eastAsia="楷体_GB2312" w:cs="Times New Roman"/>
          <w:kern w:val="2"/>
          <w:sz w:val="32"/>
          <w:szCs w:val="32"/>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1 </w:t>
      </w:r>
      <w:r>
        <w:rPr>
          <w:rFonts w:hint="eastAsia" w:ascii="黑体" w:hAnsi="宋体" w:eastAsia="黑体" w:cs="黑体"/>
          <w:kern w:val="2"/>
          <w:sz w:val="32"/>
          <w:szCs w:val="32"/>
          <w:lang w:val="en-US" w:eastAsia="zh-CN" w:bidi="ar"/>
        </w:rPr>
        <w:t>抽样方法</w:t>
      </w:r>
    </w:p>
    <w:p>
      <w:pPr>
        <w:keepNext w:val="0"/>
        <w:keepLines w:val="0"/>
        <w:widowControl w:val="0"/>
        <w:suppressLineNumbers w:val="0"/>
        <w:autoSpaceDE w:val="0"/>
        <w:autoSpaceDN/>
        <w:snapToGrid w:val="0"/>
        <w:spacing w:before="0" w:beforeAutospacing="0" w:after="0" w:afterAutospacing="0" w:line="560" w:lineRule="exact"/>
        <w:ind w:left="0" w:right="0" w:firstLine="616"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spacing w:val="-6"/>
          <w:kern w:val="2"/>
          <w:sz w:val="32"/>
          <w:szCs w:val="32"/>
          <w:lang w:val="en-US" w:eastAsia="zh-CN" w:bidi="ar"/>
        </w:rPr>
        <w:t>以随机抽样的方式在被抽样生产者、销售者的待销产品中抽</w:t>
      </w:r>
      <w:r>
        <w:rPr>
          <w:rFonts w:hint="eastAsia" w:ascii="仿宋_GB2312" w:hAnsi="Times New Roman" w:eastAsia="仿宋_GB2312" w:cs="仿宋_GB2312"/>
          <w:kern w:val="2"/>
          <w:sz w:val="32"/>
          <w:szCs w:val="32"/>
          <w:lang w:val="en-US" w:eastAsia="zh-CN" w:bidi="ar"/>
        </w:rPr>
        <w:t>取。</w:t>
      </w:r>
    </w:p>
    <w:p>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随机数一般可使用随机数表等方法产生。</w:t>
      </w:r>
    </w:p>
    <w:p>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每批次产品抽取样品</w:t>
      </w:r>
      <w:r>
        <w:rPr>
          <w:rFonts w:hint="eastAsia" w:cs="Times New Roman"/>
          <w:kern w:val="2"/>
          <w:sz w:val="32"/>
          <w:szCs w:val="32"/>
          <w:lang w:val="en-US" w:eastAsia="zh-CN" w:bidi="ar"/>
        </w:rPr>
        <w:t>4具</w:t>
      </w:r>
      <w:r>
        <w:rPr>
          <w:rFonts w:hint="eastAsia" w:ascii="仿宋_GB2312" w:hAnsi="Times New Roman" w:eastAsia="仿宋_GB2312" w:cs="仿宋_GB2312"/>
          <w:kern w:val="2"/>
          <w:sz w:val="32"/>
          <w:szCs w:val="32"/>
          <w:lang w:val="en-US" w:eastAsia="zh-CN" w:bidi="ar"/>
        </w:rPr>
        <w:t>，其中</w:t>
      </w:r>
      <w:r>
        <w:rPr>
          <w:rFonts w:hint="eastAsia" w:ascii="仿宋_GB2312" w:cs="仿宋_GB2312"/>
          <w:kern w:val="2"/>
          <w:sz w:val="32"/>
          <w:szCs w:val="32"/>
          <w:lang w:val="en-US" w:eastAsia="zh-CN" w:bidi="ar"/>
        </w:rPr>
        <w:t>2具</w:t>
      </w:r>
      <w:r>
        <w:rPr>
          <w:rFonts w:hint="eastAsia" w:ascii="仿宋_GB2312" w:hAnsi="Times New Roman" w:eastAsia="仿宋_GB2312" w:cs="仿宋_GB2312"/>
          <w:kern w:val="2"/>
          <w:sz w:val="32"/>
          <w:szCs w:val="32"/>
          <w:lang w:val="en-US" w:eastAsia="zh-CN" w:bidi="ar"/>
        </w:rPr>
        <w:t>作为检验样品，</w:t>
      </w:r>
      <w:r>
        <w:rPr>
          <w:rFonts w:hint="eastAsia" w:cs="Times New Roman"/>
          <w:kern w:val="2"/>
          <w:sz w:val="32"/>
          <w:szCs w:val="32"/>
          <w:lang w:val="en-US" w:eastAsia="zh-CN" w:bidi="ar"/>
        </w:rPr>
        <w:t>2具</w:t>
      </w:r>
      <w:r>
        <w:rPr>
          <w:rFonts w:hint="eastAsia" w:ascii="仿宋_GB2312" w:hAnsi="Times New Roman" w:eastAsia="仿宋_GB2312" w:cs="仿宋_GB2312"/>
          <w:kern w:val="2"/>
          <w:sz w:val="32"/>
          <w:szCs w:val="32"/>
          <w:lang w:val="en-US" w:eastAsia="zh-CN" w:bidi="ar"/>
        </w:rPr>
        <w:t>作为备用样品。</w:t>
      </w:r>
    </w:p>
    <w:p>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2 </w:t>
      </w:r>
      <w:r>
        <w:rPr>
          <w:rFonts w:hint="eastAsia" w:ascii="黑体" w:hAnsi="宋体" w:eastAsia="黑体" w:cs="黑体"/>
          <w:kern w:val="2"/>
          <w:sz w:val="32"/>
          <w:szCs w:val="32"/>
          <w:lang w:val="en-US" w:eastAsia="zh-CN" w:bidi="ar"/>
        </w:rPr>
        <w:t>检验依据</w:t>
      </w:r>
    </w:p>
    <w:tbl>
      <w:tblPr>
        <w:tblStyle w:val="2"/>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121"/>
        <w:gridCol w:w="3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序号</w:t>
            </w:r>
          </w:p>
        </w:tc>
        <w:tc>
          <w:tcPr>
            <w:tcW w:w="4121"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检验项目</w:t>
            </w:r>
          </w:p>
        </w:tc>
        <w:tc>
          <w:tcPr>
            <w:tcW w:w="3962"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1</w:t>
            </w:r>
          </w:p>
        </w:tc>
        <w:tc>
          <w:tcPr>
            <w:tcW w:w="41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总质量</w:t>
            </w:r>
          </w:p>
        </w:tc>
        <w:tc>
          <w:tcPr>
            <w:tcW w:w="39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2</w:t>
            </w:r>
          </w:p>
        </w:tc>
        <w:tc>
          <w:tcPr>
            <w:tcW w:w="41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20℃喷射性能试验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3</w:t>
            </w:r>
          </w:p>
        </w:tc>
        <w:tc>
          <w:tcPr>
            <w:tcW w:w="41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筒(瓶)体水压试验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4</w:t>
            </w:r>
          </w:p>
        </w:tc>
        <w:tc>
          <w:tcPr>
            <w:tcW w:w="41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筒体(瓶体)爆破试验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leftChars="0" w:right="0" w:rightChars="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5</w:t>
            </w:r>
          </w:p>
        </w:tc>
        <w:tc>
          <w:tcPr>
            <w:tcW w:w="41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kern w:val="2"/>
                <w:sz w:val="21"/>
                <w:szCs w:val="21"/>
                <w:lang w:val="en-US" w:eastAsia="zh-CN" w:bidi="ar"/>
              </w:rPr>
              <w:t>灭火剂第一主要组分含量</w:t>
            </w:r>
          </w:p>
        </w:tc>
        <w:tc>
          <w:tcPr>
            <w:tcW w:w="39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eastAsia="zh-CN" w:bidi="ar"/>
              </w:rPr>
            </w:pPr>
            <w:r>
              <w:rPr>
                <w:rFonts w:hint="eastAsia" w:ascii="Times New Roman" w:hAnsi="Times New Roman" w:eastAsia="宋体" w:cs="Times New Roman"/>
                <w:color w:val="000000"/>
                <w:kern w:val="2"/>
                <w:sz w:val="21"/>
                <w:szCs w:val="24"/>
                <w:lang w:val="en-US" w:eastAsia="zh-CN" w:bidi="ar-SA"/>
              </w:rPr>
              <w:t>GB 4066—2017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jc w:val="center"/>
        </w:trPr>
        <w:tc>
          <w:tcPr>
            <w:tcW w:w="916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left"/>
              <w:rPr>
                <w:rFonts w:hint="eastAsia" w:ascii="Times New Roman" w:hAnsi="Times New Roman" w:eastAsia="宋体" w:cs="Times New Roman"/>
                <w:kern w:val="2"/>
                <w:sz w:val="21"/>
                <w:szCs w:val="21"/>
                <w:lang w:val="en-US" w:eastAsia="zh-CN" w:bidi="ar"/>
              </w:rPr>
            </w:pPr>
            <w:r>
              <w:rPr>
                <w:rFonts w:hint="default" w:ascii="Times New Roman" w:hAnsi="Times New Roman" w:eastAsia="宋体" w:cs="Times New Roman"/>
                <w:color w:val="000000"/>
                <w:kern w:val="2"/>
                <w:sz w:val="21"/>
                <w:szCs w:val="24"/>
                <w:lang w:val="en-US" w:eastAsia="zh-CN" w:bidi="ar-SA"/>
              </w:rPr>
              <w:t>备注：灭火剂第一主要组分含量项目只适用于手提式干粉灭火器。</w:t>
            </w:r>
          </w:p>
        </w:tc>
      </w:tr>
    </w:tbl>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执行企业标准、团体标准、地方标准的产品，检验项目参照上述内容执行。</w:t>
      </w:r>
    </w:p>
    <w:p>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凡是注日期的文件，其随后所有的修改单（不包括勘误的内容）或修订版不适用于本细则。凡是不注日期的文件，其最新版本适用于本细则。</w:t>
      </w:r>
    </w:p>
    <w:p>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 xml:space="preserve">    3 </w:t>
      </w:r>
      <w:r>
        <w:rPr>
          <w:rFonts w:hint="eastAsia" w:ascii="黑体" w:hAnsi="宋体" w:eastAsia="黑体" w:cs="黑体"/>
          <w:kern w:val="2"/>
          <w:sz w:val="32"/>
          <w:szCs w:val="32"/>
          <w:lang w:val="en-US" w:eastAsia="zh-CN" w:bidi="ar"/>
        </w:rPr>
        <w:t>判定规则</w:t>
      </w:r>
    </w:p>
    <w:p>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3.1</w:t>
      </w:r>
      <w:r>
        <w:rPr>
          <w:rFonts w:hint="eastAsia" w:ascii="仿宋_GB2312" w:hAnsi="Times New Roman" w:eastAsia="仿宋_GB2312" w:cs="仿宋_GB2312"/>
          <w:b w:val="0"/>
          <w:bCs w:val="0"/>
          <w:kern w:val="2"/>
          <w:sz w:val="32"/>
          <w:szCs w:val="32"/>
          <w:lang w:val="en-US" w:eastAsia="zh-CN" w:bidi="ar"/>
        </w:rPr>
        <w:t>依据标准</w:t>
      </w:r>
    </w:p>
    <w:p>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Times New Roman" w:hAnsi="Times New Roman" w:eastAsia="仿宋_GB2312" w:cs="Times New Roman"/>
          <w:kern w:val="2"/>
          <w:sz w:val="32"/>
          <w:szCs w:val="32"/>
          <w:lang w:val="en-US" w:eastAsia="zh-CN" w:bidi="ar"/>
        </w:rPr>
      </w:pPr>
      <w:r>
        <w:rPr>
          <w:rFonts w:hint="eastAsia" w:ascii="Times New Roman" w:hAnsi="Times New Roman" w:eastAsia="仿宋_GB2312" w:cs="Times New Roman"/>
          <w:kern w:val="2"/>
          <w:sz w:val="32"/>
          <w:szCs w:val="32"/>
          <w:lang w:val="en-US" w:eastAsia="zh-CN" w:bidi="ar"/>
        </w:rPr>
        <w:t>GB 4351.1-2005《手提式灭火器 第1部分：性能和结构要求》</w:t>
      </w:r>
    </w:p>
    <w:p>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仿宋_GB2312" w:hAnsi="Times New Roman" w:eastAsia="仿宋_GB2312" w:cs="仿宋_GB2312"/>
          <w:kern w:val="2"/>
          <w:sz w:val="32"/>
          <w:szCs w:val="32"/>
          <w:lang w:val="en-US" w:eastAsia="zh-CN" w:bidi="ar"/>
        </w:rPr>
      </w:pPr>
      <w:r>
        <w:rPr>
          <w:rFonts w:hint="eastAsia" w:ascii="Times New Roman" w:hAnsi="Times New Roman" w:eastAsia="仿宋_GB2312" w:cs="Times New Roman"/>
          <w:kern w:val="2"/>
          <w:sz w:val="32"/>
          <w:szCs w:val="32"/>
          <w:lang w:val="en-US" w:eastAsia="zh-CN" w:bidi="ar"/>
        </w:rPr>
        <w:t>GB 4066—2017 《干粉灭火剂》</w:t>
      </w:r>
      <w:bookmarkStart w:id="0" w:name="_GoBack"/>
      <w:bookmarkEnd w:id="0"/>
    </w:p>
    <w:p>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现行有效的企业标准、团体标准、地方标准及产品明示质量要求</w:t>
      </w:r>
    </w:p>
    <w:p>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3.2</w:t>
      </w:r>
      <w:r>
        <w:rPr>
          <w:rFonts w:hint="eastAsia" w:ascii="仿宋_GB2312" w:hAnsi="Times New Roman" w:eastAsia="仿宋_GB2312" w:cs="仿宋_GB2312"/>
          <w:b w:val="0"/>
          <w:bCs w:val="0"/>
          <w:kern w:val="2"/>
          <w:sz w:val="32"/>
          <w:szCs w:val="32"/>
          <w:lang w:val="en-US" w:eastAsia="zh-CN" w:bidi="ar"/>
        </w:rPr>
        <w:t>判定原则</w:t>
      </w:r>
    </w:p>
    <w:p>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经检验，检验项目全部合格，判定为被抽查产品所检项目未发现不合格；检验项目中任一项或一项以上不合格，判定为被抽查产品不合格。</w:t>
      </w:r>
    </w:p>
    <w:p>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若被检产品明示的质量要求高于本细则中检验项目依据的标准要求时，应按被检产品明示的质量要求判定。</w:t>
      </w:r>
    </w:p>
    <w:p>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若被检产品明示的质量要求低于本细则中检验项目依据的强制性标准要求时，应按照强制性标准要求判定。</w:t>
      </w:r>
    </w:p>
    <w:p>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若被检产品明示的质量要求低于或包含本细则中检验项目依据的推荐性标准要求时，应以被检产品明示的质量要求判定。</w:t>
      </w:r>
    </w:p>
    <w:p>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若被检产品明示的质量要求缺少本细则中检验项目依据的强制性标准要求时，应按照强制性标准要求判定。</w:t>
      </w:r>
    </w:p>
    <w:p>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5A317683"/>
    <w:rsid w:val="0E6F26BB"/>
    <w:rsid w:val="16274148"/>
    <w:rsid w:val="4CEA28DF"/>
    <w:rsid w:val="5A317683"/>
    <w:rsid w:val="68B12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王通</cp:lastModifiedBy>
  <dcterms:modified xsi:type="dcterms:W3CDTF">2024-07-18T00:49:41Z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BC5001011C584B148882BDF59FEA5A70_11</vt:lpwstr>
  </property>
</Properties>
</file>