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汕尾市</w:t>
      </w:r>
      <w:r>
        <w:rPr>
          <w:rFonts w:hint="eastAsia" w:cs="Times New Roman"/>
        </w:rPr>
        <w:t>休闲服装产品质量</w:t>
      </w:r>
      <w:bookmarkStart w:id="0" w:name="_GoBack"/>
      <w:bookmarkEnd w:id="0"/>
    </w:p>
    <w:p>
      <w:pPr>
        <w:pStyle w:val="5"/>
        <w:bidi w:val="0"/>
        <w:rPr>
          <w:rFonts w:hint="eastAsia" w:cs="Times New Roman"/>
        </w:rPr>
      </w:pPr>
      <w:r>
        <w:rPr>
          <w:rFonts w:hint="eastAsia" w:cs="Times New Roman"/>
        </w:rPr>
        <w:t>监督抽查实施细则</w:t>
      </w:r>
    </w:p>
    <w:p>
      <w:pPr>
        <w:pStyle w:val="5"/>
        <w:bidi w:val="0"/>
        <w:rPr>
          <w:rFonts w:hint="eastAsia" w:cs="Times New Roman"/>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pPr>
        <w:bidi w:val="0"/>
        <w:adjustRightInd/>
        <w:snapToGrid/>
        <w:spacing w:line="560" w:lineRule="exact"/>
        <w:rPr>
          <w:rFonts w:hint="eastAsia" w:ascii="仿宋_GB2312" w:hAnsi="仿宋_GB2312" w:eastAsia="仿宋_GB2312" w:cs="仿宋_GB2312"/>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r>
        <w:rPr>
          <w:rFonts w:hint="eastAsia" w:ascii="仿宋" w:hAnsi="仿宋" w:eastAsia="仿宋" w:cs="仿宋"/>
          <w:b w:val="0"/>
          <w:bCs/>
          <w:sz w:val="32"/>
          <w:szCs w:val="32"/>
        </w:rPr>
        <w:t>如果样品太小，或有局部印花可能会影响试验取样时，可适当增加检验用样品量2件</w:t>
      </w:r>
      <w:r>
        <w:rPr>
          <w:rFonts w:hint="eastAsia" w:ascii="宋体" w:hAnsi="宋体"/>
          <w:b w:val="0"/>
          <w:bCs/>
          <w:szCs w:val="21"/>
        </w:rPr>
        <w:t>。</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耐光、汗复合色牢度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01095-2002、FZ/T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79" w:type="dxa"/>
            <w:vAlign w:val="center"/>
          </w:tcPr>
          <w:p>
            <w:pPr>
              <w:widowControl/>
              <w:spacing w:before="100" w:beforeAutospacing="1" w:after="100" w:afterAutospacing="1"/>
              <w:jc w:val="center"/>
              <w:rPr>
                <w:rFonts w:hint="eastAsia" w:ascii="Times New Roman" w:hAnsi="Times New Roman" w:eastAsia="宋体" w:cs="Times New Roman"/>
                <w:sz w:val="21"/>
                <w:szCs w:val="21"/>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异味</w:t>
            </w:r>
          </w:p>
        </w:tc>
        <w:tc>
          <w:tcPr>
            <w:tcW w:w="4215" w:type="dxa"/>
            <w:vAlign w:val="center"/>
          </w:tcPr>
          <w:p>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3.本色及漂白产品不考核色牢度（耐光色牢度和耐光、汗复合色牢度除外）、可分解致癌芳香胺染料。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8.pH值的测定用0.1mol/L氯化钾溶液作为萃取介质。</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 纤维含量的标识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22700-2016  水洗整理服装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22849-2014  针织T恤衫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rPr>
      </w:pPr>
      <w:r>
        <w:rPr>
          <w:rFonts w:hint="default" w:ascii="Times New Roman" w:hAnsi="Times New Roman" w:eastAsia="仿宋_GB2312" w:cs="Times New Roman"/>
          <w:sz w:val="32"/>
          <w:szCs w:val="32"/>
        </w:rPr>
        <w:t>GB/T 22849-20</w:t>
      </w:r>
      <w:r>
        <w:rPr>
          <w:rFonts w:hint="eastAsia" w:cs="Times New Roman"/>
          <w:sz w:val="32"/>
          <w:szCs w:val="32"/>
          <w:lang w:val="en-US" w:eastAsia="zh-CN"/>
        </w:rPr>
        <w:t>24（2024年10月1日实施）</w:t>
      </w:r>
      <w:r>
        <w:rPr>
          <w:rFonts w:hint="default" w:ascii="Times New Roman" w:hAnsi="Times New Roman" w:eastAsia="仿宋_GB2312" w:cs="Times New Roman"/>
          <w:sz w:val="32"/>
          <w:szCs w:val="32"/>
        </w:rPr>
        <w:t xml:space="preserve"> 针织T恤衫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26385-2011  针织拼接服装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73010-2016  针织工艺衫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73020-2019  针织休闲服装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73026-2014  针织裙套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73032-2017  针织牛仔服装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73052-2015  水洗整理针织服装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73061-2019  针织茄克衫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81004-2012  连衣裙、裙套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81004-2022  连衣裙、裙套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81006-2017  牛仔服装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81007-2012  单、夹服装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81007-2022  单、夹服装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81010-2018  风衣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81008-2021  茄克衫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81019-2014  灯芯绒服装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73015-2009  亚麻针织品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35460-2017 机织弹力裤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C02D8"/>
    <w:rsid w:val="741C0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2024-07-24T08:44:00Z</dcterms:created>
  <dc:creator>李文湘</dc:creator>
  <cp:lastModifiedBy>李文湘</cp:lastModifiedBy>
  <dcterms:modified xsi:type="dcterms:W3CDTF">2024-07-24T08:45:33Z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