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56" w:beforeLines="50" w:after="156" w:afterLines="50"/>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rPr>
        <w:t>1</w:t>
      </w:r>
    </w:p>
    <w:p>
      <w:pPr>
        <w:spacing w:line="360" w:lineRule="auto"/>
        <w:jc w:val="center"/>
        <w:rPr>
          <w:rFonts w:ascii="华文楷体" w:hAnsi="华文楷体" w:eastAsia="华文楷体" w:cs="华文楷体"/>
          <w:b/>
          <w:bCs/>
          <w:sz w:val="32"/>
          <w:szCs w:val="32"/>
        </w:rPr>
      </w:pPr>
      <w:bookmarkStart w:id="0" w:name="_GoBack"/>
      <w:r>
        <w:rPr>
          <w:rFonts w:hint="eastAsia" w:ascii="华文楷体" w:hAnsi="华文楷体" w:eastAsia="华文楷体" w:cs="华文楷体"/>
          <w:b/>
          <w:bCs/>
          <w:sz w:val="32"/>
          <w:szCs w:val="32"/>
        </w:rPr>
        <w:t>汕尾市“无废城市”建设指标体系</w:t>
      </w:r>
    </w:p>
    <w:bookmarkEnd w:id="0"/>
    <w:tbl>
      <w:tblPr>
        <w:tblStyle w:val="4"/>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0"/>
        <w:gridCol w:w="1012"/>
        <w:gridCol w:w="1505"/>
        <w:gridCol w:w="3133"/>
        <w:gridCol w:w="1139"/>
        <w:gridCol w:w="1282"/>
        <w:gridCol w:w="1282"/>
        <w:gridCol w:w="1423"/>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167"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序号</w:t>
            </w:r>
          </w:p>
        </w:tc>
        <w:tc>
          <w:tcPr>
            <w:tcW w:w="360"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一级指标</w:t>
            </w:r>
          </w:p>
        </w:tc>
        <w:tc>
          <w:tcPr>
            <w:tcW w:w="53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二级指标</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三级指标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单位</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现状值</w:t>
            </w:r>
          </w:p>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w:t>
            </w:r>
            <w:r>
              <w:rPr>
                <w:rFonts w:ascii="Times New Roman" w:hAnsi="Times New Roman" w:cs="Times New Roman"/>
                <w:b/>
                <w:bCs/>
                <w:sz w:val="21"/>
                <w:szCs w:val="21"/>
              </w:rPr>
              <w:t>2022</w:t>
            </w:r>
            <w:r>
              <w:rPr>
                <w:rFonts w:hint="eastAsia" w:ascii="Times New Roman" w:hAnsi="Times New Roman" w:cs="Times New Roman"/>
                <w:b/>
                <w:bCs/>
                <w:sz w:val="21"/>
                <w:szCs w:val="21"/>
              </w:rPr>
              <w:t>年）</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目标值</w:t>
            </w:r>
          </w:p>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w:t>
            </w:r>
            <w:r>
              <w:rPr>
                <w:rFonts w:ascii="Times New Roman" w:hAnsi="Times New Roman" w:cs="Times New Roman"/>
                <w:b/>
                <w:bCs/>
                <w:sz w:val="21"/>
                <w:szCs w:val="21"/>
              </w:rPr>
              <w:t>2025</w:t>
            </w:r>
            <w:r>
              <w:rPr>
                <w:rFonts w:hint="eastAsia" w:ascii="Times New Roman" w:hAnsi="Times New Roman" w:cs="Times New Roman"/>
                <w:b/>
                <w:bCs/>
                <w:sz w:val="21"/>
                <w:szCs w:val="21"/>
              </w:rPr>
              <w:t>年）</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责任部门</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目标值来源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restar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pacing w:val="-6"/>
                <w:sz w:val="21"/>
                <w:szCs w:val="21"/>
              </w:rPr>
            </w:pPr>
            <w:r>
              <w:rPr>
                <w:rFonts w:hint="eastAsia" w:ascii="Times New Roman" w:hAnsi="Times New Roman" w:cs="Times New Roman"/>
                <w:spacing w:val="-6"/>
                <w:sz w:val="21"/>
                <w:szCs w:val="21"/>
              </w:rPr>
              <w:t>固体废物源头减量</w:t>
            </w: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工业源头减量</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一般工业固体废物产生强度</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吨</w:t>
            </w:r>
            <w:r>
              <w:rPr>
                <w:rFonts w:ascii="Times New Roman" w:hAnsi="Times New Roman" w:cs="Times New Roman"/>
                <w:sz w:val="21"/>
                <w:szCs w:val="21"/>
              </w:rPr>
              <w:t>/</w:t>
            </w:r>
            <w:r>
              <w:rPr>
                <w:rFonts w:hint="eastAsia" w:ascii="Times New Roman" w:hAnsi="Times New Roman" w:cs="Times New Roman"/>
                <w:sz w:val="21"/>
                <w:szCs w:val="21"/>
              </w:rPr>
              <w:t>万元</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0</w:t>
            </w:r>
            <w:r>
              <w:rPr>
                <w:rFonts w:ascii="Times New Roman" w:hAnsi="Times New Roman" w:cs="Times New Roman"/>
                <w:sz w:val="21"/>
                <w:szCs w:val="21"/>
              </w:rPr>
              <w:t>.</w:t>
            </w:r>
            <w:r>
              <w:rPr>
                <w:rFonts w:hint="eastAsia" w:ascii="Times New Roman" w:hAnsi="Times New Roman" w:cs="Times New Roman"/>
                <w:sz w:val="21"/>
                <w:szCs w:val="21"/>
              </w:rPr>
              <w:t>54</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0.55</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市生态环境局、</w:t>
            </w:r>
            <w:r>
              <w:rPr>
                <w:rFonts w:hint="eastAsia" w:ascii="Times New Roman" w:hAnsi="Times New Roman" w:cs="Times New Roman"/>
                <w:sz w:val="21"/>
                <w:szCs w:val="21"/>
                <w:lang w:eastAsia="zh-CN"/>
              </w:rPr>
              <w:t>市工业和信息化局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ascii="Times New Roman" w:hAnsi="Times New Roman" w:cs="Times New Roman"/>
                <w:sz w:val="21"/>
                <w:szCs w:val="21"/>
              </w:rPr>
            </w:pPr>
            <w:r>
              <w:rPr>
                <w:rFonts w:hint="eastAsia" w:ascii="Times New Roman" w:hAnsi="Times New Roman" w:cs="Times New Roman"/>
                <w:sz w:val="21"/>
                <w:szCs w:val="21"/>
              </w:rPr>
              <w:t>根据无废城市建设“三化要求”，并结合汕尾市一般工业固废和工业增加值增长预测分析确定。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工业危险废物产生强度</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吨/万元</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0.0</w:t>
            </w:r>
            <w:r>
              <w:rPr>
                <w:rFonts w:hint="eastAsia" w:ascii="Times New Roman" w:hAnsi="Times New Roman" w:cs="Times New Roman"/>
                <w:sz w:val="21"/>
                <w:szCs w:val="21"/>
              </w:rPr>
              <w:t>04</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0.006</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ascii="Times New Roman" w:hAnsi="Times New Roman" w:cs="Times New Roman"/>
                <w:sz w:val="21"/>
                <w:szCs w:val="21"/>
              </w:rPr>
            </w:pPr>
            <w:r>
              <w:rPr>
                <w:rFonts w:hint="eastAsia" w:ascii="Times New Roman" w:hAnsi="Times New Roman" w:cs="Times New Roman"/>
                <w:sz w:val="21"/>
                <w:szCs w:val="21"/>
              </w:rPr>
              <w:t>根据无废城市建设“三化要求”，并结合汕尾市工业危险废物和工业增加值增长预测分析确定。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通过清洁生产审核评估工业企业占比</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80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市发展改革局</w:t>
            </w:r>
            <w:r>
              <w:rPr>
                <w:rFonts w:hint="eastAsia" w:ascii="Times New Roman" w:hAnsi="Times New Roman" w:cs="Times New Roman"/>
                <w:sz w:val="21"/>
                <w:szCs w:val="21"/>
              </w:rPr>
              <w:t>、市生态环境局、</w:t>
            </w:r>
            <w:r>
              <w:rPr>
                <w:rFonts w:hint="eastAsia" w:ascii="Times New Roman" w:hAnsi="Times New Roman" w:cs="Times New Roman"/>
                <w:sz w:val="21"/>
                <w:szCs w:val="21"/>
                <w:lang w:eastAsia="zh-CN"/>
              </w:rPr>
              <w:t>市工业和信息化局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ascii="Times New Roman" w:hAnsi="Times New Roman" w:cs="Times New Roman"/>
                <w:sz w:val="21"/>
                <w:szCs w:val="21"/>
              </w:rPr>
            </w:pPr>
            <w:r>
              <w:rPr>
                <w:rFonts w:hint="eastAsia" w:ascii="Times New Roman" w:hAnsi="Times New Roman" w:cs="Times New Roman"/>
                <w:sz w:val="21"/>
                <w:szCs w:val="21"/>
              </w:rPr>
              <w:t>根据《清洁生产审核评估与验收指南》要求，基于开展清洁生产审核评估的工业企业名单由城市自行决定的前提下确定。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开展生态工业园区建设、循环化改造、绿色园区建设的工业园区占比</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25</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50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市生态环境局、</w:t>
            </w:r>
            <w:r>
              <w:rPr>
                <w:rFonts w:hint="eastAsia" w:ascii="Times New Roman" w:hAnsi="Times New Roman" w:cs="Times New Roman"/>
                <w:sz w:val="21"/>
                <w:szCs w:val="21"/>
                <w:lang w:eastAsia="zh-CN"/>
              </w:rPr>
              <w:t>市工业和信息化局</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市发展改革局</w:t>
            </w:r>
            <w:r>
              <w:rPr>
                <w:rFonts w:hint="eastAsia" w:ascii="Times New Roman" w:hAnsi="Times New Roman" w:cs="Times New Roman"/>
                <w:sz w:val="21"/>
                <w:szCs w:val="21"/>
              </w:rPr>
              <w:t>按职责分工负责</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ascii="Times New Roman" w:hAnsi="Times New Roman" w:cs="Times New Roman"/>
                <w:sz w:val="21"/>
                <w:szCs w:val="21"/>
              </w:rPr>
            </w:pPr>
            <w:r>
              <w:rPr>
                <w:rFonts w:hint="eastAsia" w:ascii="Times New Roman" w:hAnsi="Times New Roman" w:cs="Times New Roman"/>
                <w:sz w:val="21"/>
                <w:szCs w:val="21"/>
              </w:rPr>
              <w:t>根据《汕尾市碳达峰实施方案》确定，结合汕尾市省级园区现状确定。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绿色矿山建成率</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100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市自然资源局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ascii="Times New Roman" w:hAnsi="Times New Roman" w:cs="Times New Roman"/>
                <w:sz w:val="21"/>
                <w:szCs w:val="21"/>
              </w:rPr>
            </w:pPr>
            <w:r>
              <w:rPr>
                <w:rFonts w:hint="eastAsia" w:ascii="Times New Roman" w:hAnsi="Times New Roman" w:cs="Times New Roman"/>
                <w:sz w:val="21"/>
                <w:szCs w:val="21"/>
              </w:rPr>
              <w:t>根据《汕尾市矿产资源总体规划</w:t>
            </w:r>
            <w:r>
              <w:rPr>
                <w:rFonts w:ascii="Times New Roman" w:hAnsi="Times New Roman" w:cs="Times New Roman"/>
                <w:sz w:val="21"/>
                <w:szCs w:val="21"/>
              </w:rPr>
              <w:t>(2021-2025年)》</w:t>
            </w:r>
            <w:r>
              <w:rPr>
                <w:rFonts w:hint="eastAsia" w:ascii="Times New Roman" w:hAnsi="Times New Roman" w:cs="Times New Roman"/>
                <w:sz w:val="21"/>
                <w:szCs w:val="21"/>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color w:val="000000"/>
                <w:sz w:val="21"/>
                <w:szCs w:val="21"/>
              </w:rPr>
              <w:t>农业固废源头减量</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pacing w:val="-6"/>
                <w:sz w:val="21"/>
                <w:szCs w:val="21"/>
              </w:rPr>
            </w:pPr>
            <w:r>
              <w:rPr>
                <w:rFonts w:hint="eastAsia" w:ascii="Times New Roman" w:hAnsi="Times New Roman" w:cs="Times New Roman"/>
                <w:color w:val="000000"/>
                <w:sz w:val="21"/>
                <w:szCs w:val="21"/>
              </w:rPr>
              <w:t>畜禽养殖标准化示范场数量</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color w:val="000000"/>
                <w:sz w:val="21"/>
                <w:szCs w:val="21"/>
              </w:rPr>
              <w:t>家</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16</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26</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市农业农村局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ascii="Times New Roman" w:hAnsi="Times New Roman" w:cs="Times New Roman"/>
                <w:sz w:val="21"/>
                <w:szCs w:val="21"/>
              </w:rPr>
            </w:pPr>
            <w:r>
              <w:rPr>
                <w:rFonts w:hint="eastAsia" w:ascii="Times New Roman" w:hAnsi="Times New Roman" w:cs="Times New Roman"/>
                <w:sz w:val="21"/>
                <w:szCs w:val="21"/>
              </w:rPr>
              <w:t>根据汕尾市实际情况核定。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建筑业源头减量</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绿色建筑占新建建筑的比例</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74.67</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市住房城乡建设局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、《广东省建筑节能与绿色建筑发展</w:t>
            </w:r>
            <w:r>
              <w:rPr>
                <w:rFonts w:ascii="Times New Roman" w:hAnsi="Times New Roman" w:cs="Times New Roman"/>
                <w:sz w:val="21"/>
                <w:szCs w:val="21"/>
              </w:rPr>
              <w:t>“</w:t>
            </w:r>
            <w:r>
              <w:rPr>
                <w:rFonts w:hint="eastAsia" w:ascii="Times New Roman" w:hAnsi="Times New Roman" w:cs="Times New Roman"/>
                <w:sz w:val="21"/>
                <w:szCs w:val="21"/>
              </w:rPr>
              <w:t>十四五</w:t>
            </w:r>
            <w:r>
              <w:rPr>
                <w:rFonts w:ascii="Times New Roman" w:hAnsi="Times New Roman" w:cs="Times New Roman"/>
                <w:sz w:val="21"/>
                <w:szCs w:val="21"/>
              </w:rPr>
              <w:t>”</w:t>
            </w:r>
            <w:r>
              <w:rPr>
                <w:rFonts w:hint="eastAsia" w:ascii="Times New Roman" w:hAnsi="Times New Roman" w:cs="Times New Roman"/>
                <w:sz w:val="21"/>
                <w:szCs w:val="21"/>
              </w:rPr>
              <w:t>规划》：到</w:t>
            </w:r>
            <w:r>
              <w:rPr>
                <w:rFonts w:ascii="Times New Roman" w:hAnsi="Times New Roman" w:cs="Times New Roman"/>
                <w:sz w:val="21"/>
                <w:szCs w:val="21"/>
              </w:rPr>
              <w:t>2025</w:t>
            </w:r>
            <w:r>
              <w:rPr>
                <w:rFonts w:hint="eastAsia" w:ascii="Times New Roman" w:hAnsi="Times New Roman" w:cs="Times New Roman"/>
                <w:sz w:val="21"/>
                <w:szCs w:val="21"/>
              </w:rPr>
              <w:t>年，建筑能源利用效率稳步提升，建筑能耗和碳排放增长趋势得到有效控制，绿色建筑全面建设。（主要是民用）</w:t>
            </w:r>
          </w:p>
          <w:p>
            <w:pPr>
              <w:pStyle w:val="7"/>
              <w:widowControl w:val="0"/>
              <w:adjustRightInd w:val="0"/>
              <w:snapToGrid w:val="0"/>
              <w:spacing w:before="0" w:beforeAutospacing="0" w:after="0" w:afterAutospacing="0" w:line="260" w:lineRule="exact"/>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2</w:t>
            </w:r>
            <w:r>
              <w:rPr>
                <w:rFonts w:hint="eastAsia" w:ascii="Times New Roman" w:hAnsi="Times New Roman" w:cs="Times New Roman"/>
                <w:sz w:val="21"/>
                <w:szCs w:val="21"/>
              </w:rPr>
              <w:t>、参考《汕尾市绿色建筑发展专项规划（</w:t>
            </w:r>
            <w:r>
              <w:rPr>
                <w:rFonts w:ascii="Times New Roman" w:hAnsi="Times New Roman" w:cs="Times New Roman"/>
                <w:sz w:val="21"/>
                <w:szCs w:val="21"/>
              </w:rPr>
              <w:t>2022-2035</w:t>
            </w:r>
            <w:r>
              <w:rPr>
                <w:rFonts w:hint="eastAsia" w:ascii="Times New Roman" w:hAnsi="Times New Roman" w:cs="Times New Roman"/>
                <w:sz w:val="21"/>
                <w:szCs w:val="21"/>
              </w:rPr>
              <w:t>年）》</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生活领域源头减量</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生活垃圾清运量</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万吨</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84.88</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87.49</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市住房城乡建设局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《汕尾市生活垃圾分类专项规划（2021-2035年》</w:t>
            </w:r>
            <w:r>
              <w:rPr>
                <w:rFonts w:hint="eastAsia" w:ascii="Times New Roman" w:hAnsi="Times New Roman" w:cs="Times New Roman"/>
                <w:sz w:val="21"/>
                <w:szCs w:val="21"/>
              </w:rPr>
              <w:t>对</w:t>
            </w:r>
            <w:r>
              <w:rPr>
                <w:rFonts w:ascii="Times New Roman" w:hAnsi="Times New Roman" w:cs="Times New Roman"/>
                <w:sz w:val="21"/>
                <w:szCs w:val="21"/>
              </w:rPr>
              <w:t>2025</w:t>
            </w:r>
            <w:r>
              <w:rPr>
                <w:rFonts w:hint="eastAsia" w:ascii="Times New Roman" w:hAnsi="Times New Roman" w:cs="Times New Roman"/>
                <w:sz w:val="21"/>
                <w:szCs w:val="21"/>
              </w:rPr>
              <w:t>年的</w:t>
            </w:r>
            <w:r>
              <w:rPr>
                <w:rFonts w:ascii="Times New Roman" w:hAnsi="Times New Roman" w:cs="Times New Roman"/>
                <w:sz w:val="21"/>
                <w:szCs w:val="21"/>
              </w:rPr>
              <w:t>预测数据</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城市居民小区生活垃圾分类覆盖率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100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市住房城乡建设局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ascii="Times New Roman" w:hAnsi="Times New Roman" w:cs="Times New Roman"/>
                <w:sz w:val="21"/>
                <w:szCs w:val="21"/>
              </w:rPr>
            </w:pPr>
            <w:r>
              <w:rPr>
                <w:rFonts w:ascii="Times New Roman" w:hAnsi="Times New Roman" w:cs="Times New Roman"/>
                <w:sz w:val="21"/>
                <w:szCs w:val="21"/>
              </w:rPr>
              <w:t>《广东省生活垃圾处理“十四五”规划》要求：到2025年，全省地级以上市和具备条件的县城基本建成生活垃圾分类处理系统。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农村地区生活垃圾分类系统覆盖率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53.73</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60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市农业农村局、市住房城乡建设局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在现状基础上有所提升</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hint="eastAsia" w:ascii="Times New Roman" w:hAnsi="Times New Roman" w:cs="Times New Roman"/>
                <w:sz w:val="21"/>
                <w:szCs w:val="21"/>
              </w:rPr>
              <w:t>快递绿色包装使用率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26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85</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市邮政管理局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260" w:lineRule="exact"/>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参考周边城市规划目标值</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pacing w:val="-6"/>
                <w:sz w:val="21"/>
                <w:szCs w:val="21"/>
              </w:rPr>
              <w:t>固体废物资源化利用</w:t>
            </w: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工业固体废物资源化利用</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一般工业固体废物综合利用率★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98.17</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9</w:t>
            </w:r>
            <w:r>
              <w:rPr>
                <w:rFonts w:hint="eastAsia" w:ascii="Times New Roman" w:hAnsi="Times New Roman" w:cs="Times New Roman"/>
                <w:sz w:val="21"/>
                <w:szCs w:val="21"/>
              </w:rPr>
              <w:t>8</w:t>
            </w:r>
            <w:r>
              <w:rPr>
                <w:rFonts w:ascii="Times New Roman" w:hAnsi="Times New Roman" w:cs="Times New Roman"/>
                <w:sz w:val="21"/>
                <w:szCs w:val="21"/>
              </w:rPr>
              <w:t>.17</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市生态环境局、</w:t>
            </w:r>
            <w:r>
              <w:rPr>
                <w:rFonts w:hint="eastAsia" w:ascii="Times New Roman" w:hAnsi="Times New Roman" w:cs="Times New Roman"/>
                <w:sz w:val="21"/>
                <w:szCs w:val="21"/>
                <w:lang w:eastAsia="zh-CN"/>
              </w:rPr>
              <w:t>市工业和信息化局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r>
              <w:rPr>
                <w:rFonts w:hint="eastAsia" w:ascii="Times New Roman" w:hAnsi="Times New Roman" w:cs="Times New Roman"/>
                <w:sz w:val="21"/>
                <w:szCs w:val="21"/>
              </w:rPr>
              <w:t>根据无废城市建设“三化要求”，并结合汕尾市实际情况确定。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8"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6"/>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工业危险废物综合利用率★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36.37</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40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r>
              <w:rPr>
                <w:rFonts w:hint="eastAsia" w:ascii="Times New Roman" w:hAnsi="Times New Roman" w:cs="Times New Roman"/>
                <w:sz w:val="21"/>
                <w:szCs w:val="21"/>
              </w:rPr>
              <w:t>根据无废城市建设“三化要求”，并结合汕尾市实际情况确定。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农业固体废物资源化利用</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pacing w:val="-6"/>
                <w:sz w:val="21"/>
                <w:szCs w:val="21"/>
              </w:rPr>
              <w:t>秸秆综合利用率★</w:t>
            </w:r>
          </w:p>
        </w:tc>
        <w:tc>
          <w:tcPr>
            <w:tcW w:w="405" w:type="pct"/>
            <w:tcBorders>
              <w:tl2br w:val="nil"/>
              <w:tr2bl w:val="nil"/>
            </w:tcBorders>
            <w:noWrap w:val="0"/>
            <w:vAlign w:val="center"/>
          </w:tcPr>
          <w:p>
            <w:pPr>
              <w:adjustRightInd w:val="0"/>
              <w:snapToGrid w:val="0"/>
              <w:spacing w:line="300" w:lineRule="exact"/>
              <w:jc w:val="center"/>
              <w:rPr>
                <w:rFonts w:ascii="Times New Roman" w:hAnsi="Times New Roman" w:cs="Times New Roman"/>
                <w:szCs w:val="21"/>
              </w:rPr>
            </w:pPr>
            <w:r>
              <w:rPr>
                <w:rFonts w:ascii="Times New Roman" w:hAnsi="Times New Roman" w:cs="Times New Roman"/>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93.55</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达到国家、省市目标</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市农业农村局</w:t>
            </w:r>
          </w:p>
        </w:tc>
        <w:tc>
          <w:tcPr>
            <w:tcW w:w="1001" w:type="pct"/>
            <w:tcBorders>
              <w:tl2br w:val="nil"/>
              <w:tr2bl w:val="nil"/>
            </w:tcBorders>
            <w:noWrap w:val="0"/>
            <w:vAlign w:val="top"/>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《广东省推进“无废城市”建设试点工作方案》《汕尾市农业农村现代化“十四五”规划》</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畜禽粪污综合利用率★</w:t>
            </w:r>
          </w:p>
        </w:tc>
        <w:tc>
          <w:tcPr>
            <w:tcW w:w="405" w:type="pct"/>
            <w:tcBorders>
              <w:tl2br w:val="nil"/>
              <w:tr2bl w:val="nil"/>
            </w:tcBorders>
            <w:noWrap w:val="0"/>
            <w:vAlign w:val="center"/>
          </w:tcPr>
          <w:p>
            <w:pPr>
              <w:adjustRightInd w:val="0"/>
              <w:snapToGrid w:val="0"/>
              <w:spacing w:line="300" w:lineRule="exact"/>
              <w:jc w:val="center"/>
              <w:rPr>
                <w:rFonts w:ascii="Times New Roman" w:hAnsi="Times New Roman" w:cs="Times New Roman"/>
                <w:szCs w:val="21"/>
              </w:rPr>
            </w:pPr>
            <w:r>
              <w:rPr>
                <w:rFonts w:ascii="Times New Roman" w:hAnsi="Times New Roman" w:cs="Times New Roman"/>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90.39</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达到国家、省市目标</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市农业农村局</w:t>
            </w:r>
          </w:p>
        </w:tc>
        <w:tc>
          <w:tcPr>
            <w:tcW w:w="1001" w:type="pct"/>
            <w:tcBorders>
              <w:tl2br w:val="nil"/>
              <w:tr2bl w:val="nil"/>
            </w:tcBorders>
            <w:noWrap w:val="0"/>
            <w:vAlign w:val="top"/>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r>
              <w:rPr>
                <w:rFonts w:hint="eastAsia" w:ascii="Times New Roman" w:hAnsi="Times New Roman" w:cs="Times New Roman"/>
                <w:sz w:val="21"/>
                <w:szCs w:val="21"/>
              </w:rPr>
              <w:t>《广东省推进“无废城市”建设试点工作方案》《汕尾市农业农村现代化“十四五”规划》《汕尾市农业农村污染治理攻坚战实施方案</w:t>
            </w:r>
            <w:r>
              <w:rPr>
                <w:rFonts w:hint="eastAsia" w:ascii="Times New Roman" w:hAnsi="Times New Roman" w:cs="Times New Roman"/>
                <w:sz w:val="21"/>
                <w:szCs w:val="21"/>
                <w:lang w:eastAsia="zh-CN"/>
              </w:rPr>
              <w:t>（</w:t>
            </w:r>
            <w:r>
              <w:rPr>
                <w:rFonts w:ascii="Times New Roman" w:hAnsi="Times New Roman" w:cs="Times New Roman"/>
                <w:sz w:val="21"/>
                <w:szCs w:val="21"/>
              </w:rPr>
              <w:t>2022-2025</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废旧农膜回收率★</w:t>
            </w:r>
          </w:p>
        </w:tc>
        <w:tc>
          <w:tcPr>
            <w:tcW w:w="405" w:type="pct"/>
            <w:tcBorders>
              <w:tl2br w:val="nil"/>
              <w:tr2bl w:val="nil"/>
            </w:tcBorders>
            <w:noWrap w:val="0"/>
            <w:vAlign w:val="center"/>
          </w:tcPr>
          <w:p>
            <w:pPr>
              <w:adjustRightInd w:val="0"/>
              <w:snapToGrid w:val="0"/>
              <w:spacing w:line="300" w:lineRule="exact"/>
              <w:jc w:val="center"/>
              <w:rPr>
                <w:rFonts w:ascii="Times New Roman" w:hAnsi="Times New Roman" w:cs="Times New Roman"/>
                <w:szCs w:val="21"/>
              </w:rPr>
            </w:pPr>
            <w:r>
              <w:rPr>
                <w:rFonts w:ascii="Times New Roman" w:hAnsi="Times New Roman" w:cs="Times New Roman"/>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87.13</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达到国家、省市目标</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市农业农村局</w:t>
            </w:r>
          </w:p>
        </w:tc>
        <w:tc>
          <w:tcPr>
            <w:tcW w:w="1001" w:type="pct"/>
            <w:tcBorders>
              <w:tl2br w:val="nil"/>
              <w:tr2bl w:val="nil"/>
            </w:tcBorders>
            <w:noWrap w:val="0"/>
            <w:vAlign w:val="top"/>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《广东省推进“无废城市”建设试点工作方案》《汕尾市农业农村污染治理攻坚战实施方案（</w:t>
            </w:r>
            <w:r>
              <w:rPr>
                <w:rFonts w:ascii="Times New Roman" w:hAnsi="Times New Roman" w:cs="Times New Roman"/>
                <w:sz w:val="21"/>
                <w:szCs w:val="21"/>
              </w:rPr>
              <w:t>2022-2025年）》</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农药包装废弃物回收率</w:t>
            </w:r>
          </w:p>
        </w:tc>
        <w:tc>
          <w:tcPr>
            <w:tcW w:w="405" w:type="pct"/>
            <w:tcBorders>
              <w:tl2br w:val="nil"/>
              <w:tr2bl w:val="nil"/>
            </w:tcBorders>
            <w:noWrap w:val="0"/>
            <w:vAlign w:val="center"/>
          </w:tcPr>
          <w:p>
            <w:pPr>
              <w:adjustRightInd w:val="0"/>
              <w:snapToGrid w:val="0"/>
              <w:spacing w:line="300" w:lineRule="exact"/>
              <w:jc w:val="center"/>
              <w:rPr>
                <w:rFonts w:ascii="Times New Roman" w:hAnsi="Times New Roman" w:cs="Times New Roman"/>
                <w:szCs w:val="21"/>
              </w:rPr>
            </w:pPr>
            <w:r>
              <w:rPr>
                <w:rFonts w:ascii="Times New Roman" w:hAnsi="Times New Roman" w:cs="Times New Roman"/>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66.86</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&gt;80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市农业农村局</w:t>
            </w:r>
          </w:p>
        </w:tc>
        <w:tc>
          <w:tcPr>
            <w:tcW w:w="1001" w:type="pct"/>
            <w:tcBorders>
              <w:tl2br w:val="nil"/>
              <w:tr2bl w:val="nil"/>
            </w:tcBorders>
            <w:noWrap w:val="0"/>
            <w:vAlign w:val="top"/>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《汕尾市农药包装废弃物回收处理实施方案》《广东省农药包装废弃物回收处理实施方案》</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12"/>
                <w:sz w:val="21"/>
                <w:szCs w:val="21"/>
              </w:rPr>
            </w:pPr>
            <w:r>
              <w:rPr>
                <w:rFonts w:hint="eastAsia" w:ascii="Times New Roman" w:hAnsi="Times New Roman" w:cs="Times New Roman"/>
                <w:sz w:val="21"/>
                <w:szCs w:val="21"/>
              </w:rPr>
              <w:t>建筑垃圾资源化利用</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建筑垃圾综合利用率</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58.69</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60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市住房城乡建设局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在现状基础上有所提升</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pacing w:val="-6"/>
                <w:sz w:val="21"/>
                <w:szCs w:val="21"/>
              </w:rPr>
              <w:t>生活领域固体废物资源化利用</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生活垃圾回收利用率</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10.04</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35</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市住房城乡建设局、市商务局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《关于进一步推进生活垃圾分类工作的若干意见》要求“全国城市生活垃圾回收利用率达到35％以上”</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再生资源回收量增长率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市商务局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沟通协商确定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医疗卫生机构可回收物回收率</w:t>
            </w:r>
            <w:r>
              <w:rPr>
                <w:rFonts w:hint="eastAsia" w:ascii="Segoe UI Symbol" w:hAnsi="Segoe UI Symbol" w:cs="Segoe UI Symbol"/>
                <w:sz w:val="21"/>
                <w:szCs w:val="21"/>
              </w:rPr>
              <w:t>★</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市卫生健康局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维持现状不下降</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6"/>
                <w:sz w:val="21"/>
                <w:szCs w:val="21"/>
              </w:rPr>
            </w:pPr>
            <w:r>
              <w:rPr>
                <w:rFonts w:hint="eastAsia" w:ascii="Times New Roman" w:hAnsi="Times New Roman" w:cs="Times New Roman"/>
                <w:spacing w:val="-6"/>
                <w:sz w:val="21"/>
                <w:szCs w:val="21"/>
              </w:rPr>
              <w:t>固体废物最终处置</w:t>
            </w: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危险废物处置</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工业危险废物填埋比★</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3</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3</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highlight w:val="yellow"/>
                <w:lang w:eastAsia="zh-CN"/>
              </w:rPr>
            </w:pPr>
            <w:r>
              <w:rPr>
                <w:rFonts w:hint="eastAsia" w:ascii="Times New Roman" w:hAnsi="Times New Roman" w:cs="Times New Roman"/>
                <w:sz w:val="21"/>
                <w:szCs w:val="21"/>
              </w:rPr>
              <w:t>参照《浙江省危险废物“趋零填埋”三年攻坚行动方案》确定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医疗废物收集处置体系覆盖率★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市卫生健康局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r>
              <w:rPr>
                <w:rFonts w:hint="eastAsia" w:ascii="Times New Roman" w:hAnsi="Times New Roman" w:cs="Times New Roman"/>
                <w:sz w:val="21"/>
                <w:szCs w:val="21"/>
              </w:rPr>
              <w:t>根据汕尾市现有危险废物收集覆盖情况确定。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6"/>
                <w:sz w:val="21"/>
                <w:szCs w:val="21"/>
              </w:rPr>
            </w:pPr>
            <w:r>
              <w:rPr>
                <w:rFonts w:hint="eastAsia" w:ascii="Times New Roman" w:hAnsi="Times New Roman" w:cs="Times New Roman"/>
                <w:sz w:val="21"/>
                <w:szCs w:val="21"/>
              </w:rPr>
              <w:t>社会源危险废物收集处置体系覆盖率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80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涉及社会源危险废物的主管部门</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r>
              <w:rPr>
                <w:rFonts w:hint="eastAsia" w:ascii="Times New Roman" w:hAnsi="Times New Roman" w:cs="Times New Roman"/>
                <w:sz w:val="21"/>
                <w:szCs w:val="21"/>
              </w:rPr>
              <w:t>根据汕尾市现有社会源危险废物收集覆盖体系确定。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一般工业固体废物贮存处置</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一般工业固体废物贮存处置量下降幅度★</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5</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r>
              <w:rPr>
                <w:rFonts w:hint="eastAsia" w:ascii="Times New Roman" w:hAnsi="Times New Roman" w:cs="Times New Roman"/>
                <w:sz w:val="21"/>
                <w:szCs w:val="21"/>
              </w:rPr>
              <w:t>根据无废城市建设“三化要求”，并结合汕尾市实际情况确定。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农业废弃物处置</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病死畜禽无害化处理率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市农业农村局</w:t>
            </w:r>
          </w:p>
        </w:tc>
        <w:tc>
          <w:tcPr>
            <w:tcW w:w="1001" w:type="pct"/>
            <w:tcBorders>
              <w:tl2br w:val="nil"/>
              <w:tr2bl w:val="nil"/>
            </w:tcBorders>
            <w:noWrap w:val="0"/>
            <w:vAlign w:val="top"/>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color w:val="000000"/>
                <w:sz w:val="21"/>
                <w:szCs w:val="21"/>
              </w:rPr>
              <w:t>《汕尾市农业农村现代化“十四五”规划》</w:t>
            </w:r>
            <w:r>
              <w:rPr>
                <w:rFonts w:hint="eastAsia" w:ascii="Times New Roman" w:hAnsi="Times New Roman"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生活领域固体废物处置</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sz w:val="21"/>
                <w:szCs w:val="21"/>
              </w:rPr>
              <w:t>生活垃圾焚烧处理能力占比★</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sz w:val="21"/>
                <w:szCs w:val="21"/>
              </w:rPr>
              <w:t>100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sz w:val="21"/>
                <w:szCs w:val="21"/>
              </w:rPr>
              <w:t>市住房城乡建设局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sz w:val="21"/>
                <w:szCs w:val="21"/>
              </w:rPr>
              <w:t>维持现状不下降</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sz w:val="21"/>
                <w:szCs w:val="21"/>
              </w:rPr>
              <w:t>城镇污水污泥无害化处置率★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sz w:val="21"/>
                <w:szCs w:val="21"/>
              </w:rPr>
              <w:t>100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sz w:val="21"/>
                <w:szCs w:val="21"/>
              </w:rPr>
              <w:t>市住房城乡建设局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sz w:val="21"/>
                <w:szCs w:val="21"/>
              </w:rPr>
              <w:t>维持现状不下降</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pacing w:val="-6"/>
                <w:sz w:val="21"/>
                <w:szCs w:val="21"/>
              </w:rPr>
              <w:t>保障能力</w:t>
            </w: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制度体系建设</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rPr>
              <w:t>无废城市</w:t>
            </w:r>
            <w:r>
              <w:rPr>
                <w:rFonts w:ascii="Times New Roman" w:hAnsi="Times New Roman" w:cs="Times New Roman"/>
                <w:sz w:val="21"/>
                <w:szCs w:val="21"/>
              </w:rPr>
              <w:t>”</w:t>
            </w:r>
            <w:r>
              <w:rPr>
                <w:rFonts w:hint="eastAsia" w:ascii="Times New Roman" w:hAnsi="Times New Roman" w:cs="Times New Roman"/>
                <w:sz w:val="21"/>
                <w:szCs w:val="21"/>
              </w:rPr>
              <w:t>建设地方性法规、政策性文件及有关规划制定数量★</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个</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4</w:t>
            </w:r>
            <w:r>
              <w:rPr>
                <w:rFonts w:ascii="Times New Roman" w:hAnsi="Times New Roman" w:cs="Times New Roman"/>
                <w:sz w:val="21"/>
                <w:szCs w:val="21"/>
              </w:rPr>
              <w:t>6</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新增2</w:t>
            </w:r>
            <w:r>
              <w:rPr>
                <w:rFonts w:ascii="Times New Roman" w:hAnsi="Times New Roman" w:cs="Times New Roman"/>
                <w:sz w:val="21"/>
                <w:szCs w:val="21"/>
              </w:rPr>
              <w:t>0</w:t>
            </w:r>
            <w:r>
              <w:rPr>
                <w:rFonts w:hint="eastAsia" w:ascii="Times New Roman" w:hAnsi="Times New Roman" w:cs="Times New Roman"/>
                <w:sz w:val="21"/>
                <w:szCs w:val="21"/>
              </w:rPr>
              <w:t>个</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w:t>
            </w:r>
            <w:r>
              <w:rPr>
                <w:rFonts w:ascii="Times New Roman" w:hAnsi="Times New Roman" w:cs="Times New Roman"/>
                <w:sz w:val="21"/>
                <w:szCs w:val="21"/>
              </w:rPr>
              <w:t>“</w:t>
            </w:r>
            <w:r>
              <w:rPr>
                <w:rFonts w:hint="eastAsia" w:ascii="Times New Roman" w:hAnsi="Times New Roman" w:cs="Times New Roman"/>
                <w:sz w:val="21"/>
                <w:szCs w:val="21"/>
              </w:rPr>
              <w:t>无废城市</w:t>
            </w:r>
            <w:r>
              <w:rPr>
                <w:rFonts w:ascii="Times New Roman" w:hAnsi="Times New Roman" w:cs="Times New Roman"/>
                <w:sz w:val="21"/>
                <w:szCs w:val="21"/>
              </w:rPr>
              <w:t>”</w:t>
            </w:r>
            <w:r>
              <w:rPr>
                <w:rFonts w:hint="eastAsia" w:ascii="Times New Roman" w:hAnsi="Times New Roman" w:cs="Times New Roman"/>
                <w:sz w:val="21"/>
                <w:szCs w:val="21"/>
              </w:rPr>
              <w:t>建设工作领导小组各成员单位</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rPr>
              <w:t>无废城市</w:t>
            </w:r>
            <w:r>
              <w:rPr>
                <w:rFonts w:ascii="Times New Roman" w:hAnsi="Times New Roman" w:cs="Times New Roman"/>
                <w:sz w:val="21"/>
                <w:szCs w:val="21"/>
              </w:rPr>
              <w:t>”</w:t>
            </w:r>
            <w:r>
              <w:rPr>
                <w:rFonts w:hint="eastAsia" w:ascii="Times New Roman" w:hAnsi="Times New Roman" w:cs="Times New Roman"/>
                <w:sz w:val="21"/>
                <w:szCs w:val="21"/>
              </w:rPr>
              <w:t>建设协调机制★</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尚未建立</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建立</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w:t>
            </w:r>
            <w:r>
              <w:rPr>
                <w:rFonts w:ascii="Times New Roman" w:hAnsi="Times New Roman" w:cs="Times New Roman"/>
                <w:sz w:val="21"/>
                <w:szCs w:val="21"/>
              </w:rPr>
              <w:t>“</w:t>
            </w:r>
            <w:r>
              <w:rPr>
                <w:rFonts w:hint="eastAsia" w:ascii="Times New Roman" w:hAnsi="Times New Roman" w:cs="Times New Roman"/>
                <w:sz w:val="21"/>
                <w:szCs w:val="21"/>
              </w:rPr>
              <w:t>无废城市</w:t>
            </w:r>
            <w:r>
              <w:rPr>
                <w:rFonts w:ascii="Times New Roman" w:hAnsi="Times New Roman" w:cs="Times New Roman"/>
                <w:sz w:val="21"/>
                <w:szCs w:val="21"/>
              </w:rPr>
              <w:t>”</w:t>
            </w:r>
            <w:r>
              <w:rPr>
                <w:rFonts w:hint="eastAsia" w:ascii="Times New Roman" w:hAnsi="Times New Roman" w:cs="Times New Roman"/>
                <w:sz w:val="21"/>
                <w:szCs w:val="21"/>
              </w:rPr>
              <w:t>建设工作领导小组各成员单位</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Times New Roman"/>
                <w:color w:val="000000"/>
                <w:sz w:val="21"/>
                <w:szCs w:val="21"/>
              </w:rPr>
              <w:t>无废城市</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建设成效纳入考核情况</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纳入</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市委组织部、市委考核办</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开展</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无废城市细胞</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建设的单位数量（机关、企事业单位、饭店、商场、集贸市场、</w:t>
            </w:r>
            <w:r>
              <w:rPr>
                <w:rFonts w:hint="eastAsia" w:ascii="Times New Roman" w:hAnsi="Times New Roman" w:cs="Times New Roman"/>
                <w:color w:val="000000"/>
                <w:sz w:val="21"/>
                <w:szCs w:val="21"/>
                <w:lang w:eastAsia="zh-CN"/>
              </w:rPr>
              <w:t>社区</w:t>
            </w:r>
            <w:r>
              <w:rPr>
                <w:rFonts w:hint="eastAsia" w:ascii="Times New Roman" w:hAnsi="Times New Roman" w:cs="Times New Roman"/>
                <w:color w:val="000000"/>
                <w:sz w:val="21"/>
                <w:szCs w:val="21"/>
              </w:rPr>
              <w:t>、村镇）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个</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color w:val="000000"/>
                <w:sz w:val="21"/>
                <w:szCs w:val="21"/>
              </w:rPr>
            </w:pPr>
            <w:r>
              <w:rPr>
                <w:rFonts w:ascii="Times New Roman" w:hAnsi="Times New Roman" w:cs="Times New Roman"/>
                <w:color w:val="000000"/>
                <w:sz w:val="21"/>
                <w:szCs w:val="21"/>
              </w:rPr>
              <w:t>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color w:val="000000"/>
                <w:sz w:val="21"/>
                <w:szCs w:val="21"/>
              </w:rPr>
            </w:pPr>
            <w:r>
              <w:rPr>
                <w:rFonts w:ascii="Times New Roman" w:hAnsi="Times New Roman" w:cs="Times New Roman"/>
                <w:color w:val="000000"/>
                <w:sz w:val="21"/>
                <w:szCs w:val="21"/>
              </w:rPr>
              <w:t>80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w:t>
            </w:r>
            <w:r>
              <w:rPr>
                <w:rFonts w:ascii="Times New Roman" w:hAnsi="Times New Roman" w:cs="Times New Roman"/>
                <w:sz w:val="21"/>
                <w:szCs w:val="21"/>
              </w:rPr>
              <w:t>“</w:t>
            </w:r>
            <w:r>
              <w:rPr>
                <w:rFonts w:hint="eastAsia" w:ascii="Times New Roman" w:hAnsi="Times New Roman" w:cs="Times New Roman"/>
                <w:sz w:val="21"/>
                <w:szCs w:val="21"/>
              </w:rPr>
              <w:t>无废城市</w:t>
            </w:r>
            <w:r>
              <w:rPr>
                <w:rFonts w:ascii="Times New Roman" w:hAnsi="Times New Roman" w:cs="Times New Roman"/>
                <w:sz w:val="21"/>
                <w:szCs w:val="21"/>
              </w:rPr>
              <w:t>”</w:t>
            </w:r>
            <w:r>
              <w:rPr>
                <w:rFonts w:hint="eastAsia" w:ascii="Times New Roman" w:hAnsi="Times New Roman" w:cs="Times New Roman"/>
                <w:sz w:val="21"/>
                <w:szCs w:val="21"/>
              </w:rPr>
              <w:t>建设工作领导小组各成员单位</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市场体系建设</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4"/>
                <w:sz w:val="21"/>
                <w:szCs w:val="21"/>
              </w:rPr>
            </w:pPr>
            <w:r>
              <w:rPr>
                <w:rFonts w:ascii="Times New Roman" w:hAnsi="Times New Roman" w:cs="Times New Roman"/>
                <w:spacing w:val="-4"/>
                <w:sz w:val="21"/>
                <w:szCs w:val="21"/>
              </w:rPr>
              <w:t>“</w:t>
            </w:r>
            <w:r>
              <w:rPr>
                <w:rFonts w:hint="eastAsia" w:ascii="Times New Roman" w:hAnsi="Times New Roman" w:cs="Times New Roman"/>
                <w:spacing w:val="-4"/>
                <w:sz w:val="21"/>
                <w:szCs w:val="21"/>
              </w:rPr>
              <w:t>无废城市</w:t>
            </w:r>
            <w:r>
              <w:rPr>
                <w:rFonts w:ascii="Times New Roman" w:hAnsi="Times New Roman" w:cs="Times New Roman"/>
                <w:spacing w:val="-4"/>
                <w:sz w:val="21"/>
                <w:szCs w:val="21"/>
              </w:rPr>
              <w:t>”</w:t>
            </w:r>
            <w:r>
              <w:rPr>
                <w:rFonts w:hint="eastAsia" w:ascii="Times New Roman" w:hAnsi="Times New Roman" w:cs="Times New Roman"/>
                <w:spacing w:val="-4"/>
                <w:sz w:val="21"/>
                <w:szCs w:val="21"/>
              </w:rPr>
              <w:t>建设项目投资总额★</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亿元</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b/>
                <w:bCs/>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w:t>
            </w:r>
            <w:r>
              <w:rPr>
                <w:rFonts w:ascii="Times New Roman" w:hAnsi="Times New Roman" w:cs="Times New Roman"/>
                <w:sz w:val="21"/>
                <w:szCs w:val="21"/>
              </w:rPr>
              <w:t>“</w:t>
            </w:r>
            <w:r>
              <w:rPr>
                <w:rFonts w:hint="eastAsia" w:ascii="Times New Roman" w:hAnsi="Times New Roman" w:cs="Times New Roman"/>
                <w:sz w:val="21"/>
                <w:szCs w:val="21"/>
              </w:rPr>
              <w:t>无废城市</w:t>
            </w:r>
            <w:r>
              <w:rPr>
                <w:rFonts w:ascii="Times New Roman" w:hAnsi="Times New Roman" w:cs="Times New Roman"/>
                <w:sz w:val="21"/>
                <w:szCs w:val="21"/>
              </w:rPr>
              <w:t>”</w:t>
            </w:r>
            <w:r>
              <w:rPr>
                <w:rFonts w:hint="eastAsia" w:ascii="Times New Roman" w:hAnsi="Times New Roman" w:cs="Times New Roman"/>
                <w:sz w:val="21"/>
                <w:szCs w:val="21"/>
              </w:rPr>
              <w:t>建设工作领导小组各成员单位</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根据项目投资金额确定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4"/>
                <w:sz w:val="21"/>
                <w:szCs w:val="21"/>
              </w:rPr>
            </w:pPr>
            <w:r>
              <w:rPr>
                <w:rFonts w:hint="eastAsia" w:ascii="Times New Roman" w:hAnsi="Times New Roman" w:cs="Times New Roman"/>
                <w:spacing w:val="-4"/>
                <w:sz w:val="21"/>
                <w:szCs w:val="21"/>
              </w:rPr>
              <w:t>纳入企业环境信用评价范围的固体废物相关企业数量</w:t>
            </w:r>
          </w:p>
        </w:tc>
        <w:tc>
          <w:tcPr>
            <w:tcW w:w="405" w:type="pct"/>
            <w:tcBorders>
              <w:tl2br w:val="nil"/>
              <w:tr2bl w:val="nil"/>
            </w:tcBorders>
            <w:noWrap w:val="0"/>
            <w:vAlign w:val="center"/>
          </w:tcPr>
          <w:p>
            <w:pPr>
              <w:adjustRightInd w:val="0"/>
              <w:snapToGrid w:val="0"/>
              <w:spacing w:line="300" w:lineRule="exact"/>
              <w:jc w:val="center"/>
              <w:rPr>
                <w:rFonts w:ascii="Times New Roman" w:hAnsi="Times New Roman" w:eastAsia="宋体" w:cs="Times New Roman"/>
                <w:spacing w:val="-4"/>
                <w:kern w:val="0"/>
                <w:szCs w:val="21"/>
              </w:rPr>
            </w:pPr>
            <w:r>
              <w:rPr>
                <w:rFonts w:hint="eastAsia" w:ascii="Times New Roman" w:hAnsi="Times New Roman" w:eastAsia="宋体" w:cs="Times New Roman"/>
                <w:spacing w:val="-4"/>
                <w:kern w:val="0"/>
                <w:szCs w:val="21"/>
              </w:rPr>
              <w:t>个</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4"/>
                <w:sz w:val="21"/>
                <w:szCs w:val="21"/>
              </w:rPr>
            </w:pPr>
            <w:r>
              <w:rPr>
                <w:rFonts w:ascii="Times New Roman" w:hAnsi="Times New Roman" w:cs="Times New Roman"/>
                <w:spacing w:val="-4"/>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20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根据全市一般工业固废和危险废物重点产生单位和经营单位数量确定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pacing w:val="-6"/>
                <w:sz w:val="21"/>
                <w:szCs w:val="21"/>
              </w:rPr>
              <w:t>危险废物经营单位环境污染责任保险覆盖率</w:t>
            </w:r>
          </w:p>
        </w:tc>
        <w:tc>
          <w:tcPr>
            <w:tcW w:w="405" w:type="pct"/>
            <w:tcBorders>
              <w:tl2br w:val="nil"/>
              <w:tr2bl w:val="nil"/>
            </w:tcBorders>
            <w:noWrap w:val="0"/>
            <w:vAlign w:val="center"/>
          </w:tcPr>
          <w:p>
            <w:pPr>
              <w:adjustRightInd w:val="0"/>
              <w:snapToGrid w:val="0"/>
              <w:spacing w:line="300" w:lineRule="exact"/>
              <w:jc w:val="center"/>
              <w:rPr>
                <w:rFonts w:ascii="Times New Roman" w:hAnsi="Times New Roman" w:cs="Times New Roman"/>
                <w:szCs w:val="21"/>
              </w:rPr>
            </w:pPr>
            <w:r>
              <w:rPr>
                <w:rFonts w:ascii="Times New Roman" w:hAnsi="Times New Roman" w:cs="Times New Roman"/>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根据新《固废法》要求确定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技术体系建设</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固体废物减量化、资源化、无害化相关的工艺、技术、设备等示范项目</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个</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市科技局、</w:t>
            </w:r>
            <w:r>
              <w:rPr>
                <w:rFonts w:hint="eastAsia" w:ascii="Times New Roman" w:hAnsi="Times New Roman" w:cs="Times New Roman"/>
                <w:sz w:val="21"/>
                <w:szCs w:val="21"/>
                <w:lang w:eastAsia="zh-CN"/>
              </w:rPr>
              <w:t>市发展改革局</w:t>
            </w: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监管体系建设</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固体废物管理信息化监管情况★</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建立</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进一步完善</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w:t>
            </w:r>
            <w:r>
              <w:rPr>
                <w:rFonts w:hint="eastAsia" w:ascii="Times New Roman" w:hAnsi="Times New Roman" w:cs="Times New Roman"/>
                <w:sz w:val="21"/>
                <w:szCs w:val="21"/>
                <w:lang w:eastAsia="zh-CN"/>
              </w:rPr>
              <w:t>政务数据管理</w:t>
            </w:r>
            <w:r>
              <w:rPr>
                <w:rFonts w:hint="eastAsia" w:ascii="Times New Roman" w:hAnsi="Times New Roman" w:cs="Times New Roman"/>
                <w:sz w:val="21"/>
                <w:szCs w:val="21"/>
              </w:rPr>
              <w:t>局、市生态环境局、市住房城乡建设局、市农业农村局、市交通运输局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危险废物规范化管理抽查合格率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80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90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r>
              <w:rPr>
                <w:rFonts w:hint="eastAsia" w:ascii="Times New Roman" w:hAnsi="Times New Roman" w:cs="Times New Roman"/>
                <w:sz w:val="21"/>
                <w:szCs w:val="21"/>
              </w:rPr>
              <w:t>根据《</w:t>
            </w:r>
            <w:r>
              <w:rPr>
                <w:rFonts w:hint="eastAsia" w:ascii="Times New Roman" w:hAnsi="Times New Roman" w:cs="Times New Roman"/>
                <w:sz w:val="21"/>
                <w:szCs w:val="21"/>
                <w:lang w:eastAsia="zh-CN"/>
              </w:rPr>
              <w:t>“</w:t>
            </w:r>
            <w:r>
              <w:rPr>
                <w:rFonts w:ascii="Times New Roman" w:hAnsi="Times New Roman" w:cs="Times New Roman"/>
                <w:sz w:val="21"/>
                <w:szCs w:val="21"/>
              </w:rPr>
              <w:t>十四五</w:t>
            </w:r>
            <w:r>
              <w:rPr>
                <w:rFonts w:hint="eastAsia" w:ascii="Times New Roman" w:hAnsi="Times New Roman" w:cs="Times New Roman"/>
                <w:sz w:val="21"/>
                <w:szCs w:val="21"/>
                <w:lang w:eastAsia="zh-CN"/>
              </w:rPr>
              <w:t>”</w:t>
            </w:r>
            <w:r>
              <w:rPr>
                <w:rFonts w:ascii="Times New Roman" w:hAnsi="Times New Roman" w:cs="Times New Roman"/>
                <w:sz w:val="21"/>
                <w:szCs w:val="21"/>
              </w:rPr>
              <w:t>全国危险废物规范化环境管理评估工作方案</w:t>
            </w:r>
            <w:r>
              <w:rPr>
                <w:rFonts w:hint="eastAsia" w:ascii="Times New Roman" w:hAnsi="Times New Roman" w:cs="Times New Roman"/>
                <w:sz w:val="21"/>
                <w:szCs w:val="21"/>
              </w:rPr>
              <w:t>》和汕尾市危险废物规范化考核评估工作确定。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固体废物环境污染刑事案件立案率★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市公安局、市生态环境局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根据新《固废法》要求确定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pacing w:val="-6"/>
                <w:sz w:val="21"/>
                <w:szCs w:val="21"/>
              </w:rPr>
              <w:t>群众获得感</w:t>
            </w:r>
          </w:p>
        </w:tc>
        <w:tc>
          <w:tcPr>
            <w:tcW w:w="535"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群众获得感</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rPr>
              <w:t>无废城市</w:t>
            </w:r>
            <w:r>
              <w:rPr>
                <w:rFonts w:ascii="Times New Roman" w:hAnsi="Times New Roman" w:cs="Times New Roman"/>
                <w:sz w:val="21"/>
                <w:szCs w:val="21"/>
              </w:rPr>
              <w:t>”</w:t>
            </w:r>
            <w:r>
              <w:rPr>
                <w:rFonts w:hint="eastAsia" w:ascii="Times New Roman" w:hAnsi="Times New Roman" w:cs="Times New Roman"/>
                <w:sz w:val="21"/>
                <w:szCs w:val="21"/>
              </w:rPr>
              <w:t>建设宣传教育培训普及率</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80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市“无废城市”建设工作领导小组各成员单位</w:t>
            </w:r>
          </w:p>
        </w:tc>
        <w:tc>
          <w:tcPr>
            <w:tcW w:w="1001" w:type="pct"/>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pacing w:val="-4"/>
                <w:sz w:val="21"/>
                <w:szCs w:val="21"/>
              </w:rPr>
              <w:t>政府、企事业单位、非政府环境组织、公众对</w:t>
            </w:r>
            <w:r>
              <w:rPr>
                <w:rFonts w:ascii="Times New Roman" w:hAnsi="Times New Roman" w:cs="Times New Roman"/>
                <w:spacing w:val="-4"/>
                <w:sz w:val="21"/>
                <w:szCs w:val="21"/>
              </w:rPr>
              <w:t>“</w:t>
            </w:r>
            <w:r>
              <w:rPr>
                <w:rFonts w:hint="eastAsia" w:ascii="Times New Roman" w:hAnsi="Times New Roman" w:cs="Times New Roman"/>
                <w:spacing w:val="-4"/>
                <w:sz w:val="21"/>
                <w:szCs w:val="21"/>
              </w:rPr>
              <w:t>无废城市</w:t>
            </w:r>
            <w:r>
              <w:rPr>
                <w:rFonts w:ascii="Times New Roman" w:hAnsi="Times New Roman" w:cs="Times New Roman"/>
                <w:spacing w:val="-4"/>
                <w:sz w:val="21"/>
                <w:szCs w:val="21"/>
              </w:rPr>
              <w:t>”</w:t>
            </w:r>
            <w:r>
              <w:rPr>
                <w:rFonts w:hint="eastAsia" w:ascii="Times New Roman" w:hAnsi="Times New Roman" w:cs="Times New Roman"/>
                <w:spacing w:val="-4"/>
                <w:sz w:val="21"/>
                <w:szCs w:val="21"/>
              </w:rPr>
              <w:t>建设的参与程度</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充分参与</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市</w:t>
            </w:r>
            <w:r>
              <w:rPr>
                <w:rFonts w:hint="eastAsia" w:ascii="Times New Roman" w:hAnsi="Times New Roman" w:cs="Times New Roman"/>
                <w:sz w:val="21"/>
                <w:szCs w:val="21"/>
              </w:rPr>
              <w:t>“</w:t>
            </w:r>
            <w:r>
              <w:rPr>
                <w:rFonts w:ascii="Times New Roman" w:hAnsi="Times New Roman" w:cs="Times New Roman"/>
                <w:sz w:val="21"/>
                <w:szCs w:val="21"/>
              </w:rPr>
              <w:t>无废城市</w:t>
            </w:r>
            <w:r>
              <w:rPr>
                <w:rFonts w:hint="eastAsia" w:ascii="Times New Roman" w:hAnsi="Times New Roman" w:cs="Times New Roman"/>
                <w:sz w:val="21"/>
                <w:szCs w:val="21"/>
              </w:rPr>
              <w:t>”</w:t>
            </w:r>
            <w:r>
              <w:rPr>
                <w:rFonts w:ascii="Times New Roman" w:hAnsi="Times New Roman" w:cs="Times New Roman"/>
                <w:sz w:val="21"/>
                <w:szCs w:val="21"/>
              </w:rPr>
              <w:t>建设工作领导小组各成员单位</w:t>
            </w:r>
          </w:p>
        </w:tc>
        <w:tc>
          <w:tcPr>
            <w:tcW w:w="1001"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360"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535"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pacing w:val="-6"/>
                <w:sz w:val="21"/>
                <w:szCs w:val="21"/>
              </w:rPr>
              <w:t>公众对</w:t>
            </w:r>
            <w:r>
              <w:rPr>
                <w:rFonts w:ascii="Times New Roman" w:hAnsi="Times New Roman" w:cs="Times New Roman"/>
                <w:spacing w:val="-6"/>
                <w:sz w:val="21"/>
                <w:szCs w:val="21"/>
              </w:rPr>
              <w:t>“</w:t>
            </w:r>
            <w:r>
              <w:rPr>
                <w:rFonts w:hint="eastAsia" w:ascii="Times New Roman" w:hAnsi="Times New Roman" w:cs="Times New Roman"/>
                <w:spacing w:val="-6"/>
                <w:sz w:val="21"/>
                <w:szCs w:val="21"/>
              </w:rPr>
              <w:t>无废城市</w:t>
            </w:r>
            <w:r>
              <w:rPr>
                <w:rFonts w:ascii="Times New Roman" w:hAnsi="Times New Roman" w:cs="Times New Roman"/>
                <w:spacing w:val="-6"/>
                <w:sz w:val="21"/>
                <w:szCs w:val="21"/>
              </w:rPr>
              <w:t>”</w:t>
            </w:r>
            <w:r>
              <w:rPr>
                <w:rFonts w:hint="eastAsia" w:ascii="Times New Roman" w:hAnsi="Times New Roman" w:cs="Times New Roman"/>
                <w:spacing w:val="-6"/>
                <w:sz w:val="21"/>
                <w:szCs w:val="21"/>
              </w:rPr>
              <w:t>建设成效的满意程度★</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80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w:t>
            </w:r>
            <w:r>
              <w:rPr>
                <w:rFonts w:ascii="Times New Roman" w:hAnsi="Times New Roman" w:cs="Times New Roman"/>
                <w:sz w:val="21"/>
                <w:szCs w:val="21"/>
              </w:rPr>
              <w:t>“</w:t>
            </w:r>
            <w:r>
              <w:rPr>
                <w:rFonts w:hint="eastAsia" w:ascii="Times New Roman" w:hAnsi="Times New Roman" w:cs="Times New Roman"/>
                <w:sz w:val="21"/>
                <w:szCs w:val="21"/>
              </w:rPr>
              <w:t>无废城市</w:t>
            </w:r>
            <w:r>
              <w:rPr>
                <w:rFonts w:ascii="Times New Roman" w:hAnsi="Times New Roman" w:cs="Times New Roman"/>
                <w:sz w:val="21"/>
                <w:szCs w:val="21"/>
              </w:rPr>
              <w:t>”</w:t>
            </w:r>
            <w:r>
              <w:rPr>
                <w:rFonts w:hint="eastAsia" w:ascii="Times New Roman" w:hAnsi="Times New Roman" w:cs="Times New Roman"/>
                <w:sz w:val="21"/>
                <w:szCs w:val="21"/>
              </w:rPr>
              <w:t>建设工作领导小组各成员单位</w:t>
            </w:r>
          </w:p>
        </w:tc>
        <w:tc>
          <w:tcPr>
            <w:tcW w:w="1001" w:type="pct"/>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895" w:type="pct"/>
            <w:gridSpan w:val="2"/>
            <w:vMerge w:val="restar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自选指标</w:t>
            </w: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6"/>
                <w:sz w:val="21"/>
                <w:szCs w:val="21"/>
              </w:rPr>
            </w:pPr>
            <w:r>
              <w:rPr>
                <w:rFonts w:hint="eastAsia" w:ascii="Times New Roman" w:hAnsi="Times New Roman" w:cs="Times New Roman"/>
                <w:spacing w:val="-6"/>
                <w:sz w:val="21"/>
                <w:szCs w:val="21"/>
              </w:rPr>
              <w:t>开展低碳示范园区数量</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个</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lang w:eastAsia="zh-CN"/>
              </w:rPr>
              <w:t>市发展改革局</w:t>
            </w:r>
            <w:r>
              <w:rPr>
                <w:rFonts w:hint="eastAsia" w:ascii="Times New Roman" w:hAnsi="Times New Roman" w:cs="Times New Roman"/>
                <w:sz w:val="21"/>
                <w:szCs w:val="21"/>
              </w:rPr>
              <w:t>、汕尾高新区管委会</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895" w:type="pct"/>
            <w:gridSpan w:val="2"/>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6"/>
                <w:sz w:val="21"/>
                <w:szCs w:val="21"/>
              </w:rPr>
            </w:pPr>
            <w:r>
              <w:rPr>
                <w:rFonts w:hint="eastAsia" w:ascii="Times New Roman" w:hAnsi="Times New Roman" w:cs="Times New Roman"/>
                <w:spacing w:val="-6"/>
                <w:sz w:val="21"/>
                <w:szCs w:val="21"/>
              </w:rPr>
              <w:t>创建美丽海湾数量</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个</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895" w:type="pct"/>
            <w:gridSpan w:val="2"/>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6"/>
                <w:sz w:val="21"/>
                <w:szCs w:val="21"/>
              </w:rPr>
            </w:pPr>
            <w:r>
              <w:rPr>
                <w:rFonts w:hint="eastAsia" w:ascii="Times New Roman" w:hAnsi="Times New Roman" w:cs="Times New Roman"/>
                <w:spacing w:val="-6"/>
                <w:sz w:val="21"/>
                <w:szCs w:val="21"/>
              </w:rPr>
              <w:t>创建国家级海洋牧场示范区数量</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个</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3</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市农业农村局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895" w:type="pct"/>
            <w:gridSpan w:val="2"/>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6"/>
                <w:sz w:val="21"/>
                <w:szCs w:val="21"/>
              </w:rPr>
            </w:pPr>
            <w:r>
              <w:rPr>
                <w:rFonts w:hint="eastAsia" w:ascii="Times New Roman" w:hAnsi="Times New Roman" w:cs="Times New Roman"/>
                <w:spacing w:val="-6"/>
                <w:sz w:val="21"/>
                <w:szCs w:val="21"/>
              </w:rPr>
              <w:t>开展医疗废物智能收集试点县数量</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个</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rPr>
              <w:t>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hint="eastAsia" w:ascii="Times New Roman" w:hAnsi="Times New Roman" w:cs="Times New Roman"/>
                <w:sz w:val="21"/>
                <w:szCs w:val="21"/>
                <w:lang w:eastAsia="zh-CN"/>
              </w:rPr>
              <w:t>市卫生健康局</w:t>
            </w:r>
            <w:r>
              <w:rPr>
                <w:rFonts w:hint="eastAsia" w:ascii="Times New Roman" w:hAnsi="Times New Roman" w:cs="Times New Roman"/>
                <w:sz w:val="21"/>
                <w:szCs w:val="21"/>
              </w:rPr>
              <w:t>、市生态环境局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协调沟通商定</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7" w:type="pct"/>
            <w:tcBorders>
              <w:tl2br w:val="nil"/>
              <w:tr2bl w:val="nil"/>
            </w:tcBorders>
            <w:noWrap w:val="0"/>
            <w:vAlign w:val="center"/>
          </w:tcPr>
          <w:p>
            <w:pPr>
              <w:pStyle w:val="7"/>
              <w:widowControl w:val="0"/>
              <w:numPr>
                <w:ilvl w:val="0"/>
                <w:numId w:val="1"/>
              </w:numPr>
              <w:tabs>
                <w:tab w:val="left" w:pos="210"/>
              </w:tabs>
              <w:adjustRightInd w:val="0"/>
              <w:snapToGrid w:val="0"/>
              <w:spacing w:before="0" w:beforeAutospacing="0" w:after="0" w:afterAutospacing="0" w:line="260" w:lineRule="exact"/>
              <w:rPr>
                <w:rFonts w:ascii="Times New Roman" w:hAnsi="Times New Roman" w:cs="Times New Roman"/>
                <w:sz w:val="21"/>
                <w:szCs w:val="21"/>
              </w:rPr>
            </w:pPr>
          </w:p>
        </w:tc>
        <w:tc>
          <w:tcPr>
            <w:tcW w:w="895" w:type="pct"/>
            <w:gridSpan w:val="2"/>
            <w:vMerge w:val="continue"/>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p>
        </w:tc>
        <w:tc>
          <w:tcPr>
            <w:tcW w:w="1114"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pacing w:val="-6"/>
                <w:sz w:val="21"/>
                <w:szCs w:val="21"/>
              </w:rPr>
            </w:pPr>
            <w:r>
              <w:rPr>
                <w:rFonts w:hint="eastAsia" w:ascii="Times New Roman" w:hAnsi="Times New Roman" w:cs="Times New Roman"/>
                <w:spacing w:val="-6"/>
                <w:sz w:val="21"/>
                <w:szCs w:val="21"/>
              </w:rPr>
              <w:t>医疗废物焚烧处置占比</w:t>
            </w:r>
          </w:p>
        </w:tc>
        <w:tc>
          <w:tcPr>
            <w:tcW w:w="405"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w:t>
            </w:r>
          </w:p>
        </w:tc>
        <w:tc>
          <w:tcPr>
            <w:tcW w:w="45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ascii="Times New Roman" w:hAnsi="Times New Roman" w:cs="Times New Roman"/>
                <w:sz w:val="21"/>
                <w:szCs w:val="21"/>
              </w:rPr>
            </w:pPr>
            <w:r>
              <w:rPr>
                <w:rFonts w:ascii="Times New Roman" w:hAnsi="Times New Roman" w:cs="Times New Roman"/>
                <w:sz w:val="21"/>
                <w:szCs w:val="21"/>
              </w:rPr>
              <w:t>100</w:t>
            </w:r>
          </w:p>
        </w:tc>
        <w:tc>
          <w:tcPr>
            <w:tcW w:w="506" w:type="pct"/>
            <w:tcBorders>
              <w:tl2br w:val="nil"/>
              <w:tr2bl w:val="nil"/>
            </w:tcBorders>
            <w:noWrap w:val="0"/>
            <w:vAlign w:val="center"/>
          </w:tcPr>
          <w:p>
            <w:pPr>
              <w:pStyle w:val="7"/>
              <w:widowControl w:val="0"/>
              <w:adjustRightInd w:val="0"/>
              <w:snapToGrid w:val="0"/>
              <w:spacing w:before="0" w:beforeAutospacing="0" w:after="0" w:afterAutospacing="0" w:line="300" w:lineRule="exact"/>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市生态环境局、</w:t>
            </w:r>
            <w:r>
              <w:rPr>
                <w:rFonts w:hint="eastAsia" w:ascii="Times New Roman" w:hAnsi="Times New Roman" w:cs="Times New Roman"/>
                <w:sz w:val="21"/>
                <w:szCs w:val="21"/>
                <w:lang w:eastAsia="zh-CN"/>
              </w:rPr>
              <w:t>市卫生健康局</w:t>
            </w:r>
          </w:p>
        </w:tc>
        <w:tc>
          <w:tcPr>
            <w:tcW w:w="1001" w:type="pct"/>
            <w:tcBorders>
              <w:tl2br w:val="nil"/>
              <w:tr2bl w:val="nil"/>
            </w:tcBorders>
            <w:noWrap w:val="0"/>
            <w:vAlign w:val="center"/>
          </w:tcPr>
          <w:p>
            <w:pPr>
              <w:pStyle w:val="7"/>
              <w:widowControl w:val="0"/>
              <w:adjustRightInd w:val="0"/>
              <w:snapToGrid w:val="0"/>
              <w:spacing w:before="0" w:beforeAutospacing="0" w:after="0" w:afterAutospacing="0" w:line="300" w:lineRule="exact"/>
              <w:jc w:val="both"/>
              <w:rPr>
                <w:rFonts w:hint="eastAsia" w:ascii="Times New Roman" w:hAnsi="Times New Roman" w:eastAsia="宋体" w:cs="Times New Roman"/>
                <w:sz w:val="21"/>
                <w:szCs w:val="21"/>
                <w:lang w:eastAsia="zh-CN"/>
              </w:rPr>
            </w:pPr>
            <w:r>
              <w:rPr>
                <w:sz w:val="21"/>
                <w:szCs w:val="21"/>
              </w:rPr>
              <w:t>维持现状不下降</w:t>
            </w:r>
            <w:r>
              <w:rPr>
                <w:rFonts w:hint="eastAsia"/>
                <w:sz w:val="21"/>
                <w:szCs w:val="21"/>
                <w:lang w:eastAsia="zh-CN"/>
              </w:rPr>
              <w:t>。</w:t>
            </w:r>
          </w:p>
        </w:tc>
      </w:tr>
    </w:tbl>
    <w:p>
      <w:pPr>
        <w:rPr>
          <w:rFonts w:ascii="Times New Roman" w:hAnsi="Times New Roman" w:eastAsia="仿宋_GB2312" w:cs="Times New Roman"/>
          <w:sz w:val="32"/>
          <w:szCs w:val="32"/>
        </w:rPr>
        <w:sectPr>
          <w:pgSz w:w="16838" w:h="11906" w:orient="landscape"/>
          <w:pgMar w:top="1800" w:right="1440" w:bottom="1800" w:left="1440" w:header="851" w:footer="992" w:gutter="0"/>
          <w:pgNumType w:fmt="numberInDash"/>
          <w:cols w:space="720" w:num="1"/>
          <w:docGrid w:type="lines" w:linePitch="312" w:charSpace="0"/>
        </w:sectPr>
      </w:pPr>
    </w:p>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CEABF"/>
    <w:multiLevelType w:val="singleLevel"/>
    <w:tmpl w:val="607CEABF"/>
    <w:lvl w:ilvl="0" w:tentative="0">
      <w:start w:val="1"/>
      <w:numFmt w:val="decimal"/>
      <w:lvlText w:val="%1"/>
      <w:lvlJc w:val="left"/>
      <w:pPr>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a11a0ad9-7fd3-41c2-be5b-4a5463d1a951"/>
  </w:docVars>
  <w:rsids>
    <w:rsidRoot w:val="1D4157B7"/>
    <w:rsid w:val="1D41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uiPriority w:val="0"/>
    <w:pPr>
      <w:ind w:left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customStyle="1" w:styleId="6">
    <w:name w:val="一级标题1"/>
    <w:basedOn w:val="1"/>
    <w:qFormat/>
    <w:uiPriority w:val="0"/>
    <w:pPr>
      <w:keepNext/>
      <w:keepLines/>
      <w:spacing w:before="312" w:beforeLines="100" w:after="312" w:afterLines="100" w:line="480" w:lineRule="auto"/>
      <w:outlineLvl w:val="0"/>
    </w:pPr>
    <w:rPr>
      <w:rFonts w:ascii="Times New Roman" w:hAnsi="Times New Roman" w:eastAsia="方正小标宋_GBK" w:cs="Times New Roman"/>
      <w:bCs/>
      <w:kern w:val="44"/>
      <w:sz w:val="40"/>
      <w:szCs w:val="40"/>
    </w:rPr>
  </w:style>
  <w:style w:type="paragraph" w:customStyle="1" w:styleId="7">
    <w:name w:val="图"/>
    <w:basedOn w:val="1"/>
    <w:qFormat/>
    <w:uiPriority w:val="0"/>
    <w:pPr>
      <w:widowControl/>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2024-07-18T08:20:00Z</dcterms:created>
  <dc:creator>徐建冬</dc:creator>
  <cp:lastModifiedBy>徐建冬</cp:lastModifiedBy>
  <dcterms:modified xsi:type="dcterms:W3CDTF">2024-07-18T08:20:36Z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042E240C85824F029E16DE761D424CB5_11</vt:lpwstr>
  </property>
</Properties>
</file>