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汕尾市调整住院报销标准对照表</w:t>
      </w:r>
    </w:p>
    <w:bookmarkEnd w:id="0"/>
    <w:tbl>
      <w:tblPr>
        <w:tblStyle w:val="3"/>
        <w:tblpPr w:leftFromText="180" w:rightFromText="180" w:vertAnchor="text" w:horzAnchor="page" w:tblpX="1956" w:tblpY="283"/>
        <w:tblOverlap w:val="never"/>
        <w:tblW w:w="8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10"/>
        <w:gridCol w:w="1770"/>
        <w:gridCol w:w="1485"/>
        <w:gridCol w:w="14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eastAsia="zh-CN"/>
              </w:rPr>
              <w:t>调整前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医院等级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乡镇卫生院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一级医院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二级医院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起付线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600元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职工医保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95%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85%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居民医保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85%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eastAsia="zh-CN"/>
              </w:rPr>
              <w:t>调整后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医院等级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一级医院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以下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二级医院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起付线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500元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职工医保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95%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居民医保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00" w:leftChars="0" w:hanging="900" w:hangingChars="300"/>
        <w:textAlignment w:val="auto"/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备注：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按我市转诊规定转到异地联网结算医疗机构住院治疗的，城镇职工医保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住院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报销比例为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0%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城乡居民医保为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70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%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未按我市转诊规定自行到市外医疗机构（包括异地联网结算医疗机构）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、以及市内非定点医疗机构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住院治疗的，城镇职工医保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住院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报销比例为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60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%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城乡居民医保为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50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%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异地安置退休人员、异地长期居住人员、常驻异地工作人员按规定备案的，按市辖区内同级定点医疗机构住院报销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  <w:lang w:eastAsia="zh-CN"/>
        </w:rPr>
        <w:t>标准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t>执行。</w:t>
      </w:r>
      <w:r>
        <w:rPr>
          <w:rFonts w:hint="eastAsia" w:ascii="楷体_GB2312" w:hAnsi="楷体_GB2312" w:eastAsia="楷体_GB2312" w:cs="楷体_GB2312"/>
          <w:color w:val="000000"/>
          <w:sz w:val="30"/>
          <w:szCs w:val="30"/>
          <w:shd w:val="clear" w:color="auto" w:fill="FFFFFF"/>
        </w:rPr>
        <w:br w:type="textWrapping"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37116"/>
    <w:rsid w:val="1653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2020-08-18T08:26:00Z</dcterms:created>
  <dc:creator>U铭</dc:creator>
  <cp:lastModifiedBy>U铭</cp:lastModifiedBy>
  <dcterms:modified xsi:type="dcterms:W3CDTF">2020-08-18T08:26:29Z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