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汕尾市城市老旧小区、城中村改造三年</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行动方案（2020-2022年）（代拟稿）</w:t>
      </w:r>
    </w:p>
    <w:p>
      <w:pPr>
        <w:pStyle w:val="7"/>
        <w:rPr>
          <w:rFonts w:ascii="方正小标宋简体" w:hAnsi="方正小标宋简体" w:eastAsia="方正小标宋简体" w:cs="方正小标宋简体"/>
          <w:sz w:val="44"/>
          <w:szCs w:val="44"/>
        </w:rPr>
      </w:pPr>
    </w:p>
    <w:p>
      <w:pPr>
        <w:pStyle w:val="8"/>
        <w:spacing w:before="0"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为深入贯彻市委、市政府有关工作部署，加快城市有机更新，深入推进汕尾市城市老旧小区和城中村改造，优化城市环境、完善城市功能、提升</w:t>
      </w:r>
      <w:bookmarkStart w:id="0" w:name="_GoBack"/>
      <w:bookmarkEnd w:id="0"/>
      <w:r>
        <w:rPr>
          <w:rFonts w:hint="eastAsia" w:ascii="仿宋_GB2312" w:hAnsi="仿宋_GB2312" w:eastAsia="仿宋_GB2312" w:cs="仿宋_GB2312"/>
          <w:sz w:val="32"/>
          <w:szCs w:val="32"/>
        </w:rPr>
        <w:t>城市品质、改善居住环境，促进城市的可持续发展，根据《汕尾市人民政府关于推进城市有机更新工作的实施意见》，特制定本行动方案。</w:t>
      </w:r>
    </w:p>
    <w:p>
      <w:pPr>
        <w:pStyle w:val="9"/>
        <w:shd w:val="clear" w:color="auto" w:fill="auto"/>
        <w:spacing w:before="0" w:after="0"/>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pStyle w:val="13"/>
        <w:widowControl/>
        <w:spacing w:beforeAutospacing="0" w:afterAutospacing="0"/>
        <w:ind w:firstLine="640" w:firstLineChars="200"/>
        <w:rPr>
          <w:rFonts w:ascii="仿宋_GB2312" w:hAnsi="仿宋_GB2312" w:eastAsia="仿宋_GB2312" w:cs="仿宋_GB2312"/>
          <w:sz w:val="32"/>
          <w:szCs w:val="32"/>
          <w:shd w:val="clear" w:color="auto" w:fill="FFFFFF"/>
        </w:rPr>
      </w:pPr>
      <w:r>
        <w:rPr>
          <w:rStyle w:val="15"/>
          <w:rFonts w:hint="eastAsia" w:ascii="仿宋_GB2312" w:hAnsi="仿宋_GB2312" w:eastAsia="仿宋_GB2312" w:cs="仿宋_GB2312"/>
          <w:b w:val="0"/>
          <w:bCs/>
          <w:sz w:val="32"/>
          <w:szCs w:val="32"/>
          <w:shd w:val="clear" w:color="auto" w:fill="FFFFFF"/>
        </w:rPr>
        <w:t>以习近平新时代中国特色社会主义思想为指导，全面贯彻党的十九大和十九届二中、三中、四中全会精神，深入贯彻习近平总书记对广东重要讲话和重要指示批示精神，</w:t>
      </w:r>
      <w:r>
        <w:rPr>
          <w:rFonts w:hint="eastAsia" w:ascii="仿宋_GB2312" w:hAnsi="仿宋_GB2312" w:eastAsia="仿宋_GB2312" w:cs="仿宋_GB2312"/>
          <w:bCs/>
          <w:sz w:val="32"/>
          <w:szCs w:val="32"/>
          <w:shd w:val="clear" w:color="auto" w:fill="FFFFFF"/>
        </w:rPr>
        <w:t>践行以人民为中心的发展理念，以提升居民生活品质为出发点和落脚点，把老旧小区改造和城中村改造作为城市有机更新的重要组成部分，结合未来社区建设和基层社会治理，积极推动老旧小区、城中村功能完善、空间挖潜和服务提升，稳妥有序、分批分类、因地制宜地推进城市有机更新工作，努力</w:t>
      </w:r>
      <w:r>
        <w:rPr>
          <w:rFonts w:hint="eastAsia" w:ascii="仿宋_GB2312" w:hAnsi="仿宋_GB2312" w:eastAsia="仿宋_GB2312" w:cs="仿宋_GB2312"/>
          <w:sz w:val="32"/>
          <w:szCs w:val="32"/>
          <w:shd w:val="clear" w:color="auto" w:fill="FFFFFF"/>
        </w:rPr>
        <w:t>把汕尾建设成为沿海经济带的靓丽明珠。</w:t>
      </w:r>
    </w:p>
    <w:p>
      <w:pPr>
        <w:pStyle w:val="13"/>
        <w:widowControl/>
        <w:spacing w:beforeAutospacing="0" w:afterAutospacing="0"/>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二、基本原则</w:t>
      </w:r>
    </w:p>
    <w:p>
      <w:pPr>
        <w:pStyle w:val="13"/>
        <w:widowControl/>
        <w:spacing w:beforeAutospacing="0" w:afterAutospacing="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坚持城乡统筹，科学规划；因地制宜，分类指导；依法改造，有序推进。要充分考虑原居（村）民生计和发展需要。根据原居（村）民的经济承受能力和意愿，分别采取环境整治、局部改造、整体拆建等不同模式和措施，避免不切实际的大拆大建。</w:t>
      </w:r>
    </w:p>
    <w:p>
      <w:pPr>
        <w:pStyle w:val="13"/>
        <w:widowControl/>
        <w:spacing w:beforeAutospacing="0" w:afterAutospacing="0"/>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三、工作目标</w:t>
      </w:r>
    </w:p>
    <w:p>
      <w:pPr>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到2022年，力争用三年时间，基本完成全市2000年以前建成的城市老旧小区改造工作。重点推进市城区城市有机更新，完成市城区91个老旧小区和9个城中村改造工作，其中2020年改造老旧小区8个，改造城中村2个；2021年改造老旧小区46个，改造城中村4个；2022年改造老旧小区37个，改造城中村3个。其他县（市、区）要全面启动城市老旧小区和城中村改造工作，确保2022年底前完成城市更新工作。实现有完善的基础设施、有整洁的居住环境、有配套的社区服务、有长效的管理机制、有特色的小区文化、有和谐的邻里关系的“六有”目标，居民的获得感、幸福感、安全感明显增强。</w:t>
      </w:r>
    </w:p>
    <w:p>
      <w:pPr>
        <w:pStyle w:val="7"/>
        <w:spacing w:line="240" w:lineRule="auto"/>
        <w:ind w:firstLine="320" w:firstLineChars="1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四、主要内容</w:t>
      </w:r>
    </w:p>
    <w:p>
      <w:pPr>
        <w:pStyle w:val="8"/>
        <w:spacing w:before="0" w:after="0"/>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（一）改造范围</w:t>
      </w:r>
    </w:p>
    <w:p>
      <w:pPr>
        <w:pStyle w:val="9"/>
        <w:shd w:val="clear" w:color="auto" w:fill="auto"/>
        <w:spacing w:before="0" w:after="0"/>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shd w:val="clear" w:color="auto" w:fill="FFFFFF"/>
        </w:rPr>
        <w:t>1.老旧小区：</w:t>
      </w:r>
      <w:r>
        <w:rPr>
          <w:rFonts w:hint="eastAsia" w:ascii="仿宋_GB2312" w:hAnsi="仿宋_GB2312" w:eastAsia="仿宋_GB2312" w:cs="仿宋_GB2312"/>
          <w:sz w:val="32"/>
          <w:szCs w:val="32"/>
        </w:rPr>
        <w:t>城市、县城（城关镇）建成于2000年以前，环境条件较差、设施设备落后、安全隐患突出、管理服务机制不健全，影响居民基本生活，居民改造意愿迫切的城市住宅小区。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城中村：位于城市规划区内、已被城市建设用地包围，即在城市建成区内或紧邻城市建成区，但在土地权属、户籍等管理体制上仍然保留着农村模式的区域，或存在人居环境、公共安全等较多隐患的成片旧（危）住宅区。</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（二）改造内容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老旧小区：小区内道路、供排水、供电、供气、绿化、照明、围墙等基础设施的更新改造、小区内配套养老抚幼、无障碍设施、便民市场等服务设施的建设、改造；小区内房屋公共区域修缮、建筑节能改造、有条件的居住建筑加装电梯等；与小区直接相关的城市、县城（城关镇）道路和公共交通、通信、供电、供排水、供气、停车库（场）、污水与垃圾处理等基础设施的改造提升。</w:t>
      </w:r>
    </w:p>
    <w:p>
      <w:pPr>
        <w:pStyle w:val="7"/>
        <w:spacing w:line="240" w:lineRule="auto"/>
        <w:ind w:left="0" w:leftChars="0" w:firstLine="640" w:firstLineChars="200"/>
      </w:pPr>
      <w:r>
        <w:rPr>
          <w:rFonts w:hint="eastAsia" w:ascii="仿宋_GB2312" w:hAnsi="仿宋_GB2312" w:eastAsia="仿宋_GB2312" w:cs="仿宋_GB2312"/>
          <w:sz w:val="32"/>
          <w:szCs w:val="32"/>
        </w:rPr>
        <w:t>2.城中村：结合城中村建筑年代、文化历史、产业经济等因素，区分不同类别，综合采取修缮排危、功能置换、环境整治、产业升级等改造策略，完善城中村所在地区的道路交通、给水、排水、电力、通讯、燃气、垃圾收集等基础设施系统；增加城中村地区的社区服务设施，满足本地人口和外来人口的服务需求；针对实际建设自然灾害防治设施，完善消防设施，全面消除公共安全隐患，保障城中村居民的基本安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（三）改造方式</w:t>
      </w:r>
    </w:p>
    <w:p>
      <w:pPr>
        <w:pStyle w:val="7"/>
        <w:spacing w:line="240" w:lineRule="auto"/>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运用“微改造”“拆除重建”等方式分类推进老旧小区和城中村改造工作。“微改造”是指在维持现状建设格局基本不变的前提下，通过沿街立面改善、建筑物局部拆建、建筑物功能置换与活化利用、公共服务设施及基础设施配套完善等方式实施的改造方式。“拆除重建”是指对改造地块范围内原有建筑物进行全面拆除并重新规划建设的改造方式。</w:t>
      </w:r>
    </w:p>
    <w:p>
      <w:pPr>
        <w:pStyle w:val="7"/>
        <w:spacing w:line="240" w:lineRule="auto"/>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1.老旧小区：对建成于2000年以前的、公共设施落后，影响居民基本生活、居民改造意愿强烈的住宅小区（含独栋住宅楼）通过“微改造”方式实施环境提升、局部改造。</w:t>
      </w:r>
    </w:p>
    <w:p>
      <w:pPr>
        <w:pStyle w:val="7"/>
        <w:spacing w:line="240" w:lineRule="auto"/>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城中村：对城市基础设施、公共服务设施亟需完善，环境恶劣或存在重大安全隐患、现有土地用途、建筑物使用功能或资源利用明显不符合社会经济发展要求，影响城市规划实施的，且改造意向强烈、改造主体明确的城中村，可结合“三旧”改造等政策通过“拆除重建”方式实施改造。</w:t>
      </w:r>
    </w:p>
    <w:p>
      <w:pPr>
        <w:pStyle w:val="8"/>
        <w:spacing w:before="0" w:after="0"/>
        <w:ind w:firstLine="640" w:firstLineChars="200"/>
        <w:rPr>
          <w:rFonts w:ascii="黑体" w:hAnsi="黑体" w:eastAsia="黑体" w:cs="黑体"/>
          <w:sz w:val="32"/>
          <w:szCs w:val="32"/>
        </w:rPr>
      </w:pPr>
      <w:r>
        <w:rPr>
          <w:rFonts w:hint="eastAsia" w:ascii="黑体" w:hAnsi="黑体" w:eastAsia="黑体" w:cs="黑体"/>
          <w:sz w:val="32"/>
          <w:szCs w:val="32"/>
        </w:rPr>
        <w:t>五、实施步骤</w:t>
      </w:r>
    </w:p>
    <w:p>
      <w:pPr>
        <w:pStyle w:val="9"/>
        <w:shd w:val="clear" w:color="auto" w:fill="auto"/>
        <w:spacing w:before="0" w:after="0"/>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（一）制定工作方案（2020年7月底前）。</w:t>
      </w:r>
      <w:r>
        <w:rPr>
          <w:rFonts w:hint="eastAsia" w:ascii="仿宋_GB2312" w:hAnsi="仿宋_GB2312" w:eastAsia="仿宋_GB2312" w:cs="仿宋_GB2312"/>
          <w:sz w:val="32"/>
          <w:szCs w:val="32"/>
        </w:rPr>
        <w:t>各县（市、区）开展建成区老旧小区和城中村基本情况全面调查，结合当地实际，制定推进城市更新工作方案，明确改造项目的实施主体、工作流程和管理机制。</w:t>
      </w:r>
    </w:p>
    <w:p>
      <w:pPr>
        <w:pStyle w:val="9"/>
        <w:shd w:val="clear" w:color="auto" w:fill="auto"/>
        <w:spacing w:before="0" w:after="0"/>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（二）编制改造计划（2020年8月15日前）。</w:t>
      </w:r>
      <w:r>
        <w:rPr>
          <w:rFonts w:hint="eastAsia" w:ascii="仿宋_GB2312" w:hAnsi="仿宋_GB2312" w:eastAsia="仿宋_GB2312" w:cs="仿宋_GB2312"/>
          <w:sz w:val="32"/>
          <w:szCs w:val="32"/>
        </w:rPr>
        <w:t>坚持以人为本，顺应群众期盼，按照实施一批、谋划一批、储备一批的原则，编制本地区三年（2020-2022年）行动方案及年度计划，谋划推进老旧小区和城中村改造工作，确保每年按计划启动和完成老旧小区、城中村改造项目。</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（三）实施项目改造（2020年12月底前）。</w:t>
      </w:r>
      <w:r>
        <w:rPr>
          <w:rFonts w:hint="eastAsia" w:ascii="仿宋_GB2312" w:hAnsi="仿宋_GB2312" w:eastAsia="仿宋_GB2312" w:cs="仿宋_GB2312"/>
          <w:sz w:val="32"/>
          <w:szCs w:val="32"/>
        </w:rPr>
        <w:t>各县（市、区）根据当地实际，选取规模适中、基础条件较好的老旧小区和城中村作为2020年示范改造项目，实施改造建设。原则上，纳入年度改造计划的老旧小区项目需在当年完成改造任务，城中村改造项目需于2020年完成前期工作。</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（四）持续推进城市更新工作（2020-2022年12月底）。</w:t>
      </w:r>
      <w:r>
        <w:rPr>
          <w:rFonts w:hint="eastAsia" w:ascii="仿宋_GB2312" w:hAnsi="仿宋_GB2312" w:eastAsia="仿宋_GB2312" w:cs="仿宋_GB2312"/>
          <w:sz w:val="32"/>
          <w:szCs w:val="32"/>
        </w:rPr>
        <w:t>完成2020-2022年城市更新改造计划确定的改造项目，切实改善老旧小区居民和城中村村民的居住环境和生活品质，打造功能完善、环境整洁、管理有序的居住环境，不断增强人民群众的幸福感、获得感、安全感。</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六、工作要求</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为稳妥有序的推进城市有机更新工作，加强组织领导，成立以市政府分管领导为组长的市城区推进城市有机更新工作专班，专班成员为市城区政府和市级各有关部门主要领导，领导小组下设办公室，办公室设在市城区政府，负责日常工作联系和协调，各成员单位要根据职责分工，认真做好各项工作的落实，确保工作有力有序有效推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完善资金保障。建立健全老旧小区、城中村改造资金多元筹措机制。老旧小区改造方面，坚持“谁受益、谁出资”原则，通过居民合理出资、政府给予财政资金补贴、管线单位和原产权单位积极支持、社会力量以市场化方式参与、金融机构以可持续方式支持等方式，多渠道筹措城市老旧小区改造资金。居民出资部分可通过直接出资、使用（补交）住宅专项维修资金、小区公共收益等方式落实。城中村改造方面，有关资金可按照《汕尾市“三旧”改造实施办法》《汕尾市旧村庄改造实施办法》及其他配套政策进行筹集。</w:t>
      </w:r>
    </w:p>
    <w:p>
      <w:pPr>
        <w:pStyle w:val="8"/>
        <w:adjustRightInd w:val="0"/>
        <w:snapToGrid w:val="0"/>
        <w:spacing w:before="0" w:after="0" w:line="360" w:lineRule="auto"/>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（三）强化项目管理。</w:t>
      </w:r>
      <w:r>
        <w:rPr>
          <w:rFonts w:hint="eastAsia" w:ascii="仿宋_GB2312" w:hAnsi="仿宋_GB2312" w:eastAsia="仿宋_GB2312" w:cs="仿宋_GB2312"/>
          <w:sz w:val="32"/>
          <w:szCs w:val="32"/>
        </w:rPr>
        <w:t>坚持项目带动，按照先设计、编清单、做预算、分责任、抓实施的原则，扎实推进老旧小区和城中村改造提升工作，各县(市、区)人民政府要将行动方案中的工作任务全部转化为具体实施项目，建立项目台账。实施项目管理制度，各县(市、区)人民政府要明确项目管理责任人，每月按时上报项目进展，即时报送重大建设信息。</w:t>
      </w:r>
    </w:p>
    <w:p>
      <w:pPr>
        <w:pStyle w:val="8"/>
        <w:adjustRightInd w:val="0"/>
        <w:snapToGrid w:val="0"/>
        <w:spacing w:before="0" w:after="0" w:line="360" w:lineRule="auto"/>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（三）完善制度建设。</w:t>
      </w:r>
      <w:r>
        <w:rPr>
          <w:rFonts w:hint="eastAsia" w:ascii="仿宋_GB2312" w:hAnsi="仿宋_GB2312" w:eastAsia="仿宋_GB2312" w:cs="仿宋_GB2312"/>
          <w:sz w:val="32"/>
          <w:szCs w:val="32"/>
        </w:rPr>
        <w:t>坚持边探索、边实践、边完善的原则，出台城市有机更新配套相关政策文件，建立改造资金多元筹集机制，健全群众共建共享机制，优化项目行政审批手续，完善项目协议监管机制。</w:t>
      </w:r>
    </w:p>
    <w:p>
      <w:pPr>
        <w:pStyle w:val="9"/>
        <w:shd w:val="clear" w:color="auto" w:fill="auto"/>
        <w:adjustRightInd w:val="0"/>
        <w:snapToGrid w:val="0"/>
        <w:spacing w:before="0" w:after="0" w:line="360" w:lineRule="auto"/>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（四）强化舆论引导。</w:t>
      </w:r>
      <w:r>
        <w:rPr>
          <w:rFonts w:hint="eastAsia" w:ascii="仿宋_GB2312" w:hAnsi="仿宋_GB2312" w:eastAsia="仿宋_GB2312" w:cs="仿宋_GB2312"/>
          <w:sz w:val="32"/>
          <w:szCs w:val="32"/>
        </w:rPr>
        <w:t>多渠道多方式宣传城镇老旧小区和城中村改造政策，激发群众改造愿望，问需于民、问计于民，树立群众“主人翁”意识，共同推进老旧小区和城中村改造工作。</w:t>
      </w:r>
    </w:p>
    <w:p>
      <w:pPr>
        <w:pStyle w:val="13"/>
        <w:widowControl/>
        <w:spacing w:beforeAutospacing="0" w:afterAutospacing="0"/>
        <w:ind w:firstLine="640" w:firstLineChars="200"/>
        <w:rPr>
          <w:rFonts w:ascii="仿宋_GB2312" w:hAnsi="仿宋_GB2312" w:eastAsia="仿宋_GB2312" w:cs="仿宋_GB2312"/>
          <w:sz w:val="32"/>
          <w:szCs w:val="32"/>
          <w:shd w:val="clear" w:color="auto" w:fill="FFFFFF"/>
        </w:rPr>
      </w:pPr>
    </w:p>
    <w:p>
      <w:pPr>
        <w:pStyle w:val="13"/>
        <w:widowControl/>
        <w:spacing w:beforeAutospacing="0" w:afterAutospacing="0"/>
        <w:ind w:firstLine="640" w:firstLineChars="200"/>
        <w:rPr>
          <w:rFonts w:ascii="仿宋_GB2312" w:hAnsi="仿宋_GB2312" w:eastAsia="仿宋_GB2312" w:cs="仿宋_GB2312"/>
          <w:sz w:val="32"/>
          <w:szCs w:val="32"/>
          <w:shd w:val="clear" w:color="auto" w:fill="FFFFFF"/>
        </w:rPr>
      </w:pPr>
    </w:p>
    <w:p>
      <w:pPr>
        <w:pStyle w:val="13"/>
        <w:widowControl/>
        <w:spacing w:beforeAutospacing="0" w:afterAutospacing="0"/>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附件：1.汕尾市城区2020-2022年老旧小区改造计划</w:t>
      </w:r>
    </w:p>
    <w:p>
      <w:pPr>
        <w:jc w:val="center"/>
        <w:rPr>
          <w:rFonts w:ascii="仿宋_GB2312" w:hAnsi="仿宋_GB2312" w:eastAsia="仿宋_GB2312" w:cs="仿宋_GB2312"/>
          <w:spacing w:val="23"/>
          <w:sz w:val="32"/>
          <w:szCs w:val="32"/>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 xml:space="preserve"> 2.</w:t>
      </w:r>
      <w:r>
        <w:rPr>
          <w:rFonts w:hint="eastAsia" w:ascii="仿宋_GB2312" w:hAnsi="仿宋_GB2312" w:eastAsia="仿宋_GB2312" w:cs="仿宋_GB2312"/>
          <w:sz w:val="32"/>
          <w:szCs w:val="32"/>
        </w:rPr>
        <w:t>汕尾市城区2020-2022年城中村改造计划</w:t>
      </w:r>
    </w:p>
    <w:p>
      <w:pPr>
        <w:pStyle w:val="13"/>
        <w:widowControl/>
        <w:spacing w:beforeAutospacing="0" w:afterAutospacing="0"/>
        <w:ind w:firstLine="640" w:firstLineChars="200"/>
        <w:rPr>
          <w:rFonts w:ascii="仿宋_GB2312" w:hAnsi="仿宋_GB2312" w:eastAsia="仿宋_GB2312" w:cs="仿宋_GB2312"/>
          <w:sz w:val="32"/>
          <w:szCs w:val="32"/>
          <w:shd w:val="clear" w:color="auto" w:fill="FFFFFF"/>
        </w:rPr>
      </w:pPr>
    </w:p>
    <w:p>
      <w:pPr>
        <w:pStyle w:val="13"/>
        <w:widowControl/>
        <w:spacing w:beforeAutospacing="0" w:afterAutospacing="0"/>
        <w:ind w:firstLine="692" w:firstLineChars="200"/>
        <w:rPr>
          <w:rFonts w:cs="方正小标宋简体" w:asciiTheme="minorEastAsia" w:hAnsiTheme="minorEastAsia"/>
          <w:spacing w:val="23"/>
          <w:sz w:val="30"/>
          <w:szCs w:val="30"/>
        </w:rPr>
      </w:pPr>
    </w:p>
    <w:p>
      <w:pPr>
        <w:pStyle w:val="13"/>
        <w:widowControl/>
        <w:spacing w:beforeAutospacing="0" w:afterAutospacing="0"/>
        <w:ind w:firstLine="692" w:firstLineChars="200"/>
        <w:rPr>
          <w:rFonts w:cs="方正小标宋简体" w:asciiTheme="minorEastAsia" w:hAnsiTheme="minorEastAsia"/>
          <w:spacing w:val="23"/>
          <w:sz w:val="30"/>
          <w:szCs w:val="30"/>
        </w:rPr>
      </w:pPr>
    </w:p>
    <w:p>
      <w:pPr>
        <w:pStyle w:val="13"/>
        <w:widowControl/>
        <w:spacing w:beforeAutospacing="0" w:afterAutospacing="0"/>
        <w:ind w:firstLine="692" w:firstLineChars="200"/>
        <w:rPr>
          <w:rFonts w:hint="eastAsia" w:cs="方正小标宋简体" w:asciiTheme="minorEastAsia" w:hAnsiTheme="minorEastAsia"/>
          <w:spacing w:val="23"/>
          <w:sz w:val="30"/>
          <w:szCs w:val="30"/>
        </w:rPr>
      </w:pPr>
    </w:p>
    <w:p>
      <w:pPr>
        <w:pStyle w:val="13"/>
        <w:widowControl/>
        <w:spacing w:beforeAutospacing="0" w:afterAutospacing="0"/>
        <w:ind w:firstLine="692" w:firstLineChars="200"/>
        <w:rPr>
          <w:rFonts w:hint="eastAsia" w:cs="方正小标宋简体" w:asciiTheme="minorEastAsia" w:hAnsiTheme="minorEastAsia"/>
          <w:spacing w:val="23"/>
          <w:sz w:val="30"/>
          <w:szCs w:val="30"/>
        </w:rPr>
      </w:pPr>
    </w:p>
    <w:p>
      <w:pPr>
        <w:pStyle w:val="13"/>
        <w:widowControl/>
        <w:spacing w:beforeAutospacing="0" w:afterAutospacing="0"/>
        <w:ind w:firstLine="692" w:firstLineChars="200"/>
        <w:rPr>
          <w:rFonts w:cs="方正小标宋简体" w:asciiTheme="minorEastAsia" w:hAnsiTheme="minorEastAsia"/>
          <w:spacing w:val="23"/>
          <w:sz w:val="30"/>
          <w:szCs w:val="30"/>
        </w:rPr>
      </w:pPr>
    </w:p>
    <w:p>
      <w:pPr>
        <w:pStyle w:val="13"/>
        <w:widowControl/>
        <w:spacing w:beforeAutospacing="0" w:afterAutospacing="0"/>
        <w:ind w:firstLine="692" w:firstLineChars="200"/>
        <w:rPr>
          <w:rFonts w:cs="方正小标宋简体" w:asciiTheme="minorEastAsia" w:hAnsiTheme="minorEastAsia"/>
          <w:spacing w:val="23"/>
          <w:sz w:val="30"/>
          <w:szCs w:val="30"/>
        </w:rPr>
      </w:pPr>
    </w:p>
    <w:p>
      <w:pPr>
        <w:pStyle w:val="13"/>
        <w:widowControl/>
        <w:spacing w:beforeAutospacing="0" w:afterAutospacing="0"/>
        <w:ind w:firstLine="692" w:firstLineChars="200"/>
        <w:rPr>
          <w:rFonts w:cs="方正小标宋简体" w:asciiTheme="minorEastAsia" w:hAnsiTheme="minorEastAsia"/>
          <w:spacing w:val="23"/>
          <w:sz w:val="30"/>
          <w:szCs w:val="30"/>
        </w:rPr>
      </w:pPr>
    </w:p>
    <w:p>
      <w:pPr>
        <w:pStyle w:val="13"/>
        <w:widowControl/>
        <w:spacing w:beforeAutospacing="0" w:afterAutospacing="0"/>
        <w:rPr>
          <w:rFonts w:hint="eastAsia" w:ascii="黑体" w:hAnsi="黑体" w:eastAsia="黑体" w:cs="黑体"/>
          <w:spacing w:val="23"/>
          <w:sz w:val="32"/>
          <w:szCs w:val="32"/>
        </w:rPr>
      </w:pPr>
    </w:p>
    <w:p>
      <w:pPr>
        <w:pStyle w:val="13"/>
        <w:widowControl/>
        <w:spacing w:beforeAutospacing="0" w:afterAutospacing="0"/>
        <w:rPr>
          <w:rFonts w:ascii="黑体" w:hAnsi="黑体" w:eastAsia="黑体" w:cs="黑体"/>
          <w:sz w:val="32"/>
          <w:szCs w:val="32"/>
          <w:shd w:val="clear" w:color="auto" w:fill="FFFFFF"/>
        </w:rPr>
      </w:pPr>
      <w:r>
        <w:rPr>
          <w:rFonts w:hint="eastAsia" w:ascii="黑体" w:hAnsi="黑体" w:eastAsia="黑体" w:cs="黑体"/>
          <w:spacing w:val="23"/>
          <w:sz w:val="32"/>
          <w:szCs w:val="32"/>
        </w:rPr>
        <w:t>附件1</w:t>
      </w:r>
    </w:p>
    <w:p>
      <w:pPr>
        <w:rPr>
          <w:rFonts w:hint="eastAsia" w:ascii="方正小标宋简体" w:hAnsi="方正小标宋简体" w:eastAsia="方正小标宋简体" w:cs="方正小标宋简体"/>
          <w:bCs/>
          <w:spacing w:val="0"/>
          <w:sz w:val="44"/>
          <w:szCs w:val="44"/>
        </w:rPr>
      </w:pPr>
    </w:p>
    <w:p>
      <w:pPr>
        <w:rPr>
          <w:rFonts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汕尾市城区2020-2022年老旧小区改造计划</w:t>
      </w:r>
    </w:p>
    <w:p>
      <w:pPr>
        <w:jc w:val="right"/>
        <w:rPr>
          <w:rFonts w:ascii="仿宋" w:hAnsi="仿宋" w:eastAsia="仿宋" w:cs="方正小标宋简体"/>
          <w:spacing w:val="23"/>
          <w:sz w:val="30"/>
          <w:szCs w:val="30"/>
        </w:rPr>
      </w:pPr>
    </w:p>
    <w:p>
      <w:pPr>
        <w:adjustRightInd w:val="0"/>
        <w:snapToGrid w:val="0"/>
        <w:jc w:val="righ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单位：个、户、万平方米</w:t>
      </w:r>
    </w:p>
    <w:tbl>
      <w:tblPr>
        <w:tblStyle w:val="17"/>
        <w:tblpPr w:leftFromText="180" w:rightFromText="180" w:vertAnchor="text" w:horzAnchor="page" w:tblpXSpec="center" w:tblpY="72"/>
        <w:tblOverlap w:val="never"/>
        <w:tblW w:w="10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992"/>
        <w:gridCol w:w="992"/>
        <w:gridCol w:w="851"/>
        <w:gridCol w:w="850"/>
        <w:gridCol w:w="851"/>
        <w:gridCol w:w="850"/>
        <w:gridCol w:w="851"/>
        <w:gridCol w:w="85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94" w:type="dxa"/>
            <w:vMerge w:val="restart"/>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所属街道/镇</w:t>
            </w:r>
          </w:p>
        </w:tc>
        <w:tc>
          <w:tcPr>
            <w:tcW w:w="992" w:type="dxa"/>
            <w:vMerge w:val="restart"/>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改造项目数量</w:t>
            </w:r>
          </w:p>
        </w:tc>
        <w:tc>
          <w:tcPr>
            <w:tcW w:w="7797" w:type="dxa"/>
            <w:gridSpan w:val="9"/>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计划改造完成时间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594" w:type="dxa"/>
            <w:vMerge w:val="continue"/>
            <w:vAlign w:val="center"/>
          </w:tcPr>
          <w:p>
            <w:pPr>
              <w:adjustRightInd w:val="0"/>
              <w:snapToGrid w:val="0"/>
              <w:jc w:val="center"/>
              <w:rPr>
                <w:rFonts w:ascii="仿宋_GB2312" w:hAnsi="仿宋_GB2312" w:eastAsia="仿宋_GB2312" w:cs="仿宋_GB2312"/>
                <w:spacing w:val="-20"/>
                <w:sz w:val="28"/>
                <w:szCs w:val="28"/>
              </w:rPr>
            </w:pPr>
          </w:p>
        </w:tc>
        <w:tc>
          <w:tcPr>
            <w:tcW w:w="992" w:type="dxa"/>
            <w:vMerge w:val="continue"/>
            <w:vAlign w:val="center"/>
          </w:tcPr>
          <w:p>
            <w:pPr>
              <w:adjustRightInd w:val="0"/>
              <w:snapToGrid w:val="0"/>
              <w:jc w:val="center"/>
              <w:rPr>
                <w:rFonts w:ascii="仿宋_GB2312" w:hAnsi="仿宋_GB2312" w:eastAsia="仿宋_GB2312" w:cs="仿宋_GB2312"/>
                <w:spacing w:val="-20"/>
                <w:sz w:val="28"/>
                <w:szCs w:val="28"/>
              </w:rPr>
            </w:pPr>
          </w:p>
        </w:tc>
        <w:tc>
          <w:tcPr>
            <w:tcW w:w="2693" w:type="dxa"/>
            <w:gridSpan w:val="3"/>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2020年</w:t>
            </w:r>
          </w:p>
        </w:tc>
        <w:tc>
          <w:tcPr>
            <w:tcW w:w="2552" w:type="dxa"/>
            <w:gridSpan w:val="3"/>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2021年</w:t>
            </w:r>
          </w:p>
        </w:tc>
        <w:tc>
          <w:tcPr>
            <w:tcW w:w="2552" w:type="dxa"/>
            <w:gridSpan w:val="3"/>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4" w:type="dxa"/>
            <w:vMerge w:val="continue"/>
            <w:vAlign w:val="center"/>
          </w:tcPr>
          <w:p>
            <w:pPr>
              <w:adjustRightInd w:val="0"/>
              <w:snapToGrid w:val="0"/>
              <w:jc w:val="center"/>
              <w:rPr>
                <w:rFonts w:ascii="仿宋_GB2312" w:hAnsi="仿宋_GB2312" w:eastAsia="仿宋_GB2312" w:cs="仿宋_GB2312"/>
                <w:spacing w:val="-20"/>
                <w:sz w:val="28"/>
                <w:szCs w:val="28"/>
              </w:rPr>
            </w:pPr>
          </w:p>
        </w:tc>
        <w:tc>
          <w:tcPr>
            <w:tcW w:w="992" w:type="dxa"/>
            <w:vMerge w:val="continue"/>
            <w:vAlign w:val="center"/>
          </w:tcPr>
          <w:p>
            <w:pPr>
              <w:adjustRightInd w:val="0"/>
              <w:snapToGrid w:val="0"/>
              <w:jc w:val="center"/>
              <w:rPr>
                <w:rFonts w:ascii="仿宋_GB2312" w:hAnsi="仿宋_GB2312" w:eastAsia="仿宋_GB2312" w:cs="仿宋_GB2312"/>
                <w:spacing w:val="-20"/>
                <w:sz w:val="28"/>
                <w:szCs w:val="28"/>
              </w:rPr>
            </w:pPr>
          </w:p>
        </w:tc>
        <w:tc>
          <w:tcPr>
            <w:tcW w:w="992"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w:t>
            </w:r>
          </w:p>
        </w:tc>
        <w:tc>
          <w:tcPr>
            <w:tcW w:w="851" w:type="dxa"/>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户数</w:t>
            </w:r>
          </w:p>
        </w:tc>
        <w:tc>
          <w:tcPr>
            <w:tcW w:w="850" w:type="dxa"/>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面积</w:t>
            </w:r>
          </w:p>
        </w:tc>
        <w:tc>
          <w:tcPr>
            <w:tcW w:w="851"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w:t>
            </w:r>
          </w:p>
        </w:tc>
        <w:tc>
          <w:tcPr>
            <w:tcW w:w="850" w:type="dxa"/>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户数</w:t>
            </w:r>
          </w:p>
        </w:tc>
        <w:tc>
          <w:tcPr>
            <w:tcW w:w="851" w:type="dxa"/>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面积</w:t>
            </w:r>
          </w:p>
        </w:tc>
        <w:tc>
          <w:tcPr>
            <w:tcW w:w="850"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w:t>
            </w:r>
          </w:p>
        </w:tc>
        <w:tc>
          <w:tcPr>
            <w:tcW w:w="851" w:type="dxa"/>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户数</w:t>
            </w:r>
          </w:p>
        </w:tc>
        <w:tc>
          <w:tcPr>
            <w:tcW w:w="851" w:type="dxa"/>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94"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凤山街道</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16</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498</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4.1</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9</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284</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2.17 </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5</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142</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94"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新港街道</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17</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516</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3.38</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9</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889</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8.68 </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5</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404</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3.03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94"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香洲街道</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54</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1428</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4.8</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24</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3011</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17.34 </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27</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3498</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27.91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94"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马宫街道</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992" w:type="dxa"/>
            <w:vAlign w:val="center"/>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0" w:type="dxa"/>
          </w:tcPr>
          <w:p>
            <w:pPr>
              <w:jc w:val="center"/>
              <w:rPr>
                <w:rFonts w:ascii="仿宋_GB2312" w:hAnsi="仿宋_GB2312" w:eastAsia="仿宋_GB2312" w:cs="仿宋_GB2312"/>
                <w:spacing w:val="-20"/>
                <w:sz w:val="28"/>
                <w:szCs w:val="28"/>
              </w:rPr>
            </w:pP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850" w:type="dxa"/>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0" w:type="dxa"/>
            <w:vAlign w:val="center"/>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94"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捷胜镇</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992" w:type="dxa"/>
            <w:vAlign w:val="center"/>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0" w:type="dxa"/>
          </w:tcPr>
          <w:p>
            <w:pPr>
              <w:jc w:val="center"/>
              <w:rPr>
                <w:rFonts w:ascii="仿宋_GB2312" w:hAnsi="仿宋_GB2312" w:eastAsia="仿宋_GB2312" w:cs="仿宋_GB2312"/>
                <w:spacing w:val="-20"/>
                <w:sz w:val="28"/>
                <w:szCs w:val="28"/>
              </w:rPr>
            </w:pP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850" w:type="dxa"/>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0" w:type="dxa"/>
            <w:vAlign w:val="center"/>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94"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东涌镇</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992" w:type="dxa"/>
            <w:vAlign w:val="center"/>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0" w:type="dxa"/>
          </w:tcPr>
          <w:p>
            <w:pPr>
              <w:jc w:val="center"/>
              <w:rPr>
                <w:rFonts w:ascii="仿宋_GB2312" w:hAnsi="仿宋_GB2312" w:eastAsia="仿宋_GB2312" w:cs="仿宋_GB2312"/>
                <w:spacing w:val="-20"/>
                <w:sz w:val="28"/>
                <w:szCs w:val="28"/>
              </w:rPr>
            </w:pP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850" w:type="dxa"/>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0" w:type="dxa"/>
            <w:vAlign w:val="center"/>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94"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红草镇</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992" w:type="dxa"/>
            <w:vAlign w:val="center"/>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0" w:type="dxa"/>
          </w:tcPr>
          <w:p>
            <w:pPr>
              <w:jc w:val="center"/>
              <w:rPr>
                <w:rFonts w:ascii="仿宋_GB2312" w:hAnsi="仿宋_GB2312" w:eastAsia="仿宋_GB2312" w:cs="仿宋_GB2312"/>
                <w:spacing w:val="-20"/>
                <w:sz w:val="28"/>
                <w:szCs w:val="28"/>
              </w:rPr>
            </w:pP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850" w:type="dxa"/>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0" w:type="dxa"/>
            <w:vAlign w:val="center"/>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c>
          <w:tcPr>
            <w:tcW w:w="851" w:type="dxa"/>
          </w:tcPr>
          <w:p>
            <w:pPr>
              <w:jc w:val="center"/>
              <w:rPr>
                <w:rFonts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94"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合计</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91</w:t>
            </w:r>
          </w:p>
        </w:tc>
        <w:tc>
          <w:tcPr>
            <w:tcW w:w="992"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8</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2442</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12.28</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46</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4184</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28.19 </w:t>
            </w:r>
          </w:p>
        </w:tc>
        <w:tc>
          <w:tcPr>
            <w:tcW w:w="8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37</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4044</w:t>
            </w:r>
          </w:p>
        </w:tc>
        <w:tc>
          <w:tcPr>
            <w:tcW w:w="851"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31.84 </w:t>
            </w:r>
          </w:p>
        </w:tc>
      </w:tr>
    </w:tbl>
    <w:p>
      <w:pPr>
        <w:rPr>
          <w:rFonts w:ascii="方正小标宋简体" w:hAnsi="方正小标宋简体" w:eastAsia="方正小标宋简体" w:cs="方正小标宋简体"/>
          <w:spacing w:val="-20"/>
          <w:sz w:val="44"/>
          <w:szCs w:val="44"/>
        </w:rPr>
      </w:pPr>
    </w:p>
    <w:p/>
    <w:p/>
    <w:p/>
    <w:p/>
    <w:p>
      <w:pPr>
        <w:jc w:val="left"/>
        <w:rPr>
          <w:rFonts w:ascii="黑体" w:hAnsi="黑体" w:eastAsia="黑体" w:cs="黑体"/>
          <w:sz w:val="32"/>
          <w:szCs w:val="32"/>
        </w:rPr>
      </w:pPr>
      <w:r>
        <w:rPr>
          <w:rFonts w:hint="eastAsia" w:ascii="黑体" w:hAnsi="黑体" w:eastAsia="黑体" w:cs="黑体"/>
          <w:sz w:val="32"/>
          <w:szCs w:val="32"/>
        </w:rPr>
        <w:t>附件2</w:t>
      </w:r>
    </w:p>
    <w:p>
      <w:pPr>
        <w:jc w:val="left"/>
        <w:rPr>
          <w:rFonts w:asciiTheme="minorEastAsia" w:hAnsiTheme="minorEastAsia"/>
          <w:sz w:val="30"/>
          <w:szCs w:val="30"/>
        </w:rPr>
      </w:pPr>
    </w:p>
    <w:p>
      <w:pPr>
        <w:jc w:val="center"/>
        <w:rPr>
          <w:rFonts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汕尾市城区2020-2022年城中村改造计划</w:t>
      </w:r>
    </w:p>
    <w:p>
      <w:pPr>
        <w:jc w:val="right"/>
        <w:rPr>
          <w:rFonts w:ascii="仿宋" w:hAnsi="仿宋" w:eastAsia="仿宋" w:cs="方正小标宋简体"/>
          <w:spacing w:val="23"/>
          <w:sz w:val="30"/>
          <w:szCs w:val="30"/>
        </w:rPr>
      </w:pPr>
    </w:p>
    <w:p>
      <w:pPr>
        <w:adjustRightInd w:val="0"/>
        <w:snapToGrid w:val="0"/>
        <w:jc w:val="righ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单位：个、户、万平方米</w:t>
      </w:r>
    </w:p>
    <w:tbl>
      <w:tblPr>
        <w:tblStyle w:val="17"/>
        <w:tblpPr w:leftFromText="180" w:rightFromText="180" w:vertAnchor="text" w:horzAnchor="page" w:tblpXSpec="center" w:tblpY="72"/>
        <w:tblOverlap w:val="never"/>
        <w:tblW w:w="9519" w:type="dxa"/>
        <w:jc w:val="center"/>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750"/>
        <w:gridCol w:w="720"/>
        <w:gridCol w:w="810"/>
        <w:gridCol w:w="900"/>
        <w:gridCol w:w="750"/>
        <w:gridCol w:w="825"/>
        <w:gridCol w:w="819"/>
        <w:gridCol w:w="700"/>
        <w:gridCol w:w="84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80" w:type="dxa"/>
            <w:vMerge w:val="restart"/>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所属街道/镇</w:t>
            </w:r>
          </w:p>
        </w:tc>
        <w:tc>
          <w:tcPr>
            <w:tcW w:w="750" w:type="dxa"/>
            <w:vMerge w:val="restart"/>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改造项目数量</w:t>
            </w:r>
          </w:p>
        </w:tc>
        <w:tc>
          <w:tcPr>
            <w:tcW w:w="7189" w:type="dxa"/>
            <w:gridSpan w:val="9"/>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计划改造完成时间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580" w:type="dxa"/>
            <w:vMerge w:val="continue"/>
            <w:vAlign w:val="center"/>
          </w:tcPr>
          <w:p>
            <w:pPr>
              <w:adjustRightInd w:val="0"/>
              <w:snapToGrid w:val="0"/>
              <w:jc w:val="center"/>
              <w:rPr>
                <w:rFonts w:ascii="仿宋_GB2312" w:hAnsi="仿宋_GB2312" w:eastAsia="仿宋_GB2312" w:cs="仿宋_GB2312"/>
                <w:spacing w:val="-20"/>
                <w:sz w:val="28"/>
                <w:szCs w:val="28"/>
              </w:rPr>
            </w:pPr>
          </w:p>
        </w:tc>
        <w:tc>
          <w:tcPr>
            <w:tcW w:w="750" w:type="dxa"/>
            <w:vMerge w:val="continue"/>
            <w:vAlign w:val="center"/>
          </w:tcPr>
          <w:p>
            <w:pPr>
              <w:adjustRightInd w:val="0"/>
              <w:snapToGrid w:val="0"/>
              <w:jc w:val="center"/>
              <w:rPr>
                <w:rFonts w:ascii="仿宋_GB2312" w:hAnsi="仿宋_GB2312" w:eastAsia="仿宋_GB2312" w:cs="仿宋_GB2312"/>
                <w:spacing w:val="-20"/>
                <w:sz w:val="28"/>
                <w:szCs w:val="28"/>
              </w:rPr>
            </w:pPr>
          </w:p>
        </w:tc>
        <w:tc>
          <w:tcPr>
            <w:tcW w:w="2430" w:type="dxa"/>
            <w:gridSpan w:val="3"/>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2020年</w:t>
            </w:r>
          </w:p>
        </w:tc>
        <w:tc>
          <w:tcPr>
            <w:tcW w:w="2394" w:type="dxa"/>
            <w:gridSpan w:val="3"/>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2021年</w:t>
            </w:r>
          </w:p>
        </w:tc>
        <w:tc>
          <w:tcPr>
            <w:tcW w:w="2365" w:type="dxa"/>
            <w:gridSpan w:val="3"/>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580" w:type="dxa"/>
            <w:vMerge w:val="continue"/>
            <w:vAlign w:val="center"/>
          </w:tcPr>
          <w:p>
            <w:pPr>
              <w:adjustRightInd w:val="0"/>
              <w:snapToGrid w:val="0"/>
              <w:jc w:val="center"/>
              <w:rPr>
                <w:rFonts w:ascii="仿宋_GB2312" w:hAnsi="仿宋_GB2312" w:eastAsia="仿宋_GB2312" w:cs="仿宋_GB2312"/>
                <w:spacing w:val="-20"/>
                <w:sz w:val="28"/>
                <w:szCs w:val="28"/>
              </w:rPr>
            </w:pPr>
          </w:p>
        </w:tc>
        <w:tc>
          <w:tcPr>
            <w:tcW w:w="750" w:type="dxa"/>
            <w:vMerge w:val="continue"/>
            <w:vAlign w:val="center"/>
          </w:tcPr>
          <w:p>
            <w:pPr>
              <w:adjustRightInd w:val="0"/>
              <w:snapToGrid w:val="0"/>
              <w:jc w:val="center"/>
              <w:rPr>
                <w:rFonts w:ascii="仿宋_GB2312" w:hAnsi="仿宋_GB2312" w:eastAsia="仿宋_GB2312" w:cs="仿宋_GB2312"/>
                <w:spacing w:val="-20"/>
                <w:sz w:val="28"/>
                <w:szCs w:val="28"/>
              </w:rPr>
            </w:pPr>
          </w:p>
        </w:tc>
        <w:tc>
          <w:tcPr>
            <w:tcW w:w="720"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w:t>
            </w:r>
          </w:p>
        </w:tc>
        <w:tc>
          <w:tcPr>
            <w:tcW w:w="810"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户数</w:t>
            </w:r>
          </w:p>
        </w:tc>
        <w:tc>
          <w:tcPr>
            <w:tcW w:w="900"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面积</w:t>
            </w:r>
          </w:p>
        </w:tc>
        <w:tc>
          <w:tcPr>
            <w:tcW w:w="750"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w:t>
            </w:r>
          </w:p>
        </w:tc>
        <w:tc>
          <w:tcPr>
            <w:tcW w:w="825"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户数</w:t>
            </w:r>
          </w:p>
        </w:tc>
        <w:tc>
          <w:tcPr>
            <w:tcW w:w="819"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面积</w:t>
            </w:r>
          </w:p>
        </w:tc>
        <w:tc>
          <w:tcPr>
            <w:tcW w:w="700"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w:t>
            </w:r>
          </w:p>
        </w:tc>
        <w:tc>
          <w:tcPr>
            <w:tcW w:w="840"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户数</w:t>
            </w:r>
          </w:p>
        </w:tc>
        <w:tc>
          <w:tcPr>
            <w:tcW w:w="825" w:type="dxa"/>
            <w:vAlign w:val="center"/>
          </w:tcPr>
          <w:p>
            <w:pPr>
              <w:adjustRightInd w:val="0"/>
              <w:snapToGrid w:val="0"/>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8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新港街道</w:t>
            </w:r>
          </w:p>
        </w:tc>
        <w:tc>
          <w:tcPr>
            <w:tcW w:w="7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72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w:t>
            </w:r>
          </w:p>
        </w:tc>
        <w:tc>
          <w:tcPr>
            <w:tcW w:w="81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1844</w:t>
            </w:r>
          </w:p>
        </w:tc>
        <w:tc>
          <w:tcPr>
            <w:tcW w:w="90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23.34</w:t>
            </w:r>
          </w:p>
        </w:tc>
        <w:tc>
          <w:tcPr>
            <w:tcW w:w="7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825"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2209</w:t>
            </w:r>
          </w:p>
        </w:tc>
        <w:tc>
          <w:tcPr>
            <w:tcW w:w="819"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11.99</w:t>
            </w:r>
          </w:p>
        </w:tc>
        <w:tc>
          <w:tcPr>
            <w:tcW w:w="700" w:type="dxa"/>
            <w:vAlign w:val="center"/>
          </w:tcPr>
          <w:p>
            <w:pPr>
              <w:jc w:val="center"/>
              <w:rPr>
                <w:rFonts w:ascii="仿宋_GB2312" w:hAnsi="仿宋_GB2312" w:eastAsia="仿宋_GB2312" w:cs="仿宋_GB2312"/>
                <w:spacing w:val="-20"/>
                <w:sz w:val="28"/>
                <w:szCs w:val="28"/>
              </w:rPr>
            </w:pPr>
          </w:p>
        </w:tc>
        <w:tc>
          <w:tcPr>
            <w:tcW w:w="840" w:type="dxa"/>
            <w:vAlign w:val="center"/>
          </w:tcPr>
          <w:p>
            <w:pPr>
              <w:jc w:val="center"/>
              <w:rPr>
                <w:rFonts w:ascii="仿宋_GB2312" w:hAnsi="仿宋_GB2312" w:eastAsia="仿宋_GB2312" w:cs="仿宋_GB2312"/>
                <w:spacing w:val="-20"/>
                <w:sz w:val="28"/>
                <w:szCs w:val="28"/>
              </w:rPr>
            </w:pPr>
          </w:p>
        </w:tc>
        <w:tc>
          <w:tcPr>
            <w:tcW w:w="825" w:type="dxa"/>
            <w:vAlign w:val="center"/>
          </w:tcPr>
          <w:p>
            <w:pPr>
              <w:jc w:val="center"/>
              <w:rPr>
                <w:rFonts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8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香洲街道</w:t>
            </w:r>
          </w:p>
        </w:tc>
        <w:tc>
          <w:tcPr>
            <w:tcW w:w="7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720" w:type="dxa"/>
            <w:vAlign w:val="center"/>
          </w:tcPr>
          <w:p>
            <w:pPr>
              <w:jc w:val="center"/>
              <w:rPr>
                <w:rFonts w:ascii="仿宋_GB2312" w:hAnsi="仿宋_GB2312" w:eastAsia="仿宋_GB2312" w:cs="仿宋_GB2312"/>
                <w:spacing w:val="-20"/>
                <w:sz w:val="28"/>
                <w:szCs w:val="28"/>
              </w:rPr>
            </w:pPr>
          </w:p>
        </w:tc>
        <w:tc>
          <w:tcPr>
            <w:tcW w:w="81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p>
        </w:tc>
        <w:tc>
          <w:tcPr>
            <w:tcW w:w="90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p>
        </w:tc>
        <w:tc>
          <w:tcPr>
            <w:tcW w:w="7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825"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5493</w:t>
            </w:r>
          </w:p>
        </w:tc>
        <w:tc>
          <w:tcPr>
            <w:tcW w:w="819" w:type="dxa"/>
            <w:vAlign w:val="center"/>
          </w:tcPr>
          <w:p>
            <w:pPr>
              <w:jc w:val="righ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87.27</w:t>
            </w:r>
          </w:p>
        </w:tc>
        <w:tc>
          <w:tcPr>
            <w:tcW w:w="700" w:type="dxa"/>
            <w:vAlign w:val="center"/>
          </w:tcPr>
          <w:p>
            <w:pPr>
              <w:jc w:val="center"/>
              <w:rPr>
                <w:rFonts w:ascii="仿宋_GB2312" w:hAnsi="仿宋_GB2312" w:eastAsia="仿宋_GB2312" w:cs="仿宋_GB2312"/>
                <w:spacing w:val="-20"/>
                <w:sz w:val="28"/>
                <w:szCs w:val="28"/>
              </w:rPr>
            </w:pPr>
          </w:p>
        </w:tc>
        <w:tc>
          <w:tcPr>
            <w:tcW w:w="840" w:type="dxa"/>
            <w:vAlign w:val="center"/>
          </w:tcPr>
          <w:p>
            <w:pPr>
              <w:jc w:val="center"/>
              <w:rPr>
                <w:rFonts w:ascii="仿宋_GB2312" w:hAnsi="仿宋_GB2312" w:eastAsia="仿宋_GB2312" w:cs="仿宋_GB2312"/>
                <w:spacing w:val="-20"/>
                <w:sz w:val="28"/>
                <w:szCs w:val="28"/>
              </w:rPr>
            </w:pPr>
          </w:p>
        </w:tc>
        <w:tc>
          <w:tcPr>
            <w:tcW w:w="825" w:type="dxa"/>
            <w:vAlign w:val="center"/>
          </w:tcPr>
          <w:p>
            <w:pPr>
              <w:jc w:val="center"/>
              <w:rPr>
                <w:rFonts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8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马宫街道</w:t>
            </w:r>
          </w:p>
        </w:tc>
        <w:tc>
          <w:tcPr>
            <w:tcW w:w="7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720" w:type="dxa"/>
            <w:vAlign w:val="center"/>
          </w:tcPr>
          <w:p>
            <w:pPr>
              <w:jc w:val="center"/>
              <w:rPr>
                <w:rFonts w:ascii="仿宋_GB2312" w:hAnsi="仿宋_GB2312" w:eastAsia="仿宋_GB2312" w:cs="仿宋_GB2312"/>
                <w:spacing w:val="-20"/>
                <w:sz w:val="28"/>
                <w:szCs w:val="28"/>
              </w:rPr>
            </w:pPr>
          </w:p>
        </w:tc>
        <w:tc>
          <w:tcPr>
            <w:tcW w:w="81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p>
        </w:tc>
        <w:tc>
          <w:tcPr>
            <w:tcW w:w="90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p>
        </w:tc>
        <w:tc>
          <w:tcPr>
            <w:tcW w:w="750" w:type="dxa"/>
            <w:vAlign w:val="center"/>
          </w:tcPr>
          <w:p>
            <w:pPr>
              <w:jc w:val="center"/>
              <w:rPr>
                <w:rFonts w:ascii="仿宋_GB2312" w:hAnsi="仿宋_GB2312" w:eastAsia="仿宋_GB2312" w:cs="仿宋_GB2312"/>
                <w:spacing w:val="-20"/>
                <w:sz w:val="28"/>
                <w:szCs w:val="28"/>
              </w:rPr>
            </w:pPr>
          </w:p>
        </w:tc>
        <w:tc>
          <w:tcPr>
            <w:tcW w:w="825"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p>
        </w:tc>
        <w:tc>
          <w:tcPr>
            <w:tcW w:w="819"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p>
        </w:tc>
        <w:tc>
          <w:tcPr>
            <w:tcW w:w="70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84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123</w:t>
            </w:r>
          </w:p>
        </w:tc>
        <w:tc>
          <w:tcPr>
            <w:tcW w:w="825"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8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捷胜镇</w:t>
            </w:r>
          </w:p>
        </w:tc>
        <w:tc>
          <w:tcPr>
            <w:tcW w:w="7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w:t>
            </w:r>
          </w:p>
        </w:tc>
        <w:tc>
          <w:tcPr>
            <w:tcW w:w="720" w:type="dxa"/>
            <w:vAlign w:val="center"/>
          </w:tcPr>
          <w:p>
            <w:pPr>
              <w:jc w:val="center"/>
              <w:rPr>
                <w:rFonts w:ascii="仿宋_GB2312" w:hAnsi="仿宋_GB2312" w:eastAsia="仿宋_GB2312" w:cs="仿宋_GB2312"/>
                <w:spacing w:val="-20"/>
                <w:sz w:val="28"/>
                <w:szCs w:val="28"/>
              </w:rPr>
            </w:pPr>
          </w:p>
        </w:tc>
        <w:tc>
          <w:tcPr>
            <w:tcW w:w="81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p>
        </w:tc>
        <w:tc>
          <w:tcPr>
            <w:tcW w:w="90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p>
        </w:tc>
        <w:tc>
          <w:tcPr>
            <w:tcW w:w="750" w:type="dxa"/>
            <w:vAlign w:val="center"/>
          </w:tcPr>
          <w:p>
            <w:pPr>
              <w:jc w:val="center"/>
              <w:rPr>
                <w:rFonts w:ascii="仿宋_GB2312" w:hAnsi="仿宋_GB2312" w:eastAsia="仿宋_GB2312" w:cs="仿宋_GB2312"/>
                <w:spacing w:val="-20"/>
                <w:sz w:val="28"/>
                <w:szCs w:val="28"/>
              </w:rPr>
            </w:pPr>
          </w:p>
        </w:tc>
        <w:tc>
          <w:tcPr>
            <w:tcW w:w="825"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p>
        </w:tc>
        <w:tc>
          <w:tcPr>
            <w:tcW w:w="819"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w:t>
            </w:r>
          </w:p>
        </w:tc>
        <w:tc>
          <w:tcPr>
            <w:tcW w:w="70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w:t>
            </w:r>
          </w:p>
        </w:tc>
        <w:tc>
          <w:tcPr>
            <w:tcW w:w="84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600</w:t>
            </w:r>
          </w:p>
        </w:tc>
        <w:tc>
          <w:tcPr>
            <w:tcW w:w="825"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8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合计</w:t>
            </w:r>
          </w:p>
        </w:tc>
        <w:tc>
          <w:tcPr>
            <w:tcW w:w="7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9</w:t>
            </w:r>
          </w:p>
        </w:tc>
        <w:tc>
          <w:tcPr>
            <w:tcW w:w="72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w:t>
            </w:r>
          </w:p>
        </w:tc>
        <w:tc>
          <w:tcPr>
            <w:tcW w:w="81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1844</w:t>
            </w:r>
          </w:p>
        </w:tc>
        <w:tc>
          <w:tcPr>
            <w:tcW w:w="90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23.34</w:t>
            </w:r>
          </w:p>
        </w:tc>
        <w:tc>
          <w:tcPr>
            <w:tcW w:w="75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w:t>
            </w:r>
          </w:p>
        </w:tc>
        <w:tc>
          <w:tcPr>
            <w:tcW w:w="825"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7702</w:t>
            </w:r>
          </w:p>
        </w:tc>
        <w:tc>
          <w:tcPr>
            <w:tcW w:w="819"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99.26</w:t>
            </w:r>
          </w:p>
        </w:tc>
        <w:tc>
          <w:tcPr>
            <w:tcW w:w="70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840"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723</w:t>
            </w:r>
          </w:p>
        </w:tc>
        <w:tc>
          <w:tcPr>
            <w:tcW w:w="825" w:type="dxa"/>
            <w:vAlign w:val="center"/>
          </w:tcPr>
          <w:p>
            <w:pPr>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13.1</w:t>
            </w:r>
          </w:p>
        </w:tc>
      </w:tr>
    </w:tbl>
    <w:p>
      <w:pPr>
        <w:jc w:val="right"/>
        <w:rPr>
          <w:rFonts w:ascii="仿宋" w:hAnsi="仿宋" w:eastAsia="仿宋"/>
          <w:sz w:val="30"/>
          <w:szCs w:val="30"/>
        </w:rPr>
      </w:pPr>
    </w:p>
    <w:p>
      <w:pPr>
        <w:jc w:val="right"/>
        <w:rPr>
          <w:rFonts w:ascii="仿宋" w:hAnsi="仿宋" w:eastAsia="仿宋"/>
          <w:sz w:val="30"/>
          <w:szCs w:val="30"/>
        </w:rPr>
      </w:pPr>
    </w:p>
    <w:p>
      <w:pPr>
        <w:jc w:val="left"/>
        <w:rPr>
          <w:rFonts w:asciiTheme="minorEastAsia" w:hAnsiTheme="minorEastAsia"/>
          <w:sz w:val="30"/>
          <w:szCs w:val="30"/>
        </w:rPr>
      </w:pPr>
    </w:p>
    <w:sectPr>
      <w:headerReference r:id="rId3" w:type="default"/>
      <w:footerReference r:id="rId5" w:type="default"/>
      <w:head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785"/>
    <w:rsid w:val="000C1212"/>
    <w:rsid w:val="0015326A"/>
    <w:rsid w:val="00157A07"/>
    <w:rsid w:val="00172A27"/>
    <w:rsid w:val="001B208A"/>
    <w:rsid w:val="001B742B"/>
    <w:rsid w:val="00236542"/>
    <w:rsid w:val="0025389C"/>
    <w:rsid w:val="003334F5"/>
    <w:rsid w:val="003A0764"/>
    <w:rsid w:val="003C78F7"/>
    <w:rsid w:val="003D5A78"/>
    <w:rsid w:val="00430810"/>
    <w:rsid w:val="00471CEB"/>
    <w:rsid w:val="00500FBE"/>
    <w:rsid w:val="0053586C"/>
    <w:rsid w:val="00554CFB"/>
    <w:rsid w:val="0056486D"/>
    <w:rsid w:val="005B5D22"/>
    <w:rsid w:val="005C60DE"/>
    <w:rsid w:val="006228F0"/>
    <w:rsid w:val="00664A78"/>
    <w:rsid w:val="006E792C"/>
    <w:rsid w:val="00741294"/>
    <w:rsid w:val="00742179"/>
    <w:rsid w:val="007B7E96"/>
    <w:rsid w:val="007F6858"/>
    <w:rsid w:val="0080177C"/>
    <w:rsid w:val="0084146B"/>
    <w:rsid w:val="00844C89"/>
    <w:rsid w:val="0085143E"/>
    <w:rsid w:val="00852F87"/>
    <w:rsid w:val="00875E16"/>
    <w:rsid w:val="00880677"/>
    <w:rsid w:val="008879BD"/>
    <w:rsid w:val="008973F1"/>
    <w:rsid w:val="00904CA8"/>
    <w:rsid w:val="009433E3"/>
    <w:rsid w:val="009522BD"/>
    <w:rsid w:val="009E2BCA"/>
    <w:rsid w:val="00A4024C"/>
    <w:rsid w:val="00A63BA0"/>
    <w:rsid w:val="00A86C90"/>
    <w:rsid w:val="00A96015"/>
    <w:rsid w:val="00AA0179"/>
    <w:rsid w:val="00B2304F"/>
    <w:rsid w:val="00B47B15"/>
    <w:rsid w:val="00BA300A"/>
    <w:rsid w:val="00BB5D80"/>
    <w:rsid w:val="00BE6865"/>
    <w:rsid w:val="00BF20D4"/>
    <w:rsid w:val="00C22029"/>
    <w:rsid w:val="00C41E55"/>
    <w:rsid w:val="00C55390"/>
    <w:rsid w:val="00CE5C44"/>
    <w:rsid w:val="00D2386F"/>
    <w:rsid w:val="00D61F6D"/>
    <w:rsid w:val="00DB6FE4"/>
    <w:rsid w:val="00E14ED5"/>
    <w:rsid w:val="00E40458"/>
    <w:rsid w:val="00E57A55"/>
    <w:rsid w:val="00E621E9"/>
    <w:rsid w:val="00E70113"/>
    <w:rsid w:val="00E732AA"/>
    <w:rsid w:val="00F7123D"/>
    <w:rsid w:val="00F7133D"/>
    <w:rsid w:val="00FF0418"/>
    <w:rsid w:val="01487161"/>
    <w:rsid w:val="03C80975"/>
    <w:rsid w:val="040A5104"/>
    <w:rsid w:val="050170F5"/>
    <w:rsid w:val="057C3CE1"/>
    <w:rsid w:val="05BF3B48"/>
    <w:rsid w:val="060737E7"/>
    <w:rsid w:val="06151A67"/>
    <w:rsid w:val="067D2A07"/>
    <w:rsid w:val="06E67AB7"/>
    <w:rsid w:val="073B79F4"/>
    <w:rsid w:val="08F41B28"/>
    <w:rsid w:val="09210FDB"/>
    <w:rsid w:val="0A400048"/>
    <w:rsid w:val="0B966137"/>
    <w:rsid w:val="0BEE486E"/>
    <w:rsid w:val="0DD43679"/>
    <w:rsid w:val="0FEE717E"/>
    <w:rsid w:val="10294B6E"/>
    <w:rsid w:val="125B4D5C"/>
    <w:rsid w:val="12927D69"/>
    <w:rsid w:val="12C43D81"/>
    <w:rsid w:val="147A50EF"/>
    <w:rsid w:val="15785459"/>
    <w:rsid w:val="17527FB7"/>
    <w:rsid w:val="18F67420"/>
    <w:rsid w:val="19155F97"/>
    <w:rsid w:val="196E6CE9"/>
    <w:rsid w:val="19947988"/>
    <w:rsid w:val="1AE61558"/>
    <w:rsid w:val="1C7C15EB"/>
    <w:rsid w:val="1C7D2C5C"/>
    <w:rsid w:val="1DC82C74"/>
    <w:rsid w:val="1E377882"/>
    <w:rsid w:val="1EDF67A6"/>
    <w:rsid w:val="1F905761"/>
    <w:rsid w:val="21B77008"/>
    <w:rsid w:val="2207748F"/>
    <w:rsid w:val="220E51A9"/>
    <w:rsid w:val="22AE3E3B"/>
    <w:rsid w:val="23704D7B"/>
    <w:rsid w:val="239F2101"/>
    <w:rsid w:val="251753F1"/>
    <w:rsid w:val="25E637A2"/>
    <w:rsid w:val="2661441D"/>
    <w:rsid w:val="27973B46"/>
    <w:rsid w:val="27FA2E03"/>
    <w:rsid w:val="280C79D2"/>
    <w:rsid w:val="283E57F9"/>
    <w:rsid w:val="28B45345"/>
    <w:rsid w:val="290C52B3"/>
    <w:rsid w:val="294331CA"/>
    <w:rsid w:val="29AA6395"/>
    <w:rsid w:val="2BB9289D"/>
    <w:rsid w:val="2BD71474"/>
    <w:rsid w:val="2C3F458D"/>
    <w:rsid w:val="2C425766"/>
    <w:rsid w:val="2CA02AA4"/>
    <w:rsid w:val="2CB0374B"/>
    <w:rsid w:val="2DE40C4F"/>
    <w:rsid w:val="31694D06"/>
    <w:rsid w:val="31BF5C03"/>
    <w:rsid w:val="326C1FE5"/>
    <w:rsid w:val="32981B38"/>
    <w:rsid w:val="333A484E"/>
    <w:rsid w:val="362B3870"/>
    <w:rsid w:val="3688633B"/>
    <w:rsid w:val="36A15795"/>
    <w:rsid w:val="36AA63CE"/>
    <w:rsid w:val="36F858F7"/>
    <w:rsid w:val="38E57623"/>
    <w:rsid w:val="3C465F7D"/>
    <w:rsid w:val="3EC35B01"/>
    <w:rsid w:val="3EFA636B"/>
    <w:rsid w:val="3FDB7C88"/>
    <w:rsid w:val="419F244D"/>
    <w:rsid w:val="422F35D9"/>
    <w:rsid w:val="428762FA"/>
    <w:rsid w:val="436B3B7F"/>
    <w:rsid w:val="4427295E"/>
    <w:rsid w:val="451A209D"/>
    <w:rsid w:val="459C3FD8"/>
    <w:rsid w:val="4600727A"/>
    <w:rsid w:val="470255C8"/>
    <w:rsid w:val="4B2624BA"/>
    <w:rsid w:val="4B610F44"/>
    <w:rsid w:val="4B8E714D"/>
    <w:rsid w:val="4B96417C"/>
    <w:rsid w:val="4EAA7F14"/>
    <w:rsid w:val="4F307E92"/>
    <w:rsid w:val="51431A9F"/>
    <w:rsid w:val="521E4DFD"/>
    <w:rsid w:val="535D5542"/>
    <w:rsid w:val="544F5134"/>
    <w:rsid w:val="54907C79"/>
    <w:rsid w:val="54974462"/>
    <w:rsid w:val="56152907"/>
    <w:rsid w:val="587355CC"/>
    <w:rsid w:val="588434EE"/>
    <w:rsid w:val="588E43AA"/>
    <w:rsid w:val="593304CD"/>
    <w:rsid w:val="59472774"/>
    <w:rsid w:val="59E94700"/>
    <w:rsid w:val="5A81566E"/>
    <w:rsid w:val="5A8E5D76"/>
    <w:rsid w:val="5B381915"/>
    <w:rsid w:val="5B633AAC"/>
    <w:rsid w:val="5C9E79E8"/>
    <w:rsid w:val="5CFB5B99"/>
    <w:rsid w:val="5DD7240F"/>
    <w:rsid w:val="5DE67359"/>
    <w:rsid w:val="5DF770E6"/>
    <w:rsid w:val="60823CE3"/>
    <w:rsid w:val="61C02B20"/>
    <w:rsid w:val="62B44E06"/>
    <w:rsid w:val="63514778"/>
    <w:rsid w:val="636720B2"/>
    <w:rsid w:val="63E360E5"/>
    <w:rsid w:val="64656FE4"/>
    <w:rsid w:val="647F1436"/>
    <w:rsid w:val="658B198C"/>
    <w:rsid w:val="664A3C8A"/>
    <w:rsid w:val="69F62B27"/>
    <w:rsid w:val="6A165D01"/>
    <w:rsid w:val="6AD64EA2"/>
    <w:rsid w:val="6AE34BE8"/>
    <w:rsid w:val="6B791551"/>
    <w:rsid w:val="6BD63C90"/>
    <w:rsid w:val="6E76632B"/>
    <w:rsid w:val="6E882D6D"/>
    <w:rsid w:val="6F952CC9"/>
    <w:rsid w:val="6FA81C7E"/>
    <w:rsid w:val="71530673"/>
    <w:rsid w:val="71B772E3"/>
    <w:rsid w:val="72C1735E"/>
    <w:rsid w:val="72C81E98"/>
    <w:rsid w:val="747C53CB"/>
    <w:rsid w:val="749D4051"/>
    <w:rsid w:val="78C34F56"/>
    <w:rsid w:val="7A5D6629"/>
    <w:rsid w:val="7A6F2EC7"/>
    <w:rsid w:val="7D2D4964"/>
    <w:rsid w:val="7DA44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line="600" w:lineRule="exact"/>
    </w:pPr>
    <w:rPr>
      <w:rFonts w:eastAsia="方正小标宋简体" w:asciiTheme="minorHAnsi" w:hAnsiTheme="minorHAnsi"/>
      <w:b w:val="0"/>
      <w:kern w:val="44"/>
      <w:sz w:val="44"/>
    </w:rPr>
  </w:style>
  <w:style w:type="paragraph" w:styleId="4">
    <w:name w:val="heading 2"/>
    <w:basedOn w:val="1"/>
    <w:next w:val="1"/>
    <w:semiHidden/>
    <w:unhideWhenUsed/>
    <w:qFormat/>
    <w:uiPriority w:val="0"/>
    <w:pPr>
      <w:keepNext/>
      <w:keepLines/>
      <w:ind w:firstLine="643" w:firstLineChars="200"/>
      <w:outlineLvl w:val="1"/>
    </w:pPr>
    <w:rPr>
      <w:rFonts w:ascii="Arial" w:hAnsi="Arial" w:eastAsia="黑体"/>
      <w:b/>
    </w:rPr>
  </w:style>
  <w:style w:type="paragraph" w:styleId="5">
    <w:name w:val="heading 3"/>
    <w:basedOn w:val="1"/>
    <w:next w:val="1"/>
    <w:semiHidden/>
    <w:unhideWhenUsed/>
    <w:qFormat/>
    <w:uiPriority w:val="0"/>
    <w:pPr>
      <w:keepNext/>
      <w:keepLines/>
      <w:ind w:firstLine="643" w:firstLineChars="200"/>
      <w:outlineLvl w:val="2"/>
    </w:pPr>
    <w:rPr>
      <w:rFonts w:eastAsia="楷体_GB2312"/>
      <w:b/>
    </w:rPr>
  </w:style>
  <w:style w:type="paragraph" w:styleId="6">
    <w:name w:val="heading 4"/>
    <w:basedOn w:val="1"/>
    <w:next w:val="1"/>
    <w:semiHidden/>
    <w:unhideWhenUsed/>
    <w:qFormat/>
    <w:uiPriority w:val="0"/>
    <w:pPr>
      <w:keepNext/>
      <w:keepLines/>
      <w:spacing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qFormat/>
    <w:uiPriority w:val="0"/>
    <w:pPr>
      <w:jc w:val="center"/>
      <w:outlineLvl w:val="0"/>
    </w:pPr>
    <w:rPr>
      <w:rFonts w:ascii="Arial" w:hAnsi="Arial"/>
      <w:b/>
      <w:sz w:val="32"/>
    </w:rPr>
  </w:style>
  <w:style w:type="paragraph" w:styleId="7">
    <w:name w:val="Body Text Indent 2"/>
    <w:basedOn w:val="1"/>
    <w:next w:val="8"/>
    <w:qFormat/>
    <w:uiPriority w:val="0"/>
    <w:pPr>
      <w:spacing w:line="480" w:lineRule="auto"/>
      <w:ind w:left="420" w:leftChars="200"/>
    </w:pPr>
  </w:style>
  <w:style w:type="paragraph" w:customStyle="1" w:styleId="8">
    <w:name w:val="reader-word-layer reader-word-s46-2"/>
    <w:basedOn w:val="1"/>
    <w:next w:val="9"/>
    <w:qFormat/>
    <w:uiPriority w:val="0"/>
    <w:pPr>
      <w:widowControl/>
      <w:spacing w:before="280" w:after="280"/>
    </w:pPr>
    <w:rPr>
      <w:rFonts w:ascii="宋体"/>
      <w:sz w:val="24"/>
    </w:rPr>
  </w:style>
  <w:style w:type="paragraph" w:customStyle="1" w:styleId="9">
    <w:name w:val="xl35"/>
    <w:basedOn w:val="1"/>
    <w:next w:val="1"/>
    <w:qFormat/>
    <w:uiPriority w:val="0"/>
    <w:pPr>
      <w:widowControl/>
      <w:shd w:val="clear" w:color="FFFFFF" w:fill="FFFFFF"/>
      <w:spacing w:before="280" w:after="280"/>
    </w:pPr>
    <w:rPr>
      <w:rFonts w:ascii="Arial Unicode MS" w:eastAsia="Arial Unicode MS"/>
      <w:sz w:val="24"/>
    </w:r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表格内容"/>
    <w:basedOn w:val="6"/>
    <w:next w:val="1"/>
    <w:qFormat/>
    <w:uiPriority w:val="0"/>
    <w:pPr>
      <w:spacing w:line="400" w:lineRule="exact"/>
    </w:pPr>
    <w:rPr>
      <w:rFonts w:eastAsia="仿宋_GB2312"/>
      <w:b w:val="0"/>
    </w:rPr>
  </w:style>
  <w:style w:type="paragraph" w:customStyle="1" w:styleId="19">
    <w:name w:val="List Paragraph1"/>
    <w:basedOn w:val="1"/>
    <w:qFormat/>
    <w:uiPriority w:val="99"/>
    <w:pPr>
      <w:ind w:firstLine="420" w:firstLineChars="200"/>
    </w:pPr>
    <w:rPr>
      <w:rFonts w:ascii="Times New Roman" w:hAnsi="Times New Roman" w:eastAsia="仿宋_GB2312" w:cs="Times New Roman"/>
      <w:sz w:val="32"/>
      <w:szCs w:val="32"/>
    </w:rPr>
  </w:style>
  <w:style w:type="character" w:customStyle="1" w:styleId="20">
    <w:name w:val="页眉 Char"/>
    <w:basedOn w:val="14"/>
    <w:link w:val="12"/>
    <w:qFormat/>
    <w:uiPriority w:val="0"/>
    <w:rPr>
      <w:kern w:val="2"/>
      <w:sz w:val="18"/>
      <w:szCs w:val="18"/>
    </w:rPr>
  </w:style>
  <w:style w:type="character" w:customStyle="1" w:styleId="21">
    <w:name w:val="批注框文本 Char"/>
    <w:basedOn w:val="14"/>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zjj</Company>
  <Pages>9</Pages>
  <Words>551</Words>
  <Characters>3147</Characters>
  <Lines>26</Lines>
  <Paragraphs>7</Paragraphs>
  <TotalTime>62</TotalTime>
  <ScaleCrop>false</ScaleCrop>
  <LinksUpToDate>false</LinksUpToDate>
  <CharactersWithSpaces>3691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2020-06-14T10:53:00Z</dcterms:created>
  <dc:creator>tt</dc:creator>
  <cp:lastModifiedBy>朱晶莹</cp:lastModifiedBy>
  <cp:lastPrinted>2020-06-13T08:49:00Z</cp:lastPrinted>
  <dcterms:modified xsi:type="dcterms:W3CDTF">2020-07-01T00:57:16Z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