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汕尾市人民政府关于推进城市有机更新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工作的实施意见（代拟稿）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为深入贯彻市委、市政府有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关工作部署，加快城市有机更新，深入推进汕尾市老旧小区和城中村改造，优化城市环境、完善城市功能、提升城市品质、改善居住环境，促进城市的可持续发展，结合实际，制定如下实施意见。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（一）指导思想</w:t>
      </w:r>
    </w:p>
    <w:p>
      <w:pPr>
        <w:pStyle w:val="7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以习近平新时代中国特色社会主义思想为指导，全面贯彻党的十九大和十九届二中、三中、四中全会精神，深入贯彻习近平总书记对广东重要讲话和重要指示批示精神，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践行以人民为中心的发展理念，以提升居民生活品质为出发点和落脚点，把老旧小区和城中村改造作为城市有机更新的重要组成部分，结合未来社区建设和基层社会治理，积极推动老旧小区、城中村功能完善、空间挖潜和服务提升，稳妥有序、分层分类、因地制宜地推进城市有机更新工作，努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把汕尾建设成为沿海经济带的靓丽明珠。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（二）基本原则</w:t>
      </w:r>
    </w:p>
    <w:p>
      <w:pPr>
        <w:widowControl/>
        <w:ind w:firstLine="504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坚持政府统筹和市场参与相结合，拉高城市标杆，构建系统性城市有机更新工作体系；坚持依法治理与文明共建，规划先行与建管并重，改革创新与传承保护；坚持以人为本，完善功能与宜居宜业，集约高效与安全便利相结合，补齐城市短板，实现市民生活更加方便舒心。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（三）工作目标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充分发挥政府指导作用、积极推进市场运作，通过综合整治、功能转变、拆除重建等方式，依据相关法律法规及城市规划，对城镇老旧小区、城中村等进行更新改造，以点带面提升城市功能、落实公共配套、促进集约用地，多途径、多渠道改善市民工作生活条件，切实增强群众的获得感、幸福感、安全感。到2022年，基本完成全市城镇老旧小区和城中村改造任务，形成小区长效管理、基层有序治理、城市有机更新的工作机制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二、主要举措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（一）完善城市有机更新工作机制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1.强化分类指导机制。根据城市空间形态和功能，按照综合整治类、功能改变类、拆除重建类和文化传承类等类别，推进城市有机更新工作。综合整治类以基础设施改善、公共空间治理、公共服务完善、生态环境提升为指引；功能改变类以促进产业优化和转型提升，更新并改变部分或全部建筑物使用功能为指引；拆除重建类以完善城市功能，改善城市面貌，提高土地利用效率为指引；文化传承类以保存修复并活化利用历史文化遗存、民俗文化遗产为指引。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2.强化规划引领机制。以“城市有机更新单元”作为基本管理单位，明确规划管控要求，落实相关目标和责任。在“城市有机更新单元”基础上，各地必须科学制定城市有机更新的三年行动方案和年度计划，按照“更新一批、谋划一批、储备一批”要求，明确城市有机更新的重点区域及其更新方向、目标、时序、总体规模和更新策略，强化推进城市有机更新空间与时间上的衔接和融合。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3.强化政策激励机制。研究出台城市有机更新暂行办法及实施细则，制订出台建筑后退空间处置权、低效用地评估标准、社区“15分钟生活圈”标准体系等配套政策，构建完善城市更新政策保障体系。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4.强化长效运营机制。完善政府统筹“自上而下”重点片区和重大项目的管控机制，对照《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汕尾市旧村庄改造实施办法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》有关规定，建立社区和市场主体“自下而上”需求主导的更新申报机制，逐步理顺和优化相应的利益分配模式。通过开放市场吸引社会资本和民间资金参与城市有机更新，形成政府与市场协同联动机制，为城市有机更新工作提供长效动力。</w:t>
      </w:r>
    </w:p>
    <w:p>
      <w:pPr>
        <w:widowControl/>
        <w:ind w:firstLine="504"/>
        <w:jc w:val="left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（二）推进实施城市有机更新项目</w:t>
      </w:r>
    </w:p>
    <w:p>
      <w:pPr>
        <w:widowControl/>
        <w:ind w:firstLine="504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1.推进老旧小区微改造更新。按照“党建引领、试点先行、建管并举、共同缔造”的理念，稳步有序推进城镇老旧住宅小区改造工作。参照《广东省老旧小区改造技术导则》，研究制定汕尾市老旧住宅小区整治改造指南，确定菜单式改造内容和基本要求，供业主自主选择综合改造或微改造，加快实施老旧住宅小区房屋安全管理与维护、海绵化改造、完善养老设施、加装电梯、公共空间微更新、设施设备更新与维护等工作。推动社区“15分钟生活圈”建设，利用区域存量空间、低效空间进行功能更新、完善，从居住、就业、出行、服务、休闲等方面完善社区功能。</w:t>
      </w:r>
    </w:p>
    <w:p>
      <w:pPr>
        <w:widowControl/>
        <w:ind w:firstLine="504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2.推进“城中村”改造更新。以旧村庄的更新改造为抓手，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以《汕尾市旧村庄改造实施办法》为指导，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人居环境、公共安全、社会治安等方面存在较多隐患的“城中村”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进行拆除重建，实现提质增效、功能重塑。对具有地域特色和保护价值的“城中村”进行微更新，实现活化利用、功能再现。以成片旧（危）住宅区和城市建成区内城中村为改造重点，落实主体责任，强化项目策划和前期论证，加快推进已实施项目、地块出让和开发利用工作。</w:t>
      </w:r>
    </w:p>
    <w:p>
      <w:pPr>
        <w:pStyle w:val="2"/>
        <w:ind w:left="0" w:leftChars="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40"/>
        </w:rPr>
        <w:t>推进低效空间更新。以旧厂房、旧市场、旧楼宇的更新改造为抓手，对不符合城市功能品质要求的旧厂房、旧市场、旧楼宇进行拆除重建，实现提质增效、功能重塑。对具有地域特色和保护价值的旧厂房、旧市场、旧楼宇进行微更新，实现活化利用、功能再现。</w:t>
      </w:r>
    </w:p>
    <w:p>
      <w:pPr>
        <w:pStyle w:val="2"/>
        <w:ind w:left="0" w:leftChars="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 4.推进交通轴线更新。坚持“基础设施为导向的城市空间开发模式（XOD）+政府和社会资本合作（PPP)”发展理念，在城市快速路和城市主干道等重要交通轴线沿线及周边，规划建设一批城市有机更新单元，放大“交通、产业、空间”三大要素叠加效应，提高城市土地资产附加值和综合效益，将城市主要通道打造成为宜居宜业、特色鲜明的产业带、文化带和景观带。根据交通轴线的功能定位、文化积淀、商业业态等，重点对海滨大道西段、汕尾大道、香江大道、汕可路、汕遮路等城市主干道进行综合整治，并融入设施景观化、城市绿道、海绵城市等理念，更新城市家具、修补城市功能、治理城市内涝、缓解城市拥堵，同步推进道路两侧街区更新改造，促进商业业态升级和整体环境提升。 </w:t>
      </w:r>
    </w:p>
    <w:p>
      <w:pPr>
        <w:pStyle w:val="2"/>
        <w:spacing w:line="240" w:lineRule="auto"/>
        <w:ind w:left="0" w:leftChars="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 5.推进文化遗存更新保护。发掘并凸显汕尾城市特有的地域环境、文化特色和建筑风格，充分展现潮汕、客家等岭南文化传统，根据国家相关法律法规要求，梳理、抢救具有地方传统的特色街区、公共建筑、产业遗存和风貌道路，统筹推进历史街区、历史地段和历史建筑等历史文化遗存的更新保护工作。通过坎下城修缮、市区三马路民国时期风貌遗存保护、海丰红宫红场旧址保护节点展示等，保护和强化历史街区空间形态。通过道路微改造、景观小品、历史信息指示系统、历史建筑活化利用等方式，推进文化建设和历史风貌街区环境整治改造。注重澎湃故居、方饭亭、玄武山等代表性历史地段的特色文脉基因更新保护。加强历史建筑的保护和管理，兼顾保护和利用、功能开发和历史传承的有机结合，形成历史建筑长效管理机制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6.推进城市绿色更新。结合“五城联创”工作，在城市更</w:t>
      </w:r>
      <w:r>
        <w:rPr>
          <w:rFonts w:hint="eastAsia" w:ascii="仿宋_GB2312" w:hAnsi="仿宋_GB2312" w:eastAsia="仿宋_GB2312" w:cs="仿宋_GB2312"/>
          <w:sz w:val="32"/>
          <w:szCs w:val="40"/>
        </w:rPr>
        <w:t>新过程中全面落实“绿水青山就是金山银山”的理念，将城市更新与城市“双修”相结合，保护“山海湖城”独具多样性的生态资源禀赋，促进城市生产、生活、生态空间有机融合。鼓励在城市更新项目中增加公共绿地、开放空间，发展装配式建筑，全面推广绿色建筑。开展海绵城市和生态修复专项工作，加快金台山公园、青山仔公园、明城公园、明珠岛（屿仔岛）公园、凤山公园、慈云公园、大鹏山公园等城市景观提升工程建设，并在老城区建设一批街头公园，实现“300米见绿，500米见园”的目标。</w:t>
      </w:r>
    </w:p>
    <w:p>
      <w:pPr>
        <w:pStyle w:val="3"/>
        <w:spacing w:before="0" w:after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（一）加强组织领导</w:t>
      </w:r>
    </w:p>
    <w:p>
      <w:pPr>
        <w:widowControl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 成立以市政府主要领导为组长，相关市直部门和各县（市、区）人民政府（管委会）主要负责同志为成员的汕尾市城市有机更新工作领导小组，加强对全市城市更新工作的指导,领导小组下设办公室在市住建局，负责日常统筹协调工作。各县（市、区）要成立相应的工作机构，建立推进机制。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（二）强化统筹协调</w:t>
      </w:r>
    </w:p>
    <w:p>
      <w:pPr>
        <w:pStyle w:val="11"/>
        <w:shd w:val="clear" w:color="auto" w:fill="auto"/>
        <w:spacing w:line="240" w:lineRule="auto"/>
        <w:ind w:left="21" w:leftChars="10" w:right="20" w:firstLine="640" w:firstLineChars="200"/>
        <w:jc w:val="both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领导小组要加强政策规定、标准规范的制订，</w:t>
      </w:r>
      <w:r>
        <w:rPr>
          <w:rFonts w:hint="eastAsia" w:ascii="仿宋_GB2312" w:hAnsi="仿宋" w:eastAsia="仿宋_GB2312"/>
          <w:sz w:val="32"/>
          <w:szCs w:val="32"/>
        </w:rPr>
        <w:t>完善审批制度，简化办事程序，积极推行发改、自然资源、住房城乡建设等部门并联审批。完善管理机制，强化</w:t>
      </w:r>
      <w:r>
        <w:rPr>
          <w:rFonts w:ascii="仿宋_GB2312" w:hAnsi="仿宋" w:eastAsia="仿宋_GB2312"/>
          <w:sz w:val="32"/>
          <w:szCs w:val="32"/>
        </w:rPr>
        <w:t>政府制定</w:t>
      </w:r>
      <w:r>
        <w:rPr>
          <w:rFonts w:hint="eastAsia" w:ascii="仿宋_GB2312" w:hAnsi="仿宋" w:eastAsia="仿宋_GB2312"/>
          <w:sz w:val="32"/>
          <w:szCs w:val="32"/>
        </w:rPr>
        <w:t>规划、计划和房屋征收方案的</w:t>
      </w:r>
      <w:r>
        <w:rPr>
          <w:rFonts w:ascii="仿宋_GB2312" w:hAnsi="仿宋" w:eastAsia="仿宋_GB2312"/>
          <w:sz w:val="32"/>
          <w:szCs w:val="32"/>
        </w:rPr>
        <w:t>主导作用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组织推进试点项目，对各县（市、区）的城市有机更新工作开展统筹指导、协调推进和监督考核。各县（市、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区）政府为责任主体，负责本区域城市有机更新工作的具体组织实施。</w:t>
      </w:r>
    </w:p>
    <w:p>
      <w:pPr>
        <w:widowControl/>
        <w:ind w:firstLine="504"/>
        <w:rPr>
          <w:rFonts w:ascii="楷体_GB2312" w:hAnsi="宋体" w:eastAsia="楷体_GB2312" w:cs="楷体_GB2312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（三）完善资金保障。</w:t>
      </w:r>
    </w:p>
    <w:p>
      <w:pPr>
        <w:widowControl/>
        <w:ind w:firstLine="504"/>
        <w:rPr>
          <w:rFonts w:ascii="楷体_GB2312" w:hAnsi="宋体" w:eastAsia="楷体_GB2312" w:cs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建立健全城市有机更新资金多元筹措机制。坚持“谁受益、谁出资”原则，通过居民合理出资、政府给予财政资金补贴支持、管线单位全力支持、社会力量以市场化方式参与、金融机构可持续方式支持等方式，多渠道筹措城市有机更新改造资金。</w:t>
      </w:r>
    </w:p>
    <w:p>
      <w:pPr>
        <w:widowControl/>
        <w:ind w:firstLine="504"/>
        <w:rPr>
          <w:sz w:val="32"/>
          <w:szCs w:val="32"/>
        </w:rPr>
      </w:pP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（四）注重宣传引导</w:t>
      </w:r>
    </w:p>
    <w:p>
      <w:pPr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充分借助各种传播媒体力量，全面系统宣传城市有机更新理念和</w:t>
      </w:r>
      <w:r>
        <w:rPr>
          <w:rFonts w:hint="eastAsia" w:ascii="仿宋_GB2312" w:hAnsi="仿宋" w:eastAsia="仿宋_GB2312"/>
          <w:sz w:val="32"/>
          <w:szCs w:val="32"/>
        </w:rPr>
        <w:t>加快城更新的重要意义，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努力营造关心、支持城市有机更新工作的良好社会氛围，积极引导市场主体和社会资金参与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，提高城市有机更新工作的公众参与度和社会共识，</w:t>
      </w:r>
      <w:r>
        <w:rPr>
          <w:rFonts w:hint="eastAsia" w:ascii="仿宋_GB2312" w:hAnsi="仿宋" w:eastAsia="仿宋_GB2312"/>
          <w:sz w:val="32"/>
          <w:szCs w:val="32"/>
        </w:rPr>
        <w:t>确保城市更新工作健康有序发展。</w:t>
      </w: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</w:t>
      </w: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汕尾市人民政府</w:t>
      </w: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2020年7月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18196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A34D29"/>
    <w:rsid w:val="000722AA"/>
    <w:rsid w:val="000B714F"/>
    <w:rsid w:val="000C2CF1"/>
    <w:rsid w:val="00124D20"/>
    <w:rsid w:val="00136EDA"/>
    <w:rsid w:val="001439CC"/>
    <w:rsid w:val="001777DF"/>
    <w:rsid w:val="001A0D80"/>
    <w:rsid w:val="00213BA5"/>
    <w:rsid w:val="00244BD9"/>
    <w:rsid w:val="00284FEE"/>
    <w:rsid w:val="002B7959"/>
    <w:rsid w:val="00342B5A"/>
    <w:rsid w:val="003538AA"/>
    <w:rsid w:val="00374E0F"/>
    <w:rsid w:val="00381604"/>
    <w:rsid w:val="003D0E86"/>
    <w:rsid w:val="003F5D37"/>
    <w:rsid w:val="00421E84"/>
    <w:rsid w:val="0043749C"/>
    <w:rsid w:val="004D5D6C"/>
    <w:rsid w:val="00520651"/>
    <w:rsid w:val="00523651"/>
    <w:rsid w:val="005557B7"/>
    <w:rsid w:val="00571675"/>
    <w:rsid w:val="00574338"/>
    <w:rsid w:val="005D4782"/>
    <w:rsid w:val="00637314"/>
    <w:rsid w:val="00666639"/>
    <w:rsid w:val="0068558D"/>
    <w:rsid w:val="006B3F4A"/>
    <w:rsid w:val="006F0889"/>
    <w:rsid w:val="00715C8A"/>
    <w:rsid w:val="00750375"/>
    <w:rsid w:val="00761286"/>
    <w:rsid w:val="007E7EF4"/>
    <w:rsid w:val="008056CB"/>
    <w:rsid w:val="00832466"/>
    <w:rsid w:val="00871803"/>
    <w:rsid w:val="008D66BC"/>
    <w:rsid w:val="008E257E"/>
    <w:rsid w:val="008F2239"/>
    <w:rsid w:val="00916721"/>
    <w:rsid w:val="00916A85"/>
    <w:rsid w:val="00930E1F"/>
    <w:rsid w:val="00993F0A"/>
    <w:rsid w:val="009A466C"/>
    <w:rsid w:val="009C4D77"/>
    <w:rsid w:val="00A6477C"/>
    <w:rsid w:val="00A66DE9"/>
    <w:rsid w:val="00A92E57"/>
    <w:rsid w:val="00B07AA6"/>
    <w:rsid w:val="00B23D77"/>
    <w:rsid w:val="00B401FB"/>
    <w:rsid w:val="00B712DD"/>
    <w:rsid w:val="00B95BFC"/>
    <w:rsid w:val="00BA4910"/>
    <w:rsid w:val="00CB73DA"/>
    <w:rsid w:val="00CC1FFE"/>
    <w:rsid w:val="00DF5E6C"/>
    <w:rsid w:val="00E814CE"/>
    <w:rsid w:val="00ED38E1"/>
    <w:rsid w:val="00F50C33"/>
    <w:rsid w:val="00F70562"/>
    <w:rsid w:val="00F8235D"/>
    <w:rsid w:val="00FA1C7B"/>
    <w:rsid w:val="00FB5100"/>
    <w:rsid w:val="00FD0705"/>
    <w:rsid w:val="00FD3C36"/>
    <w:rsid w:val="00FF29B7"/>
    <w:rsid w:val="07FF3B46"/>
    <w:rsid w:val="0A1A05C5"/>
    <w:rsid w:val="0B055C8F"/>
    <w:rsid w:val="0BBC003A"/>
    <w:rsid w:val="0DF13A14"/>
    <w:rsid w:val="11D655AC"/>
    <w:rsid w:val="120A1571"/>
    <w:rsid w:val="154B5EF7"/>
    <w:rsid w:val="170D5B83"/>
    <w:rsid w:val="19684B20"/>
    <w:rsid w:val="1A1E600F"/>
    <w:rsid w:val="1AEF7670"/>
    <w:rsid w:val="1CE74E25"/>
    <w:rsid w:val="20E63A4F"/>
    <w:rsid w:val="23514CB7"/>
    <w:rsid w:val="27181F8B"/>
    <w:rsid w:val="2C3D4086"/>
    <w:rsid w:val="2C6160BB"/>
    <w:rsid w:val="2DCF22EA"/>
    <w:rsid w:val="30620381"/>
    <w:rsid w:val="31A6258E"/>
    <w:rsid w:val="32307359"/>
    <w:rsid w:val="33922361"/>
    <w:rsid w:val="341C0902"/>
    <w:rsid w:val="342875DB"/>
    <w:rsid w:val="34352E43"/>
    <w:rsid w:val="3BB8636F"/>
    <w:rsid w:val="42950BB0"/>
    <w:rsid w:val="44D16FE3"/>
    <w:rsid w:val="45517BAF"/>
    <w:rsid w:val="45E96628"/>
    <w:rsid w:val="4772602B"/>
    <w:rsid w:val="483430E7"/>
    <w:rsid w:val="48845124"/>
    <w:rsid w:val="49C91B2D"/>
    <w:rsid w:val="4C4848F0"/>
    <w:rsid w:val="4D5F3874"/>
    <w:rsid w:val="4DC4637F"/>
    <w:rsid w:val="50280687"/>
    <w:rsid w:val="576378C6"/>
    <w:rsid w:val="5799587B"/>
    <w:rsid w:val="5842362C"/>
    <w:rsid w:val="59D93EBE"/>
    <w:rsid w:val="5D4C3E19"/>
    <w:rsid w:val="5F3C4254"/>
    <w:rsid w:val="60A4361B"/>
    <w:rsid w:val="61DB2F0F"/>
    <w:rsid w:val="624B4564"/>
    <w:rsid w:val="633647AB"/>
    <w:rsid w:val="635036A6"/>
    <w:rsid w:val="639C13CE"/>
    <w:rsid w:val="662C56FD"/>
    <w:rsid w:val="666D7C0B"/>
    <w:rsid w:val="66964A34"/>
    <w:rsid w:val="66C82BA2"/>
    <w:rsid w:val="6D0C39AE"/>
    <w:rsid w:val="6E574CE5"/>
    <w:rsid w:val="6FA34D29"/>
    <w:rsid w:val="6FC515A0"/>
    <w:rsid w:val="704E43FC"/>
    <w:rsid w:val="74BB15FA"/>
    <w:rsid w:val="780944B1"/>
    <w:rsid w:val="784514AD"/>
    <w:rsid w:val="7909027E"/>
    <w:rsid w:val="7947707F"/>
    <w:rsid w:val="795A5871"/>
    <w:rsid w:val="79A62F00"/>
    <w:rsid w:val="7A533C65"/>
    <w:rsid w:val="7A98614A"/>
    <w:rsid w:val="7B897A15"/>
    <w:rsid w:val="7B952CF1"/>
    <w:rsid w:val="7BD25233"/>
    <w:rsid w:val="7DE826A4"/>
    <w:rsid w:val="7E470294"/>
    <w:rsid w:val="7F796D5E"/>
    <w:rsid w:val="7FF8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customStyle="1" w:styleId="3">
    <w:name w:val="reader-word-layer reader-word-s46-2"/>
    <w:basedOn w:val="1"/>
    <w:next w:val="4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4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1">
    <w:name w:val="正文文本2"/>
    <w:basedOn w:val="1"/>
    <w:qFormat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z w:val="27"/>
      <w:szCs w:val="27"/>
      <w:shd w:val="clear" w:color="auto" w:fill="FFFFFF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527</Words>
  <Characters>3004</Characters>
  <Lines>25</Lines>
  <Paragraphs>7</Paragraphs>
  <TotalTime>94</TotalTime>
  <ScaleCrop>false</ScaleCrop>
  <LinksUpToDate>false</LinksUpToDate>
  <CharactersWithSpaces>3524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2020-06-15T10:08:00Z</dcterms:created>
  <dc:creator>ting</dc:creator>
  <cp:lastModifiedBy>朱晶莹</cp:lastModifiedBy>
  <dcterms:modified xsi:type="dcterms:W3CDTF">2020-07-01T00:52:07Z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