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shd w:val="clear" w:color="auto" w:fill="FFFFFF"/>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继续</w:t>
      </w:r>
      <w:r>
        <w:rPr>
          <w:rFonts w:hint="eastAsia" w:ascii="黑体" w:hAnsi="黑体" w:eastAsia="黑体" w:cs="黑体"/>
          <w:b w:val="0"/>
          <w:bCs w:val="0"/>
          <w:color w:val="333333"/>
          <w:kern w:val="0"/>
          <w:sz w:val="32"/>
          <w:szCs w:val="32"/>
          <w:lang w:eastAsia="zh-CN"/>
        </w:rPr>
        <w:t>执行</w:t>
      </w:r>
      <w:r>
        <w:rPr>
          <w:rFonts w:hint="eastAsia" w:ascii="黑体" w:hAnsi="黑体" w:eastAsia="黑体" w:cs="黑体"/>
          <w:b w:val="0"/>
          <w:bCs w:val="0"/>
          <w:color w:val="333333"/>
          <w:kern w:val="0"/>
          <w:sz w:val="32"/>
          <w:szCs w:val="32"/>
        </w:rPr>
        <w:t>的</w:t>
      </w:r>
      <w:r>
        <w:rPr>
          <w:rFonts w:hint="eastAsia" w:ascii="黑体" w:hAnsi="黑体" w:eastAsia="黑体" w:cs="黑体"/>
          <w:b w:val="0"/>
          <w:bCs w:val="0"/>
          <w:color w:val="333333"/>
          <w:kern w:val="0"/>
          <w:sz w:val="32"/>
          <w:szCs w:val="32"/>
          <w:lang w:eastAsia="zh-CN"/>
        </w:rPr>
        <w:t>印花税优惠政策文件及条款</w:t>
      </w:r>
      <w:r>
        <w:rPr>
          <w:rFonts w:hint="eastAsia" w:ascii="黑体" w:hAnsi="黑体" w:eastAsia="黑体" w:cs="黑体"/>
          <w:b w:val="0"/>
          <w:bCs w:val="0"/>
          <w:color w:val="333333"/>
          <w:kern w:val="0"/>
          <w:sz w:val="32"/>
          <w:szCs w:val="32"/>
        </w:rPr>
        <w:t>目录</w:t>
      </w:r>
    </w:p>
    <w:p>
      <w:pPr>
        <w:widowControl/>
        <w:shd w:val="clear" w:color="auto" w:fill="FFFFFF"/>
        <w:jc w:val="center"/>
        <w:rPr>
          <w:rFonts w:hint="eastAsia" w:ascii="黑体" w:hAnsi="黑体" w:eastAsia="黑体" w:cs="黑体"/>
          <w:b w:val="0"/>
          <w:bCs w:val="0"/>
          <w:color w:val="333333"/>
          <w:kern w:val="0"/>
          <w:sz w:val="32"/>
          <w:szCs w:val="32"/>
        </w:rPr>
      </w:pPr>
    </w:p>
    <w:tbl>
      <w:tblPr>
        <w:tblStyle w:val="6"/>
        <w:tblW w:w="868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497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文件标题及条款</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《国家税务局关于印花税若干具体问题的规定》第6条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《国家税务局关于对保险公司征收印花税有关问题的通知》第二条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《国家税务局关于图书、报刊等征订凭证征免印花税问题的通知》第二条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（1989）国税地字第142号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《国家税务总局关于货运凭证征收印花税几个具体问题的通知》第五条第1项、第2项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auto"/>
                <w:kern w:val="0"/>
                <w:sz w:val="30"/>
                <w:szCs w:val="30"/>
                <w:highlight w:val="none"/>
                <w:u w:val="none"/>
                <w:lang w:val="en-US" w:eastAsia="zh-CN" w:bidi="ar"/>
              </w:rPr>
              <w:t>国税发</w:t>
            </w:r>
            <w:r>
              <w:rPr>
                <w:rFonts w:hint="eastAsia" w:ascii="仿宋_GB2312" w:hAnsi="仿宋_GB2312" w:eastAsia="仿宋_GB2312" w:cs="仿宋_GB2312"/>
                <w:b w:val="0"/>
                <w:bCs w:val="0"/>
                <w:i w:val="0"/>
                <w:color w:val="auto"/>
                <w:kern w:val="0"/>
                <w:sz w:val="30"/>
                <w:szCs w:val="30"/>
                <w:highlight w:val="none"/>
                <w:u w:val="none"/>
                <w:lang w:val="en-US" w:eastAsia="zh-CN" w:bidi="ar"/>
              </w:rPr>
              <w:t>〔1990〕</w:t>
            </w:r>
            <w:r>
              <w:rPr>
                <w:rFonts w:hint="eastAsia" w:ascii="仿宋_GB2312" w:hAnsi="仿宋_GB2312" w:eastAsia="仿宋_GB2312" w:cs="仿宋_GB2312"/>
                <w:i w:val="0"/>
                <w:color w:val="auto"/>
                <w:kern w:val="0"/>
                <w:sz w:val="30"/>
                <w:szCs w:val="30"/>
                <w:highlight w:val="none"/>
                <w:u w:val="none"/>
                <w:lang w:val="en-US" w:eastAsia="zh-CN" w:bidi="ar"/>
              </w:rPr>
              <w:t>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《财政部 国家税务总局关于铁道部所属单位恢复征收印花税问题的补充通知》第二条、第三条、第四条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财税字〔1997〕182号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6</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国家税务总局关于中国信达等4家金融资产管理公司税收政策问题的通知》第三条第4项中“</w:t>
            </w:r>
            <w:r>
              <w:rPr>
                <w:rFonts w:hint="eastAsia" w:ascii="仿宋_GB2312" w:hAnsi="仿宋_GB2312" w:eastAsia="仿宋_GB2312" w:cs="仿宋_GB2312"/>
                <w:i w:val="0"/>
                <w:color w:val="auto"/>
                <w:kern w:val="0"/>
                <w:sz w:val="30"/>
                <w:szCs w:val="30"/>
                <w:highlight w:val="none"/>
                <w:u w:val="none"/>
                <w:lang w:val="en-US" w:eastAsia="zh-CN" w:bidi="ar"/>
              </w:rPr>
              <w:t>对资产公司成立时设立的资金账簿免征印花税。对资产公司收购、承接和处置不良资产，免征购销合同和产权转移书据应缴纳的印花税</w:t>
            </w:r>
            <w:r>
              <w:rPr>
                <w:rFonts w:hint="eastAsia" w:ascii="仿宋_GB2312" w:hAnsi="仿宋_GB2312" w:eastAsia="仿宋_GB2312" w:cs="仿宋_GB2312"/>
                <w:i w:val="0"/>
                <w:color w:val="000000"/>
                <w:kern w:val="0"/>
                <w:sz w:val="30"/>
                <w:szCs w:val="30"/>
                <w:highlight w:val="none"/>
                <w:u w:val="none"/>
                <w:lang w:val="en-US" w:eastAsia="zh-CN" w:bidi="ar"/>
              </w:rPr>
              <w:t>”的政策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7</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《国家税务总局关于中国石油天然气集团和中国石油化工集团使用的“成品油配置计划表”有关印花税问题的通知》</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〔2002〕</w:t>
            </w:r>
            <w:r>
              <w:rPr>
                <w:rFonts w:hint="eastAsia" w:ascii="仿宋_GB2312" w:hAnsi="仿宋_GB2312" w:eastAsia="仿宋_GB2312" w:cs="仿宋_GB2312"/>
                <w:i w:val="0"/>
                <w:color w:val="auto"/>
                <w:kern w:val="0"/>
                <w:sz w:val="30"/>
                <w:szCs w:val="30"/>
                <w:highlight w:val="none"/>
                <w:u w:val="none"/>
                <w:lang w:val="en-US" w:eastAsia="zh-CN" w:bidi="ar"/>
              </w:rPr>
              <w:t>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8</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国家税务总局关于4家资产管理公司接收资本金项下的资产在办理过户时有关税收政策问题的通知》第一条和第二条中关于印花税的政策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
              </w:rPr>
            </w:pPr>
            <w:r>
              <w:rPr>
                <w:rFonts w:hint="eastAsia" w:ascii="仿宋_GB2312" w:hAnsi="仿宋_GB2312" w:eastAsia="仿宋_GB2312" w:cs="仿宋_GB2312"/>
                <w:i w:val="0"/>
                <w:color w:val="000000"/>
                <w:kern w:val="0"/>
                <w:sz w:val="30"/>
                <w:szCs w:val="30"/>
                <w:highlight w:val="none"/>
                <w:u w:val="none"/>
                <w:lang w:val="en-US" w:eastAsia="zh-CN" w:bidi="ar"/>
              </w:rPr>
              <w:t>财税〔2003〕21号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9</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30"/>
                <w:szCs w:val="30"/>
                <w:highlight w:val="none"/>
                <w:u w:val="none"/>
                <w:lang w:val="en-US" w:eastAsia="zh-CN" w:bidi="ar-SA"/>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国家税务总局关于全国社会保障基金有关印花税政策的通知》第一条、第二条</w:t>
            </w:r>
          </w:p>
        </w:tc>
        <w:tc>
          <w:tcPr>
            <w:tcW w:w="28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国家税务总局关于被撤销金融机构有关税收政策问题的通知》第二条第1项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国家税务总局关于企业改制过程中有关印花税政策的通知》第一条第1项、第2项，第二条，第三条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财税〔2003〕183号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国家税务总局关于中国东方资产管理公司处置港澳国际（集团）有限公司有关资产税收政策问题的通知》第二条第1项、第三条第1项、第四条第1项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《国家税务总局关于办理上市公司国有股权无偿转让暂不征收证券(股票)交易印花税有关审批事项的通知》第一条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〔2004〕</w:t>
            </w:r>
            <w:r>
              <w:rPr>
                <w:rFonts w:hint="eastAsia" w:ascii="仿宋_GB2312" w:hAnsi="仿宋_GB2312" w:eastAsia="仿宋_GB2312" w:cs="仿宋_GB2312"/>
                <w:i w:val="0"/>
                <w:color w:val="000000"/>
                <w:kern w:val="0"/>
                <w:sz w:val="30"/>
                <w:szCs w:val="30"/>
                <w:highlight w:val="none"/>
                <w:u w:val="none"/>
                <w:lang w:val="en-US" w:eastAsia="zh-CN" w:bidi="ar"/>
              </w:rPr>
              <w:t>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国家税务总局关于股权分置试点改革有关税收政策问题的通知》第一条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财税〔2005〕103号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国家税务总局关于信贷资产证券化有关税收政策问题的通知》第一条第（三）、（四）、（五）项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国家税务总局关于证券投资者保护基金有关印花税政策的通知》第一条、第二条、第三条、第四条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国家税务总局关于印花税若干政策的通知》第二条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国家税务总局关于青藏铁路公司运营期间有关税收等政策问题的通知》第二条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国家税务总局关于外国银行分行改制为外商独资银行有关税收问题的通知》第三条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国家税务总局关于廉租住房经济适用住房和住房租赁有关税收政策的通知》第一条第（四）项中关于经济适用住房的印花税政策、第二条第（二）项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国家税务总局关于调整房地产交易环节税收政策的通知》第二条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国家税务总局关于境内证券市场转持部分国有股充实全国社会保障基金有关证券（股票）交易印花税政策的通知》</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财税〔2009〕103号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《国家税务总局关于中国海洋石油总公司使用的“成品油配置计划表”有关印花税问题的公告》</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税务总局公告2012年第58号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国家税务总局关于棚户区改造有关税收政策的通知》第一条中关于印花税的政策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财税〔2013〕101号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国家税务总局关于融资租赁合同有关印花税政策的通知》第二条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财税〔2015〕144号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国家税务总局关于落实降低企业杠杆率税收支持政策的通知》第二条第（七）项中关于印花税的政策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 证监会关于深港股票市场交易互联互通机制试点有关税收政策的通知》第五条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税务总局关于支持农村集体产权制度改革有关税收政策的通知》第二条中关于印花税的政策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财税〔2017〕55号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《财政部 税务总局 海关总署关于北京2022年冬奥会和冬残奥会税收政策的通知》第一条第（九）项、第二条第（二）项、第二条第（五）和（六）项中关于印花税的政策、第三条第（四）项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财税</w:t>
            </w:r>
            <w:r>
              <w:rPr>
                <w:rFonts w:hint="eastAsia" w:ascii="仿宋_GB2312" w:hAnsi="仿宋_GB2312" w:eastAsia="仿宋_GB2312" w:cs="仿宋_GB2312"/>
                <w:i w:val="0"/>
                <w:color w:val="000000"/>
                <w:kern w:val="0"/>
                <w:sz w:val="30"/>
                <w:szCs w:val="30"/>
                <w:highlight w:val="none"/>
                <w:u w:val="none"/>
                <w:lang w:val="en-US" w:eastAsia="zh-CN" w:bidi="ar"/>
              </w:rPr>
              <w:t>〔2017〕60号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税务总局关于支持小微企业融资有关税收政策的通知》第二条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税务总局关于保险保障基金有关税收政策问题的通知》第二条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税务总局关于全国社会保障基金有关投资业务税收政策的通知》第三条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税务总局关于基本养老保险基金有关投资业务税收政策的通知》第三条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税务总局关于易地扶贫搬迁税收优惠政策的通知》第二条第（一）、（二）、（四）、（五）项中关于印花税的政策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财税〔2018〕135号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税务总局关于高校学生公寓房产税印花税政策的通知》第二条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中央宣传部关于继续实施文化体制改革中经营性文化事业单位转制为企业若干税收政策的通知 》第一条第（四）项中关于印花税的政策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人力资源社会保障部 国资委 税务总局 证监会关于全面推开划转部分国有资本充实社保基金工作的通知》第五条第（二十四）项中关于印花税的政策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财资〔2019〕49号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税务总局关于公共租赁住房税收优惠政策的公告》第二条和第三条中关于印花税的政策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财政部</w:t>
            </w:r>
            <w:r>
              <w:rPr>
                <w:rFonts w:hint="eastAsia" w:ascii="仿宋_GB2312" w:hAnsi="仿宋_GB2312" w:eastAsia="仿宋_GB2312" w:cs="仿宋_GB2312"/>
                <w:sz w:val="30"/>
                <w:szCs w:val="30"/>
                <w:highlight w:val="none"/>
                <w:lang w:val="en-US" w:eastAsia="zh-CN"/>
              </w:rPr>
              <w:t xml:space="preserve"> 税务总局公告2019年第61号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税务总局关于继续实行农村饮水安全工程税收优惠政策的公告》第二条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财政部 税务总局公告2019年第67号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海关总署关于北京2022年冬奥会和冬残奥会税收优惠政策的公告》第六条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海关总署公告2019年第92号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海关总署关于杭州2022年亚运会和亚残运会税收政策的公告》第七条、第八条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海关总署关于第18届世界中学生运动会等三项国际综合运动会税收政策的公告》第七条、第八条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税务总局公告2021年第6号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税务总局公告2022年第4号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税务总局关于延续执行部分国家商品储备税收优惠政策的公告》第一条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税务总局公告2022年第 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税务总局关于进一步实施小微企业“六税两费”减免政策的公告 》第一条中关于印花税的政策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w:t>
            </w:r>
            <w:r>
              <w:rPr>
                <w:rFonts w:hint="eastAsia" w:ascii="仿宋_GB2312" w:hAnsi="仿宋_GB2312" w:eastAsia="仿宋_GB2312" w:cs="仿宋_GB2312"/>
                <w:i w:val="0"/>
                <w:color w:val="000000"/>
                <w:kern w:val="0"/>
                <w:sz w:val="30"/>
                <w:szCs w:val="30"/>
                <w:highlight w:val="none"/>
                <w:u w:val="none"/>
                <w:lang w:val="en" w:eastAsia="zh-CN" w:bidi="ar"/>
              </w:rPr>
              <w:t>2</w:t>
            </w:r>
            <w:r>
              <w:rPr>
                <w:rFonts w:hint="eastAsia" w:ascii="仿宋_GB2312" w:hAnsi="仿宋_GB2312" w:eastAsia="仿宋_GB2312" w:cs="仿宋_GB2312"/>
                <w:i w:val="0"/>
                <w:color w:val="000000"/>
                <w:kern w:val="0"/>
                <w:sz w:val="30"/>
                <w:szCs w:val="30"/>
                <w:highlight w:val="none"/>
                <w:u w:val="none"/>
                <w:lang w:val="en-US" w:eastAsia="zh-CN" w:bidi="ar"/>
              </w:rPr>
              <w:t>年第</w:t>
            </w:r>
            <w:r>
              <w:rPr>
                <w:rFonts w:hint="eastAsia" w:ascii="仿宋_GB2312" w:hAnsi="仿宋_GB2312" w:eastAsia="仿宋_GB2312" w:cs="仿宋_GB2312"/>
                <w:i w:val="0"/>
                <w:color w:val="000000"/>
                <w:kern w:val="0"/>
                <w:sz w:val="30"/>
                <w:szCs w:val="30"/>
                <w:highlight w:val="none"/>
                <w:u w:val="none"/>
                <w:lang w:val="en" w:eastAsia="zh-CN" w:bidi="ar"/>
              </w:rPr>
              <w:t xml:space="preserve"> </w:t>
            </w:r>
            <w:r>
              <w:rPr>
                <w:rFonts w:hint="eastAsia" w:ascii="仿宋_GB2312" w:hAnsi="仿宋_GB2312" w:eastAsia="仿宋_GB2312" w:cs="仿宋_GB2312"/>
                <w:i w:val="0"/>
                <w:color w:val="000000"/>
                <w:kern w:val="0"/>
                <w:sz w:val="30"/>
                <w:szCs w:val="30"/>
                <w:highlight w:val="none"/>
                <w:u w:val="none"/>
                <w:lang w:val="en-US" w:eastAsia="zh-CN" w:bidi="ar"/>
              </w:rPr>
              <w:t>10号</w:t>
            </w:r>
          </w:p>
        </w:tc>
      </w:tr>
    </w:tbl>
    <w:p>
      <w:pPr>
        <w:jc w:val="center"/>
        <w:rPr>
          <w:rFonts w:hint="eastAsia" w:ascii="仿宋_GB2312" w:hAnsi="仿宋_GB2312" w:eastAsia="仿宋_GB2312" w:cs="仿宋_GB2312"/>
          <w:sz w:val="30"/>
          <w:szCs w:val="30"/>
          <w:highlight w:val="none"/>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Dg4MTgxNmIyYzhjMzM1NzgwZGM4OTRkNWY5YTcifQ=="/>
  </w:docVars>
  <w:rsids>
    <w:rsidRoot w:val="00000000"/>
    <w:rsid w:val="0B9A10BD"/>
    <w:rsid w:val="1FA7106C"/>
    <w:rsid w:val="1FEBB6F4"/>
    <w:rsid w:val="29E945EB"/>
    <w:rsid w:val="2FDF0598"/>
    <w:rsid w:val="3BF4DC3F"/>
    <w:rsid w:val="3EAB0813"/>
    <w:rsid w:val="3F559B2E"/>
    <w:rsid w:val="4FB884A9"/>
    <w:rsid w:val="56AD7F6B"/>
    <w:rsid w:val="5A7F0D98"/>
    <w:rsid w:val="5FDFCFD9"/>
    <w:rsid w:val="5FEEB914"/>
    <w:rsid w:val="677D02CC"/>
    <w:rsid w:val="68D9CF3B"/>
    <w:rsid w:val="68F374FE"/>
    <w:rsid w:val="6E8D6FAE"/>
    <w:rsid w:val="6FFDB19A"/>
    <w:rsid w:val="6FFE4F42"/>
    <w:rsid w:val="70F31C37"/>
    <w:rsid w:val="73D8C908"/>
    <w:rsid w:val="73F7AA11"/>
    <w:rsid w:val="73FE22C5"/>
    <w:rsid w:val="76D9C3A1"/>
    <w:rsid w:val="776DE1DF"/>
    <w:rsid w:val="77FE4D69"/>
    <w:rsid w:val="77FE6EDB"/>
    <w:rsid w:val="79FC7B22"/>
    <w:rsid w:val="79FFAA58"/>
    <w:rsid w:val="7AFF2544"/>
    <w:rsid w:val="7BBEA759"/>
    <w:rsid w:val="7BD83608"/>
    <w:rsid w:val="7CD24A13"/>
    <w:rsid w:val="7DCF62A4"/>
    <w:rsid w:val="7DEB6DAA"/>
    <w:rsid w:val="7ED50EE4"/>
    <w:rsid w:val="7EF798CA"/>
    <w:rsid w:val="7F75F4DE"/>
    <w:rsid w:val="9B6F0C2C"/>
    <w:rsid w:val="9E77A1B3"/>
    <w:rsid w:val="AEF21855"/>
    <w:rsid w:val="B7F7220F"/>
    <w:rsid w:val="BEFFB422"/>
    <w:rsid w:val="BF8FF85C"/>
    <w:rsid w:val="BFFDEB39"/>
    <w:rsid w:val="BFFE0E27"/>
    <w:rsid w:val="C49D31AD"/>
    <w:rsid w:val="CB1FC84C"/>
    <w:rsid w:val="CF7F9EC8"/>
    <w:rsid w:val="D2A62699"/>
    <w:rsid w:val="D6B76180"/>
    <w:rsid w:val="DBF785CF"/>
    <w:rsid w:val="DDEF8AA1"/>
    <w:rsid w:val="DEDE6D9E"/>
    <w:rsid w:val="DEE91B8F"/>
    <w:rsid w:val="DEFE3405"/>
    <w:rsid w:val="DFBF15BF"/>
    <w:rsid w:val="DFCEAE33"/>
    <w:rsid w:val="DFFD6F61"/>
    <w:rsid w:val="EDB791F7"/>
    <w:rsid w:val="EDD631CA"/>
    <w:rsid w:val="EE6F18C3"/>
    <w:rsid w:val="EEEF3F17"/>
    <w:rsid w:val="EEFD8F20"/>
    <w:rsid w:val="EFB76641"/>
    <w:rsid w:val="F73CC5F6"/>
    <w:rsid w:val="F775F48C"/>
    <w:rsid w:val="F9EF289E"/>
    <w:rsid w:val="FDD78E81"/>
    <w:rsid w:val="FE7D91B0"/>
    <w:rsid w:val="FF9BCBAF"/>
    <w:rsid w:val="FFCB1CE3"/>
    <w:rsid w:val="FFDF3F8D"/>
    <w:rsid w:val="FFEBA8D6"/>
    <w:rsid w:val="FFF97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val="0"/>
      <w:snapToGrid w:val="0"/>
      <w:spacing w:line="588" w:lineRule="atLeast"/>
      <w:jc w:val="both"/>
    </w:pPr>
    <w:rPr>
      <w:rFonts w:ascii="宋体" w:hAnsi="宋体" w:eastAsia="仿宋_GB2312"/>
      <w:spacing w:val="-2"/>
      <w:sz w:val="32"/>
      <w:szCs w:val="24"/>
      <w:lang w:val="en-US" w:eastAsia="zh-CN" w:bidi="ar-SA"/>
    </w:rPr>
  </w:style>
  <w:style w:type="paragraph" w:styleId="3">
    <w:name w:val="toc 5"/>
    <w:basedOn w:val="1"/>
    <w:next w:val="1"/>
    <w:unhideWhenUsed/>
    <w:qFormat/>
    <w:uiPriority w:val="39"/>
    <w:pPr>
      <w:spacing w:line="600" w:lineRule="exact"/>
      <w:ind w:firstLine="720" w:firstLineChars="200"/>
    </w:pPr>
    <w:rPr>
      <w:rFonts w:ascii="Calibri" w:hAnsi="Calibri"/>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9"/>
    <w:qFormat/>
    <w:uiPriority w:val="99"/>
    <w:pPr>
      <w:spacing w:line="360" w:lineRule="auto"/>
      <w:ind w:firstLine="420" w:firstLineChars="100"/>
    </w:pPr>
    <w:rPr>
      <w:rFonts w:ascii="Times New Roman" w:hAnsi="Times New Roman"/>
      <w:sz w:val="28"/>
    </w:rPr>
  </w:style>
  <w:style w:type="paragraph" w:customStyle="1" w:styleId="9">
    <w:name w:val="BodyText"/>
    <w:basedOn w:val="1"/>
    <w:next w:val="10"/>
    <w:qFormat/>
    <w:uiPriority w:val="99"/>
    <w:pPr>
      <w:snapToGrid w:val="0"/>
      <w:spacing w:line="420" w:lineRule="auto"/>
      <w:ind w:firstLine="200" w:firstLineChars="200"/>
    </w:pPr>
    <w:rPr>
      <w:rFonts w:ascii="宋体" w:hAnsi="宋体"/>
      <w:sz w:val="24"/>
      <w:szCs w:val="20"/>
    </w:rPr>
  </w:style>
  <w:style w:type="paragraph" w:customStyle="1" w:styleId="10">
    <w:name w:val="UserStyle_0"/>
    <w:basedOn w:val="1"/>
    <w:qFormat/>
    <w:uiPriority w:val="99"/>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鲠喜樂児</cp:lastModifiedBy>
  <cp:lastPrinted>2021-08-18T09:24:00Z</cp:lastPrinted>
  <dcterms:modified xsi:type="dcterms:W3CDTF">2023-12-07T07:41:01Z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BBB42106EE284531B6B807356077DB35_12</vt:lpwstr>
  </property>
</Properties>
</file>