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汕尾市声环境功能区区划方案补充说明</w:t>
      </w:r>
    </w:p>
    <w:p>
      <w:pPr>
        <w:ind w:firstLine="640" w:firstLineChars="200"/>
        <w:rPr>
          <w:rFonts w:hint="eastAsia"/>
        </w:rPr>
      </w:pPr>
    </w:p>
    <w:p>
      <w:pPr>
        <w:ind w:firstLine="640" w:firstLineChars="200"/>
      </w:pPr>
      <w:r>
        <w:rPr>
          <w:rFonts w:hint="eastAsia"/>
        </w:rPr>
        <w:t>现行《汕尾市声环境功能区区划方案》（以下简称《区划</w:t>
      </w:r>
      <w:r>
        <w:rPr>
          <w:rFonts w:hint="eastAsia"/>
          <w:lang w:val="en-US" w:eastAsia="zh-CN"/>
        </w:rPr>
        <w:t>方案</w:t>
      </w:r>
      <w:r>
        <w:rPr>
          <w:rFonts w:hint="eastAsia"/>
        </w:rPr>
        <w:t>》）自2021年6月30日发布实施</w:t>
      </w:r>
      <w:r>
        <w:rPr>
          <w:rFonts w:hint="eastAsia"/>
          <w:lang w:val="en-US" w:eastAsia="zh-CN"/>
        </w:rPr>
        <w:t>至今，随着我市经济社会发展，部分声功能区边界已发生变化，</w:t>
      </w:r>
      <w:r>
        <w:rPr>
          <w:rFonts w:hint="eastAsia"/>
        </w:rPr>
        <w:t>为进一步规范和明确</w:t>
      </w:r>
      <w:r>
        <w:rPr>
          <w:rFonts w:hint="eastAsia"/>
          <w:lang w:val="en-US" w:eastAsia="zh-CN"/>
        </w:rPr>
        <w:t>执行</w:t>
      </w:r>
      <w:r>
        <w:rPr>
          <w:rFonts w:hint="eastAsia"/>
        </w:rPr>
        <w:t>《区划方案》，</w:t>
      </w:r>
      <w:r>
        <w:rPr>
          <w:rFonts w:hint="eastAsia"/>
          <w:lang w:val="en-US" w:eastAsia="zh-CN"/>
        </w:rPr>
        <w:t>根据国家技术规范，</w:t>
      </w:r>
      <w:r>
        <w:rPr>
          <w:rFonts w:hint="eastAsia"/>
        </w:rPr>
        <w:t>现对《区划</w:t>
      </w:r>
      <w:r>
        <w:rPr>
          <w:rFonts w:hint="eastAsia"/>
          <w:lang w:val="en-US" w:eastAsia="zh-CN"/>
        </w:rPr>
        <w:t>方案</w:t>
      </w:r>
      <w:r>
        <w:rPr>
          <w:rFonts w:hint="eastAsia"/>
        </w:rPr>
        <w:t>》补充说明如下：</w:t>
      </w:r>
    </w:p>
    <w:p>
      <w:pPr>
        <w:ind w:firstLine="640" w:firstLineChars="200"/>
      </w:pPr>
      <w:r>
        <w:rPr>
          <w:rFonts w:hint="eastAsia"/>
        </w:rPr>
        <w:t>一、汕尾市乡村区域的的声环境质量要求，按《声环境质量标准》（GB3096-2008）中“7</w:t>
      </w:r>
      <w:r>
        <w:t xml:space="preserve">.2 </w:t>
      </w:r>
      <w:r>
        <w:rPr>
          <w:rFonts w:hint="eastAsia"/>
        </w:rPr>
        <w:t>乡村声环境功能的确定”的要求执行；</w:t>
      </w:r>
    </w:p>
    <w:p>
      <w:pPr>
        <w:ind w:firstLine="640" w:firstLineChars="200"/>
      </w:pPr>
      <w:r>
        <w:rPr>
          <w:rFonts w:hint="eastAsia"/>
        </w:rPr>
        <w:t>二、汕尾市部分高速</w:t>
      </w:r>
      <w:r>
        <w:rPr>
          <w:rFonts w:hint="eastAsia"/>
          <w:color w:val="000000"/>
        </w:rPr>
        <w:t>公路最早建于</w:t>
      </w:r>
      <w:r>
        <w:rPr>
          <w:color w:val="000000"/>
        </w:rPr>
        <w:t>1996</w:t>
      </w:r>
      <w:r>
        <w:rPr>
          <w:rFonts w:hint="eastAsia"/>
          <w:color w:val="000000"/>
        </w:rPr>
        <w:t>年，为双向四车道高速公路，自通车以来交通量增长迅速，部分路段目前饱和度已接近上限，因此</w:t>
      </w:r>
      <w:r>
        <w:rPr>
          <w:rFonts w:hint="eastAsia"/>
        </w:rPr>
        <w:t>综合考虑城市道路规划现状、噪声影响现状，明确汕尾市高速公路边界线外两侧的4a类区域的界定距离为：</w:t>
      </w:r>
    </w:p>
    <w:p>
      <w:pPr>
        <w:ind w:firstLine="640" w:firstLineChars="200"/>
      </w:pPr>
      <w:r>
        <w:rPr>
          <w:rFonts w:hint="eastAsia"/>
        </w:rPr>
        <w:t>a）相邻区域为1类声环境功能区，距离为5</w:t>
      </w:r>
      <w:r>
        <w:t>5</w:t>
      </w:r>
      <w:r>
        <w:rPr>
          <w:rFonts w:hint="eastAsia"/>
        </w:rPr>
        <w:t>m；</w:t>
      </w:r>
    </w:p>
    <w:p>
      <w:pPr>
        <w:ind w:firstLine="640" w:firstLineChars="200"/>
      </w:pPr>
      <w:r>
        <w:rPr>
          <w:rFonts w:hint="eastAsia"/>
        </w:rPr>
        <w:t>b）相邻区域为2类声环境功能区，距离为4</w:t>
      </w:r>
      <w:r>
        <w:t>0</w:t>
      </w:r>
      <w:r>
        <w:rPr>
          <w:rFonts w:hint="eastAsia"/>
        </w:rPr>
        <w:t>m；</w:t>
      </w:r>
    </w:p>
    <w:p>
      <w:pPr>
        <w:ind w:firstLine="640" w:firstLineChars="200"/>
      </w:pPr>
      <w:r>
        <w:rPr>
          <w:rFonts w:hint="eastAsia"/>
        </w:rPr>
        <w:t>c）相邻区域为3类声环境功能区，距离为2</w:t>
      </w:r>
      <w:r>
        <w:t>5</w:t>
      </w:r>
      <w:r>
        <w:rPr>
          <w:rFonts w:hint="eastAsia"/>
        </w:rPr>
        <w:t>m。”</w:t>
      </w:r>
    </w:p>
    <w:p>
      <w:pPr>
        <w:ind w:firstLine="640" w:firstLineChars="200"/>
      </w:pPr>
      <w:r>
        <w:rPr>
          <w:rFonts w:hint="eastAsia"/>
        </w:rPr>
        <w:t>三、由于铁路用地有其自身的用地范围，该范围并不是统一的定量数值，因此综合考虑汕尾市铁路用地范围，明确汕尾市铁路用地范围外两侧的4</w:t>
      </w:r>
      <w:r>
        <w:t>b</w:t>
      </w:r>
      <w:r>
        <w:rPr>
          <w:rFonts w:hint="eastAsia"/>
        </w:rPr>
        <w:t>类区域的界定距离为：</w:t>
      </w:r>
    </w:p>
    <w:p>
      <w:pPr>
        <w:widowControl/>
        <w:spacing w:line="240" w:lineRule="auto"/>
        <w:jc w:val="left"/>
        <w:rPr>
          <w:rFonts w:ascii="宋体" w:hAnsi="宋体" w:eastAsia="宋体" w:cs="宋体"/>
          <w:kern w:val="0"/>
          <w:sz w:val="24"/>
        </w:rPr>
      </w:pPr>
    </w:p>
    <w:p>
      <w:pPr>
        <w:ind w:firstLine="640" w:firstLineChars="200"/>
      </w:pPr>
      <w:r>
        <w:rPr>
          <w:rFonts w:hint="eastAsia"/>
        </w:rPr>
        <w:t>a）相邻区域为1类声环境功能区，距离为5</w:t>
      </w:r>
      <w:r>
        <w:t>5</w:t>
      </w:r>
      <w:r>
        <w:rPr>
          <w:rFonts w:hint="eastAsia"/>
        </w:rPr>
        <w:t>m；</w:t>
      </w:r>
    </w:p>
    <w:p>
      <w:pPr>
        <w:ind w:firstLine="640" w:firstLineChars="200"/>
      </w:pPr>
      <w:r>
        <w:rPr>
          <w:rFonts w:hint="eastAsia"/>
        </w:rPr>
        <w:t>b）相邻区域为2类声环境功能区，距离为4</w:t>
      </w:r>
      <w:r>
        <w:t>0</w:t>
      </w:r>
      <w:r>
        <w:rPr>
          <w:rFonts w:hint="eastAsia"/>
        </w:rPr>
        <w:t>m；</w:t>
      </w:r>
    </w:p>
    <w:p>
      <w:pPr>
        <w:ind w:firstLine="640" w:firstLineChars="200"/>
      </w:pPr>
      <w:r>
        <w:rPr>
          <w:rFonts w:hint="eastAsia"/>
        </w:rPr>
        <w:t>c）相邻区域为3类声环境功能区，距离为2</w:t>
      </w:r>
      <w:r>
        <w:t>5</w:t>
      </w:r>
      <w:r>
        <w:rPr>
          <w:rFonts w:hint="eastAsia"/>
        </w:rPr>
        <w:t>m。”</w:t>
      </w:r>
    </w:p>
    <w:p>
      <w:pPr>
        <w:ind w:firstLine="640" w:firstLineChars="200"/>
      </w:pPr>
      <w:r>
        <w:rPr>
          <w:rFonts w:hint="eastAsia"/>
        </w:rPr>
        <w:t>此外，现有铁路厦深铁路的环境影响报告书于2007年通过批复，为既有铁路；广州至汕尾铁路、汕尾至汕头铁路为新建铁路，铁路建设施工期间不设置4类声环境功能区，建成营运后按4b类声环境功能区执行。</w:t>
      </w:r>
    </w:p>
    <w:p>
      <w:pPr>
        <w:ind w:firstLine="640" w:firstLineChars="200"/>
      </w:pPr>
      <w:commentRangeStart w:id="0"/>
      <w:r>
        <w:rPr>
          <w:rFonts w:hint="eastAsia"/>
        </w:rPr>
        <w:t>四、补充明确交通服务区声环境功能区类别：</w:t>
      </w:r>
      <w:commentRangeEnd w:id="0"/>
      <w:r>
        <w:rPr>
          <w:rStyle w:val="12"/>
        </w:rPr>
        <w:commentReference w:id="0"/>
      </w:r>
    </w:p>
    <w:tbl>
      <w:tblPr>
        <w:tblStyle w:val="15"/>
        <w:tblW w:w="5291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57" w:type="dxa"/>
          <w:bottom w:w="0" w:type="dxa"/>
          <w:right w:w="57" w:type="dxa"/>
        </w:tblCellMar>
      </w:tblPr>
      <w:tblGrid>
        <w:gridCol w:w="837"/>
        <w:gridCol w:w="3067"/>
        <w:gridCol w:w="1531"/>
        <w:gridCol w:w="1531"/>
        <w:gridCol w:w="194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blHeader/>
          <w:jc w:val="center"/>
        </w:trPr>
        <w:tc>
          <w:tcPr>
            <w:tcW w:w="470" w:type="pct"/>
            <w:tcBorders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wordWrap/>
              <w:snapToGrid w:val="0"/>
              <w:spacing w:before="0" w:beforeLines="0" w:beforeAutospacing="0" w:after="0" w:afterLines="0" w:afterAutospacing="0"/>
              <w:ind w:left="0" w:leftChars="0" w:right="0" w:rightChars="0" w:firstLine="0" w:firstLineChars="0"/>
              <w:contextualSpacing w:val="0"/>
              <w:jc w:val="center"/>
              <w:rPr>
                <w:b/>
                <w:i w:val="0"/>
                <w:kern w:val="0"/>
              </w:rPr>
            </w:pPr>
            <w:bookmarkStart w:id="0" w:name="_Hlk146631615"/>
            <w:r>
              <w:rPr>
                <w:rFonts w:hint="eastAsia"/>
                <w:b/>
                <w:i w:val="0"/>
                <w:kern w:val="0"/>
              </w:rPr>
              <w:t>编号</w:t>
            </w:r>
          </w:p>
        </w:tc>
        <w:tc>
          <w:tcPr>
            <w:tcW w:w="1721" w:type="pct"/>
            <w:tcBorders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wordWrap/>
              <w:snapToGrid w:val="0"/>
              <w:spacing w:before="0" w:beforeLines="0" w:beforeAutospacing="0" w:after="0" w:afterLines="0" w:afterAutospacing="0"/>
              <w:ind w:left="0" w:leftChars="0" w:right="0" w:rightChars="0" w:firstLine="0" w:firstLineChars="0"/>
              <w:contextualSpacing w:val="0"/>
              <w:jc w:val="center"/>
              <w:rPr>
                <w:b/>
                <w:i w:val="0"/>
                <w:kern w:val="0"/>
              </w:rPr>
            </w:pPr>
            <w:r>
              <w:rPr>
                <w:rFonts w:hint="eastAsia"/>
                <w:b/>
                <w:i w:val="0"/>
                <w:kern w:val="0"/>
              </w:rPr>
              <w:t>名称</w:t>
            </w:r>
          </w:p>
        </w:tc>
        <w:tc>
          <w:tcPr>
            <w:tcW w:w="859" w:type="pct"/>
            <w:tcBorders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wordWrap/>
              <w:snapToGrid w:val="0"/>
              <w:spacing w:before="0" w:beforeLines="0" w:beforeAutospacing="0" w:after="0" w:afterLines="0" w:afterAutospacing="0"/>
              <w:ind w:left="0" w:leftChars="0" w:right="0" w:rightChars="0" w:firstLine="0" w:firstLineChars="0"/>
              <w:contextualSpacing w:val="0"/>
              <w:jc w:val="center"/>
              <w:rPr>
                <w:b/>
                <w:i w:val="0"/>
                <w:kern w:val="0"/>
              </w:rPr>
            </w:pPr>
            <w:r>
              <w:rPr>
                <w:rFonts w:hint="eastAsia"/>
                <w:b/>
                <w:i w:val="0"/>
                <w:kern w:val="0"/>
              </w:rPr>
              <w:t>交通服务区类型</w:t>
            </w:r>
          </w:p>
        </w:tc>
        <w:tc>
          <w:tcPr>
            <w:tcW w:w="859" w:type="pct"/>
            <w:tcBorders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wordWrap/>
              <w:snapToGrid w:val="0"/>
              <w:spacing w:before="0" w:beforeLines="0" w:beforeAutospacing="0" w:after="0" w:afterLines="0" w:afterAutospacing="0"/>
              <w:ind w:left="0" w:leftChars="0" w:right="0" w:rightChars="0" w:firstLine="0" w:firstLineChars="0"/>
              <w:contextualSpacing w:val="0"/>
              <w:jc w:val="center"/>
              <w:rPr>
                <w:b/>
                <w:i w:val="0"/>
                <w:kern w:val="0"/>
              </w:rPr>
            </w:pPr>
            <w:r>
              <w:rPr>
                <w:rFonts w:hint="eastAsia"/>
                <w:b/>
                <w:i w:val="0"/>
                <w:kern w:val="0"/>
              </w:rPr>
              <w:t>声环境功能区类别</w:t>
            </w:r>
          </w:p>
        </w:tc>
        <w:tc>
          <w:tcPr>
            <w:tcW w:w="1091" w:type="pct"/>
            <w:tcBorders>
              <w:bottom w:val="single" w:color="auto" w:sz="4" w:space="0"/>
              <w:insideH w:val="single" w:sz="4" w:space="0"/>
            </w:tcBorders>
            <w:vAlign w:val="center"/>
          </w:tcPr>
          <w:p>
            <w:pPr>
              <w:wordWrap/>
              <w:snapToGrid w:val="0"/>
              <w:spacing w:before="0" w:beforeLines="0" w:beforeAutospacing="0" w:after="0" w:afterLines="0" w:afterAutospacing="0"/>
              <w:ind w:left="0" w:leftChars="0" w:right="0" w:rightChars="0" w:firstLine="0" w:firstLineChars="0"/>
              <w:contextualSpacing w:val="0"/>
              <w:jc w:val="center"/>
              <w:rPr>
                <w:b/>
                <w:i w:val="0"/>
                <w:kern w:val="0"/>
              </w:rPr>
            </w:pPr>
            <w:r>
              <w:rPr>
                <w:rFonts w:hint="eastAsia"/>
                <w:b/>
                <w:i w:val="0"/>
                <w:kern w:val="0"/>
              </w:rPr>
              <w:t>所属区（县、市）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000" w:type="pct"/>
            <w:gridSpan w:val="5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高速公路服务区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兴汕高速-可塘服务区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高速公路服务区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潮惠高速-陆河服务区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高速公路服务区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陆河县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000" w:type="pct"/>
            <w:gridSpan w:val="5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汕尾粤运汽车总站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汕尾市霞洋汽车客运站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/>
              <w:jc w:val="center"/>
              <w:rPr>
                <w:kern w:val="2"/>
              </w:rPr>
            </w:pPr>
            <w:r>
              <w:rPr>
                <w:rFonts w:hint="eastAsia"/>
                <w:kern w:val="0"/>
              </w:rPr>
              <w:t>汕尾市马宫客运站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/>
              <w:jc w:val="center"/>
              <w:rPr>
                <w:kern w:val="2"/>
              </w:rPr>
            </w:pPr>
            <w:r>
              <w:rPr>
                <w:rFonts w:hint="eastAsia"/>
                <w:kern w:val="0"/>
              </w:rPr>
              <w:t>汕尾市捷胜客运站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230" w:hRule="atLeast"/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lang w:val="en-US" w:eastAsia="zh-CN"/>
              </w:rPr>
              <w:t>海丰</w:t>
            </w:r>
            <w:r>
              <w:rPr>
                <w:rFonts w:hint="eastAsia"/>
                <w:kern w:val="0"/>
              </w:rPr>
              <w:t>粤运汽车总站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海丰县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/>
              <w:jc w:val="center"/>
              <w:rPr>
                <w:kern w:val="2"/>
              </w:rPr>
            </w:pPr>
            <w:r>
              <w:rPr>
                <w:rFonts w:hint="eastAsia"/>
                <w:kern w:val="0"/>
              </w:rPr>
              <w:t>汕尾市海丰南湖客运站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海丰县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/>
              <w:jc w:val="center"/>
              <w:rPr>
                <w:kern w:val="2"/>
              </w:rPr>
            </w:pPr>
            <w:r>
              <w:rPr>
                <w:rFonts w:hint="eastAsia"/>
                <w:kern w:val="0"/>
              </w:rPr>
              <w:t>汕尾市海丰云岭客运站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海丰县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汕尾市海丰公平长途客运车站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海丰县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汕尾市海丰海深汽运公司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海丰县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陆丰粤运汽车总站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陆丰南站汽车客运站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南塘汽车客运站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/>
              <w:jc w:val="center"/>
              <w:rPr>
                <w:kern w:val="2"/>
              </w:rPr>
            </w:pPr>
            <w:r>
              <w:rPr>
                <w:rFonts w:hint="eastAsia"/>
                <w:kern w:val="0"/>
              </w:rPr>
              <w:t>汕尾市陆河汽车客运站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公路客运站场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陆河县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000" w:type="pct"/>
            <w:gridSpan w:val="5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货运站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星都物流园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货运站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kern w:val="0"/>
              </w:rPr>
              <w:t>4a</w:t>
            </w:r>
          </w:p>
        </w:tc>
        <w:tc>
          <w:tcPr>
            <w:tcW w:w="1091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南塘物流园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货运站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kern w:val="0"/>
              </w:rPr>
              <w:t>4a</w:t>
            </w:r>
          </w:p>
        </w:tc>
        <w:tc>
          <w:tcPr>
            <w:tcW w:w="1091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甲子物流中心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货运站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</w:t>
            </w:r>
            <w:r>
              <w:rPr>
                <w:kern w:val="0"/>
              </w:rPr>
              <w:t>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000" w:type="pct"/>
            <w:gridSpan w:val="5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汕尾市城区客运码头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汕尾市联检码头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红海湾客运码头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汕尾市新港区白沙湖作业区码头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中广核陆丰海洋工程基地水工工程码头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乌坎码头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广东陆丰甲湖湾电厂配套码头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东海岸作业区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港口码头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4a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000" w:type="pct"/>
            <w:gridSpan w:val="5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城际轨道站场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000" w:type="pct"/>
            <w:gridSpan w:val="5"/>
            <w:vAlign w:val="center"/>
          </w:tcPr>
          <w:p>
            <w:pPr>
              <w:snapToGrid w:val="0"/>
              <w:spacing w:line="24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rFonts w:ascii="仿宋" w:hAnsi="仿宋"/>
                <w:color w:val="000000"/>
                <w:kern w:val="0"/>
                <w:szCs w:val="32"/>
              </w:rPr>
            </w:pPr>
            <w:r>
              <w:rPr>
                <w:rFonts w:hint="eastAsia" w:ascii="仿宋" w:hAnsi="仿宋"/>
                <w:color w:val="000000"/>
                <w:kern w:val="0"/>
                <w:szCs w:val="32"/>
              </w:rPr>
              <w:t>汕尾站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4b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城区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陆丰站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4b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海丰站*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4b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海丰县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陆丰南站*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4b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陆丰东站*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4b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470" w:type="pct"/>
            <w:vAlign w:val="center"/>
          </w:tcPr>
          <w:p>
            <w:pPr>
              <w:pStyle w:val="16"/>
              <w:numPr>
                <w:ilvl w:val="0"/>
                <w:numId w:val="1"/>
              </w:numPr>
              <w:snapToGrid w:val="0"/>
              <w:ind w:firstLineChars="0"/>
              <w:jc w:val="center"/>
              <w:rPr>
                <w:kern w:val="0"/>
              </w:rPr>
            </w:pPr>
          </w:p>
        </w:tc>
        <w:tc>
          <w:tcPr>
            <w:tcW w:w="1721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可塘站*</w:t>
            </w:r>
          </w:p>
        </w:tc>
        <w:tc>
          <w:tcPr>
            <w:tcW w:w="859" w:type="pct"/>
            <w:vAlign w:val="center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铁路站场</w:t>
            </w:r>
          </w:p>
        </w:tc>
        <w:tc>
          <w:tcPr>
            <w:tcW w:w="859" w:type="pct"/>
            <w:vAlign w:val="top"/>
          </w:tcPr>
          <w:p>
            <w:pPr>
              <w:snapToGrid w:val="0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4b</w:t>
            </w:r>
          </w:p>
        </w:tc>
        <w:tc>
          <w:tcPr>
            <w:tcW w:w="1091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/>
                <w:kern w:val="0"/>
              </w:rPr>
            </w:pPr>
            <w:r>
              <w:rPr>
                <w:rFonts w:hint="eastAsia"/>
                <w:kern w:val="0"/>
              </w:rPr>
              <w:t>陆丰市</w:t>
            </w:r>
          </w:p>
        </w:tc>
      </w:tr>
      <w:bookmarkEnd w:id="0"/>
    </w:tbl>
    <w:p>
      <w:pPr>
        <w:spacing w:before="240"/>
        <w:rPr>
          <w:sz w:val="24"/>
        </w:rPr>
      </w:pPr>
      <w:r>
        <w:rPr>
          <w:rFonts w:hint="eastAsia"/>
          <w:sz w:val="24"/>
        </w:rPr>
        <w:t>*注：海丰站、陆丰南站、陆丰东站、可塘站为国家在建铁路的规划站场，建设期间不设为4b类声功能区，正式运营后执行。</w:t>
      </w:r>
    </w:p>
    <w:p>
      <w:pPr>
        <w:spacing w:before="240"/>
        <w:rPr>
          <w:b/>
          <w:bCs/>
        </w:rPr>
      </w:pPr>
      <w:commentRangeStart w:id="1"/>
      <w:r>
        <w:rPr>
          <w:rFonts w:hint="eastAsia"/>
          <w:b/>
          <w:bCs/>
        </w:rPr>
        <w:t>附件：</w:t>
      </w:r>
      <w:commentRangeEnd w:id="1"/>
      <w:r>
        <w:rPr>
          <w:rStyle w:val="12"/>
        </w:rPr>
        <w:commentReference w:id="1"/>
      </w:r>
    </w:p>
    <w:p>
      <w:pPr>
        <w:spacing w:before="240"/>
        <w:rPr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bCs/>
        </w:rPr>
      </w:pPr>
    </w:p>
    <w:p>
      <w:pPr>
        <w:snapToGrid w:val="0"/>
        <w:rPr>
          <w:rFonts w:hint="eastAsia" w:eastAsia="仿宋"/>
          <w:lang w:eastAsia="zh-CN"/>
        </w:rPr>
      </w:pPr>
      <w:r>
        <w:rPr>
          <w:rFonts w:hint="eastAsia"/>
        </w:rPr>
        <w:t>附图1 汕尾市全市声环境功能区划分图</w:t>
      </w:r>
      <w:r>
        <w:rPr>
          <w:rFonts w:hint="eastAsia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不含深汕特别合作区</w:t>
      </w:r>
      <w:r>
        <w:rPr>
          <w:rFonts w:hint="eastAsia"/>
          <w:lang w:eastAsia="zh-CN"/>
        </w:rPr>
        <w:t>）</w:t>
      </w:r>
    </w:p>
    <w:p>
      <w:pPr>
        <w:snapToGrid w:val="0"/>
        <w:jc w:val="center"/>
      </w:pPr>
      <w:r>
        <w:drawing>
          <wp:inline distT="0" distB="0" distL="0" distR="0">
            <wp:extent cx="6291580" cy="4447540"/>
            <wp:effectExtent l="0" t="0" r="0" b="0"/>
            <wp:docPr id="1426146426" name="图片 5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46426" name="图片 5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37" cy="446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</w:pPr>
      <w:r>
        <w:br w:type="page"/>
      </w:r>
    </w:p>
    <w:p>
      <w:r>
        <w:rPr>
          <w:rFonts w:hint="eastAsia"/>
        </w:rPr>
        <w:t>附图2 汕尾市城区声环境功能区划分图</w:t>
      </w:r>
    </w:p>
    <w:p>
      <w:pPr>
        <w:jc w:val="center"/>
      </w:pPr>
      <w:r>
        <w:drawing>
          <wp:inline distT="0" distB="0" distL="0" distR="0">
            <wp:extent cx="6454775" cy="4564380"/>
            <wp:effectExtent l="0" t="0" r="3175" b="7620"/>
            <wp:docPr id="542206935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06935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234" cy="45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附图3 汕尾市海丰县声环境功能区划分图</w:t>
      </w:r>
      <w:r>
        <w:rPr>
          <w:rFonts w:hint="eastAsia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不含深汕特别合作区</w:t>
      </w:r>
      <w:r>
        <w:rPr>
          <w:rFonts w:hint="eastAsia"/>
          <w:lang w:eastAsia="zh-CN"/>
        </w:rPr>
        <w:t>）</w:t>
      </w:r>
    </w:p>
    <w:p>
      <w:pPr>
        <w:jc w:val="center"/>
      </w:pPr>
      <w:r>
        <w:drawing>
          <wp:inline distT="0" distB="0" distL="0" distR="0">
            <wp:extent cx="6563995" cy="4639945"/>
            <wp:effectExtent l="0" t="0" r="8255" b="8255"/>
            <wp:docPr id="1887934218" name="图片 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34218" name="图片 2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621" cy="46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br w:type="page"/>
      </w:r>
    </w:p>
    <w:p>
      <w:pPr>
        <w:jc w:val="left"/>
      </w:pPr>
      <w:r>
        <w:rPr>
          <w:rFonts w:hint="eastAsia"/>
        </w:rPr>
        <w:t>附图4 汕尾市陆河县声环境功能区划分图</w:t>
      </w:r>
    </w:p>
    <w:p>
      <w:pPr>
        <w:jc w:val="center"/>
      </w:pPr>
      <w:r>
        <w:drawing>
          <wp:inline distT="0" distB="0" distL="0" distR="0">
            <wp:extent cx="6610985" cy="4674870"/>
            <wp:effectExtent l="0" t="0" r="0" b="0"/>
            <wp:docPr id="1711238726" name="图片 4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38726" name="图片 4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09" cy="46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附图5 汕尾市陆丰市声环境功能区划分图</w:t>
      </w:r>
    </w:p>
    <w:p>
      <w:pPr>
        <w:jc w:val="center"/>
      </w:pPr>
      <w:r>
        <w:drawing>
          <wp:inline distT="0" distB="0" distL="0" distR="0">
            <wp:extent cx="6291580" cy="4446270"/>
            <wp:effectExtent l="0" t="0" r="0" b="0"/>
            <wp:docPr id="1072276887" name="图片 3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76887" name="图片 3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09" cy="445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435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" w:date="2023-09-11T16:26:00Z" w:initials="A">
    <w:p w14:paraId="3F523D8E">
      <w:pPr>
        <w:pStyle w:val="5"/>
      </w:pPr>
      <w:r>
        <w:rPr>
          <w:rFonts w:hint="eastAsia"/>
        </w:rPr>
        <w:t>获取汕尾市用地数据后进行确认</w:t>
      </w:r>
    </w:p>
  </w:comment>
  <w:comment w:id="1" w:author="A" w:date="2023-09-11T16:27:00Z" w:initials="A">
    <w:p w14:paraId="6C30419C">
      <w:pPr>
        <w:pStyle w:val="5"/>
      </w:pPr>
      <w:r>
        <w:rPr>
          <w:rFonts w:hint="eastAsia"/>
        </w:rPr>
        <w:t>补充公开区划图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F523D8E" w15:done="1"/>
  <w15:commentEx w15:paraId="6C30419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037ABF"/>
    <w:multiLevelType w:val="multilevel"/>
    <w:tmpl w:val="4F037ABF"/>
    <w:lvl w:ilvl="0" w:tentative="0">
      <w:start w:val="1"/>
      <w:numFmt w:val="decimal"/>
      <w:suff w:val="nothing"/>
      <w:lvlText w:val="%1."/>
      <w:lvlJc w:val="left"/>
      <w:pPr>
        <w:ind w:left="44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">
    <w15:presenceInfo w15:providerId="None" w15:userId="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E3M2Q2MzRlZGM4ZDU0N2U1ZjBkYTIxZTk4NzZlMDMifQ=="/>
  </w:docVars>
  <w:rsids>
    <w:rsidRoot w:val="0027497A"/>
    <w:rsid w:val="000B42D7"/>
    <w:rsid w:val="000B5376"/>
    <w:rsid w:val="000E4FF8"/>
    <w:rsid w:val="001228E7"/>
    <w:rsid w:val="001242F6"/>
    <w:rsid w:val="001A3AC8"/>
    <w:rsid w:val="001E0B5C"/>
    <w:rsid w:val="001E26E6"/>
    <w:rsid w:val="001E48DE"/>
    <w:rsid w:val="00226819"/>
    <w:rsid w:val="0027497A"/>
    <w:rsid w:val="0028788A"/>
    <w:rsid w:val="002E33F0"/>
    <w:rsid w:val="00333A8F"/>
    <w:rsid w:val="00343FEF"/>
    <w:rsid w:val="0040729B"/>
    <w:rsid w:val="0054756F"/>
    <w:rsid w:val="006F388C"/>
    <w:rsid w:val="007A3896"/>
    <w:rsid w:val="007C0D6C"/>
    <w:rsid w:val="00805957"/>
    <w:rsid w:val="008A09EC"/>
    <w:rsid w:val="008A50B9"/>
    <w:rsid w:val="008F5661"/>
    <w:rsid w:val="009109D6"/>
    <w:rsid w:val="009357E2"/>
    <w:rsid w:val="00993518"/>
    <w:rsid w:val="009D36CC"/>
    <w:rsid w:val="009F61B6"/>
    <w:rsid w:val="00A01027"/>
    <w:rsid w:val="00A175D9"/>
    <w:rsid w:val="00A57011"/>
    <w:rsid w:val="00AA62DE"/>
    <w:rsid w:val="00AA6ACA"/>
    <w:rsid w:val="00C1164D"/>
    <w:rsid w:val="00D63539"/>
    <w:rsid w:val="00DA5BE6"/>
    <w:rsid w:val="00DB0B5D"/>
    <w:rsid w:val="00E0492C"/>
    <w:rsid w:val="00E07F29"/>
    <w:rsid w:val="00EC05D7"/>
    <w:rsid w:val="00F61469"/>
    <w:rsid w:val="00F729B7"/>
    <w:rsid w:val="00FC2E10"/>
    <w:rsid w:val="01057174"/>
    <w:rsid w:val="014A102B"/>
    <w:rsid w:val="03200295"/>
    <w:rsid w:val="04E87D91"/>
    <w:rsid w:val="09207EA3"/>
    <w:rsid w:val="0DA9050B"/>
    <w:rsid w:val="118A043A"/>
    <w:rsid w:val="12696E37"/>
    <w:rsid w:val="146D70B2"/>
    <w:rsid w:val="15A66F15"/>
    <w:rsid w:val="15CC605B"/>
    <w:rsid w:val="18EF1850"/>
    <w:rsid w:val="1A7B01B2"/>
    <w:rsid w:val="1E305E9B"/>
    <w:rsid w:val="1FCB7383"/>
    <w:rsid w:val="22644544"/>
    <w:rsid w:val="22F56C5F"/>
    <w:rsid w:val="236C5BC2"/>
    <w:rsid w:val="24637B8A"/>
    <w:rsid w:val="27BA1EC0"/>
    <w:rsid w:val="2A4D5B3D"/>
    <w:rsid w:val="2B807273"/>
    <w:rsid w:val="2C0F23A5"/>
    <w:rsid w:val="2C354361"/>
    <w:rsid w:val="2CD930DF"/>
    <w:rsid w:val="2D542766"/>
    <w:rsid w:val="2E0D711A"/>
    <w:rsid w:val="2ED42BAB"/>
    <w:rsid w:val="335E433E"/>
    <w:rsid w:val="34012F1B"/>
    <w:rsid w:val="35EA010B"/>
    <w:rsid w:val="3AB31E12"/>
    <w:rsid w:val="3C170DA5"/>
    <w:rsid w:val="3D2F4655"/>
    <w:rsid w:val="3F7D78FA"/>
    <w:rsid w:val="426254CD"/>
    <w:rsid w:val="43AF64F0"/>
    <w:rsid w:val="486378A9"/>
    <w:rsid w:val="4BC5385B"/>
    <w:rsid w:val="4C856040"/>
    <w:rsid w:val="4DD9022E"/>
    <w:rsid w:val="4FAC6CE1"/>
    <w:rsid w:val="545C3B2A"/>
    <w:rsid w:val="562C577E"/>
    <w:rsid w:val="58CD1630"/>
    <w:rsid w:val="59205A6E"/>
    <w:rsid w:val="5E563FA0"/>
    <w:rsid w:val="60BB7E2A"/>
    <w:rsid w:val="61B55913"/>
    <w:rsid w:val="61BE6E88"/>
    <w:rsid w:val="6389793D"/>
    <w:rsid w:val="63E4549D"/>
    <w:rsid w:val="64E02555"/>
    <w:rsid w:val="65D24D1E"/>
    <w:rsid w:val="68295FC1"/>
    <w:rsid w:val="6ED36C87"/>
    <w:rsid w:val="705020FD"/>
    <w:rsid w:val="71B11502"/>
    <w:rsid w:val="75823513"/>
    <w:rsid w:val="759A5E6F"/>
    <w:rsid w:val="762F35D5"/>
    <w:rsid w:val="7BE17726"/>
    <w:rsid w:val="7C296138"/>
    <w:rsid w:val="7EC173C8"/>
    <w:rsid w:val="7FAE7739"/>
    <w:rsid w:val="7FB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1"/>
    <w:next w:val="1"/>
    <w:link w:val="13"/>
    <w:qFormat/>
    <w:uiPriority w:val="9"/>
    <w:pPr>
      <w:keepNext/>
      <w:keepLines/>
      <w:spacing w:before="240"/>
      <w:outlineLvl w:val="0"/>
    </w:pPr>
    <w:rPr>
      <w:rFonts w:ascii="Times New Roman" w:hAnsi="Times New Roman" w:eastAsia="宋体" w:cstheme="minorBidi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14"/>
    <w:unhideWhenUsed/>
    <w:qFormat/>
    <w:uiPriority w:val="9"/>
    <w:pPr>
      <w:keepNext/>
      <w:keepLines/>
      <w:spacing w:before="240"/>
      <w:outlineLvl w:val="1"/>
    </w:pPr>
    <w:rPr>
      <w:rFonts w:ascii="Times New Roman" w:hAnsi="Times New Roman" w:eastAsia="宋体" w:cstheme="majorBidi"/>
      <w:b/>
      <w:bCs/>
      <w:kern w:val="2"/>
      <w:sz w:val="30"/>
      <w:szCs w:val="3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next w:val="1"/>
    <w:unhideWhenUsed/>
    <w:qFormat/>
    <w:uiPriority w:val="35"/>
    <w:pPr>
      <w:widowControl w:val="0"/>
      <w:snapToGrid w:val="0"/>
      <w:spacing w:before="50" w:beforeLines="50"/>
      <w:jc w:val="center"/>
      <w:outlineLvl w:val="3"/>
    </w:pPr>
    <w:rPr>
      <w:rFonts w:ascii="Times New Roman" w:hAnsi="Times New Roman" w:eastAsia="仿宋" w:cstheme="majorBidi"/>
      <w:b/>
      <w:kern w:val="2"/>
      <w:sz w:val="28"/>
      <w:szCs w:val="20"/>
      <w:lang w:val="en-US" w:eastAsia="zh-CN" w:bidi="ar-SA"/>
    </w:rPr>
  </w:style>
  <w:style w:type="paragraph" w:styleId="5">
    <w:name w:val="annotation text"/>
    <w:basedOn w:val="1"/>
    <w:link w:val="17"/>
    <w:unhideWhenUsed/>
    <w:qFormat/>
    <w:uiPriority w:val="99"/>
    <w:pPr>
      <w:jc w:val="left"/>
    </w:p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8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标题 1 字符"/>
    <w:basedOn w:val="11"/>
    <w:link w:val="2"/>
    <w:qFormat/>
    <w:uiPriority w:val="9"/>
    <w:rPr>
      <w:rFonts w:ascii="Times New Roman" w:hAnsi="Times New Roman" w:eastAsia="宋体"/>
      <w:b/>
      <w:bCs/>
      <w:kern w:val="44"/>
      <w:sz w:val="32"/>
      <w:szCs w:val="44"/>
    </w:rPr>
  </w:style>
  <w:style w:type="character" w:customStyle="1" w:styleId="14">
    <w:name w:val="标题 2 字符"/>
    <w:basedOn w:val="11"/>
    <w:link w:val="3"/>
    <w:qFormat/>
    <w:uiPriority w:val="9"/>
    <w:rPr>
      <w:rFonts w:ascii="Times New Roman" w:hAnsi="Times New Roman" w:eastAsia="宋体" w:cstheme="majorBidi"/>
      <w:b/>
      <w:bCs/>
      <w:sz w:val="30"/>
      <w:szCs w:val="32"/>
    </w:rPr>
  </w:style>
  <w:style w:type="table" w:customStyle="1" w:styleId="15">
    <w:name w:val="网格型1"/>
    <w:basedOn w:val="9"/>
    <w:qFormat/>
    <w:uiPriority w:val="0"/>
    <w:pPr>
      <w:widowControl w:val="0"/>
      <w:snapToGrid w:val="0"/>
      <w:jc w:val="center"/>
    </w:pPr>
    <w:rPr>
      <w:rFonts w:ascii="Times New Roman" w:hAnsi="Times New Roman" w:eastAsia="仿宋" w:cs="Times New Roman"/>
      <w:kern w:val="0"/>
      <w:sz w:val="28"/>
      <w:szCs w:val="20"/>
    </w:rPr>
    <w:tblPr>
      <w:jc w:val="center"/>
      <w:tblBorders>
        <w:top w:val="single" w:color="auto" w:sz="12" w:space="0"/>
        <w:bottom w:val="single" w:color="auto" w:sz="12" w:space="0"/>
      </w:tblBorders>
      <w:tblCellMar>
        <w:left w:w="57" w:type="dxa"/>
        <w:right w:w="57" w:type="dxa"/>
      </w:tblCellMar>
    </w:tblPr>
    <w:trPr>
      <w:jc w:val="center"/>
    </w:trPr>
    <w:tcPr>
      <w:vAlign w:val="center"/>
    </w:tcPr>
    <w:tblStylePr w:type="firstRow">
      <w:pPr>
        <w:wordWrap/>
        <w:snapToGrid w:val="0"/>
        <w:spacing w:before="0" w:beforeLines="0" w:beforeAutospacing="0" w:after="0" w:afterLines="0" w:afterAutospacing="0" w:line="240" w:lineRule="auto"/>
        <w:ind w:left="0" w:leftChars="0" w:right="0" w:rightChars="0" w:firstLine="0" w:firstLineChars="0"/>
        <w:contextualSpacing w:val="0"/>
        <w:jc w:val="center"/>
      </w:pPr>
      <w:rPr>
        <w:rFonts w:ascii="Times New Roman" w:hAnsi="Times New Roman" w:eastAsia="仿宋"/>
        <w:b/>
        <w:i w:val="0"/>
        <w:sz w:val="28"/>
      </w:rPr>
      <w:tcPr>
        <w:tcBorders>
          <w:bottom w:val="single" w:color="auto" w:sz="4" w:space="0"/>
        </w:tcBorders>
      </w:tcPr>
    </w:tblStyle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文字 字符"/>
    <w:basedOn w:val="11"/>
    <w:link w:val="5"/>
    <w:qFormat/>
    <w:uiPriority w:val="99"/>
    <w:rPr>
      <w:rFonts w:ascii="Times New Roman" w:hAnsi="Times New Roman" w:eastAsia="仿宋" w:cs="Times New Roman"/>
      <w:sz w:val="32"/>
      <w:szCs w:val="24"/>
    </w:rPr>
  </w:style>
  <w:style w:type="character" w:customStyle="1" w:styleId="18">
    <w:name w:val="批注主题 字符"/>
    <w:basedOn w:val="17"/>
    <w:link w:val="8"/>
    <w:semiHidden/>
    <w:qFormat/>
    <w:uiPriority w:val="99"/>
    <w:rPr>
      <w:rFonts w:ascii="Times New Roman" w:hAnsi="Times New Roman" w:eastAsia="仿宋" w:cs="Times New Roman"/>
      <w:b/>
      <w:bCs/>
      <w:sz w:val="32"/>
      <w:szCs w:val="24"/>
    </w:rPr>
  </w:style>
  <w:style w:type="character" w:customStyle="1" w:styleId="19">
    <w:name w:val="页眉 字符"/>
    <w:basedOn w:val="11"/>
    <w:link w:val="7"/>
    <w:qFormat/>
    <w:uiPriority w:val="99"/>
    <w:rPr>
      <w:rFonts w:ascii="Times New Roman" w:hAnsi="Times New Roman" w:eastAsia="仿宋" w:cs="Times New Roman"/>
      <w:sz w:val="18"/>
      <w:szCs w:val="18"/>
    </w:rPr>
  </w:style>
  <w:style w:type="character" w:customStyle="1" w:styleId="20">
    <w:name w:val="页脚 字符"/>
    <w:basedOn w:val="11"/>
    <w:link w:val="6"/>
    <w:qFormat/>
    <w:uiPriority w:val="99"/>
    <w:rPr>
      <w:rFonts w:ascii="Times New Roman" w:hAnsi="Times New Roman" w:eastAsia="仿宋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249</Words>
  <Characters>1424</Characters>
  <Lines>11</Lines>
  <Paragraphs>3</Paragraphs>
  <TotalTime>40</TotalTime>
  <ScaleCrop>false</ScaleCrop>
  <LinksUpToDate>false</LinksUpToDate>
  <CharactersWithSpaces>1670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2023-09-11T02:35:00Z</dcterms:created>
  <dc:creator>A</dc:creator>
  <cp:lastModifiedBy>yorkenchan</cp:lastModifiedBy>
  <cp:lastPrinted>2023-09-28T02:02:00Z</cp:lastPrinted>
  <dcterms:modified xsi:type="dcterms:W3CDTF">2023-10-24T09:29:13Z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2B2BBE77047241BB87363E5B79B2B310_12</vt:lpwstr>
  </property>
</Properties>
</file>