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关于做大金融总量提高存贷款水平</w:t>
      </w:r>
    </w:p>
    <w:p>
      <w:pPr>
        <w:keepNext w:val="0"/>
        <w:keepLines w:val="0"/>
        <w:pageBreakBefore w:val="0"/>
        <w:widowControl w:val="0"/>
        <w:kinsoku/>
        <w:wordWrap/>
        <w:overflowPunct/>
        <w:topLinePunct w:val="0"/>
        <w:autoSpaceDE/>
        <w:autoSpaceDN/>
        <w:bidi w:val="0"/>
        <w:adjustRightInd w:val="0"/>
        <w:snapToGrid w:val="0"/>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的行动方案</w:t>
      </w:r>
    </w:p>
    <w:p>
      <w:pPr>
        <w:pStyle w:val="2"/>
        <w:keepNext w:val="0"/>
        <w:keepLines w:val="0"/>
        <w:pageBreakBefore w:val="0"/>
        <w:widowControl w:val="0"/>
        <w:kinsoku/>
        <w:wordWrap/>
        <w:overflowPunct/>
        <w:topLinePunct w:val="0"/>
        <w:autoSpaceDE/>
        <w:autoSpaceDN/>
        <w:bidi w:val="0"/>
        <w:adjustRightInd w:val="0"/>
        <w:snapToGrid w:val="0"/>
        <w:spacing w:line="700" w:lineRule="exact"/>
        <w:ind w:left="0" w:leftChars="0" w:firstLine="0" w:firstLineChars="0"/>
        <w:jc w:val="center"/>
        <w:textAlignment w:val="auto"/>
        <w:rPr>
          <w:rFonts w:hint="eastAsia" w:ascii="楷体" w:hAnsi="楷体" w:eastAsia="楷体" w:cs="楷体"/>
          <w:lang w:val="en-US" w:eastAsia="zh-CN"/>
        </w:rPr>
      </w:pPr>
      <w:r>
        <w:rPr>
          <w:rFonts w:hint="eastAsia" w:ascii="楷体" w:hAnsi="楷体" w:eastAsia="楷体" w:cs="楷体"/>
          <w:lang w:val="en-US" w:eastAsia="zh-CN"/>
        </w:rPr>
        <w:t>（征求意见稿）</w:t>
      </w:r>
    </w:p>
    <w:p>
      <w:pPr>
        <w:keepNext w:val="0"/>
        <w:keepLines w:val="0"/>
        <w:pageBreakBefore w:val="0"/>
        <w:widowControl w:val="0"/>
        <w:kinsoku/>
        <w:wordWrap/>
        <w:overflowPunct/>
        <w:topLinePunct w:val="0"/>
        <w:autoSpaceDE/>
        <w:autoSpaceDN/>
        <w:bidi w:val="0"/>
        <w:adjustRightInd w:val="0"/>
        <w:snapToGrid w:val="0"/>
        <w:spacing w:line="620" w:lineRule="exact"/>
        <w:ind w:left="0" w:leftChars="0" w:firstLine="640"/>
        <w:jc w:val="both"/>
        <w:textAlignment w:val="auto"/>
        <w:rPr>
          <w:rFonts w:hint="eastAsia" w:ascii="仿宋_GB2312" w:hAnsi="仿宋_GB2312" w:cs="仿宋_GB2312"/>
          <w:lang w:val="en-US" w:eastAsia="zh-CN"/>
        </w:rPr>
      </w:pPr>
      <w:r>
        <w:rPr>
          <w:rFonts w:hint="eastAsia" w:ascii="仿宋_GB2312" w:hAnsi="仿宋_GB2312" w:cs="仿宋_GB2312"/>
          <w:lang w:val="en-US" w:eastAsia="zh-CN"/>
        </w:rPr>
        <w:t>为</w:t>
      </w:r>
      <w:r>
        <w:rPr>
          <w:rFonts w:hint="eastAsia" w:ascii="仿宋_GB2312"/>
          <w:bCs/>
          <w:szCs w:val="32"/>
        </w:rPr>
        <w:t>进一步贯彻落实习近平总书记关于金融工作的重要论述，围绕“服务实体经济、深化金融改革、防控金融风险”三大任务，</w:t>
      </w:r>
      <w:r>
        <w:rPr>
          <w:rFonts w:hint="eastAsia" w:ascii="仿宋_GB2312" w:hAnsi="仿宋_GB2312" w:cs="仿宋_GB2312"/>
          <w:lang w:val="en-US" w:eastAsia="zh-CN"/>
        </w:rPr>
        <w:t>落实《2020-2022年汕尾市深化金融改革推动经济社会高质量发展工作方案》，根据2021年市委财经委第二次会议精神，聚焦做大我市金融总量，推动金融业提质增效，促进我市经济社会高质量发展。制定本行动方案。</w:t>
      </w:r>
    </w:p>
    <w:p>
      <w:pPr>
        <w:keepNext w:val="0"/>
        <w:keepLines w:val="0"/>
        <w:pageBreakBefore w:val="0"/>
        <w:widowControl w:val="0"/>
        <w:tabs>
          <w:tab w:val="left" w:pos="5400"/>
        </w:tabs>
        <w:kinsoku/>
        <w:wordWrap/>
        <w:overflowPunct/>
        <w:topLinePunct w:val="0"/>
        <w:autoSpaceDE/>
        <w:autoSpaceDN/>
        <w:bidi w:val="0"/>
        <w:adjustRightInd w:val="0"/>
        <w:snapToGrid w:val="0"/>
        <w:spacing w:line="620" w:lineRule="exact"/>
        <w:ind w:left="0" w:leftChars="0" w:firstLine="640" w:firstLineChars="200"/>
        <w:jc w:val="both"/>
        <w:textAlignment w:val="auto"/>
        <w:rPr>
          <w:rFonts w:eastAsia="黑体"/>
          <w:sz w:val="32"/>
          <w:szCs w:val="32"/>
        </w:rPr>
      </w:pPr>
      <w:r>
        <w:rPr>
          <w:rFonts w:eastAsia="黑体"/>
          <w:sz w:val="32"/>
          <w:szCs w:val="32"/>
        </w:rPr>
        <w:t>一、指导思想</w:t>
      </w:r>
      <w:r>
        <w:rPr>
          <w:rFonts w:eastAsia="黑体"/>
          <w:sz w:val="32"/>
          <w:szCs w:val="32"/>
        </w:rPr>
        <w:tab/>
      </w:r>
    </w:p>
    <w:p>
      <w:pPr>
        <w:keepNext w:val="0"/>
        <w:keepLines w:val="0"/>
        <w:pageBreakBefore w:val="0"/>
        <w:widowControl w:val="0"/>
        <w:tabs>
          <w:tab w:val="left" w:pos="3450"/>
        </w:tabs>
        <w:kinsoku/>
        <w:wordWrap/>
        <w:overflowPunct/>
        <w:topLinePunct w:val="0"/>
        <w:autoSpaceDE/>
        <w:autoSpaceDN/>
        <w:bidi w:val="0"/>
        <w:adjustRightInd w:val="0"/>
        <w:snapToGrid w:val="0"/>
        <w:spacing w:line="620" w:lineRule="exact"/>
        <w:ind w:left="0" w:leftChars="0" w:firstLine="640" w:firstLineChars="200"/>
        <w:jc w:val="both"/>
        <w:textAlignment w:val="auto"/>
        <w:rPr>
          <w:rFonts w:hint="eastAsia" w:eastAsia="仿宋_GB2312"/>
          <w:sz w:val="32"/>
          <w:szCs w:val="32"/>
          <w:shd w:val="clear" w:color="auto" w:fill="FFFFFF"/>
        </w:rPr>
      </w:pPr>
      <w:r>
        <w:rPr>
          <w:rFonts w:eastAsia="仿宋_GB2312"/>
          <w:sz w:val="32"/>
          <w:szCs w:val="32"/>
          <w:shd w:val="clear" w:color="auto" w:fill="FFFFFF"/>
        </w:rPr>
        <w:t>坚持以习近平新时代中国特色社会主义思想为指导，</w:t>
      </w:r>
      <w:bookmarkStart w:id="0" w:name="_GoBack"/>
      <w:bookmarkEnd w:id="0"/>
      <w:r>
        <w:rPr>
          <w:rFonts w:hint="eastAsia"/>
          <w:b w:val="0"/>
          <w:bCs w:val="0"/>
          <w:color w:val="auto"/>
          <w:szCs w:val="32"/>
        </w:rPr>
        <w:t>深入贯彻落实习近平总书记对广东重要讲话和重要指示批示精神，</w:t>
      </w:r>
      <w:r>
        <w:rPr>
          <w:rFonts w:hint="eastAsia"/>
          <w:sz w:val="32"/>
          <w:szCs w:val="32"/>
          <w:shd w:val="clear" w:color="auto" w:fill="FFFFFF"/>
          <w:lang w:val="en-US" w:eastAsia="zh-CN"/>
        </w:rPr>
        <w:t>对照</w:t>
      </w:r>
      <w:r>
        <w:rPr>
          <w:rFonts w:eastAsia="仿宋_GB2312"/>
          <w:sz w:val="32"/>
          <w:szCs w:val="32"/>
          <w:shd w:val="clear" w:color="auto" w:fill="FFFFFF"/>
        </w:rPr>
        <w:t>省委</w:t>
      </w:r>
      <w:r>
        <w:rPr>
          <w:rFonts w:hint="eastAsia" w:eastAsia="仿宋_GB2312"/>
          <w:sz w:val="32"/>
          <w:szCs w:val="32"/>
          <w:shd w:val="clear" w:color="auto" w:fill="FFFFFF"/>
        </w:rPr>
        <w:t>“</w:t>
      </w:r>
      <w:r>
        <w:rPr>
          <w:rFonts w:hint="eastAsia"/>
          <w:sz w:val="32"/>
          <w:szCs w:val="32"/>
          <w:shd w:val="clear" w:color="auto" w:fill="FFFFFF"/>
          <w:lang w:val="en-US" w:eastAsia="zh-CN"/>
        </w:rPr>
        <w:t>1+1+9</w:t>
      </w:r>
      <w:r>
        <w:rPr>
          <w:rFonts w:hint="eastAsia" w:eastAsia="仿宋_GB2312"/>
          <w:sz w:val="32"/>
          <w:szCs w:val="32"/>
          <w:shd w:val="clear" w:color="auto" w:fill="FFFFFF"/>
        </w:rPr>
        <w:t>”</w:t>
      </w:r>
      <w:r>
        <w:rPr>
          <w:rFonts w:hint="eastAsia"/>
          <w:sz w:val="32"/>
          <w:szCs w:val="32"/>
          <w:shd w:val="clear" w:color="auto" w:fill="FFFFFF"/>
          <w:lang w:val="en-US" w:eastAsia="zh-CN"/>
        </w:rPr>
        <w:t>部署</w:t>
      </w:r>
      <w:r>
        <w:rPr>
          <w:rFonts w:eastAsia="仿宋_GB2312"/>
          <w:sz w:val="32"/>
          <w:szCs w:val="32"/>
          <w:shd w:val="clear" w:color="auto" w:fill="FFFFFF"/>
        </w:rPr>
        <w:t>要求，</w:t>
      </w:r>
      <w:r>
        <w:rPr>
          <w:rFonts w:hint="eastAsia" w:ascii="仿宋_GB2312" w:hAnsi="仿宋_GB2312" w:cs="仿宋_GB2312"/>
          <w:szCs w:val="32"/>
        </w:rPr>
        <w:t>抓住粤港澳大湾区和深圳先行示范区“双区驱动”历史性机遇，以“核</w:t>
      </w:r>
      <w:r>
        <w:rPr>
          <w:rFonts w:hint="eastAsia" w:ascii="仿宋_GB2312" w:hAnsi="仿宋_GB2312" w:cs="仿宋_GB2312"/>
          <w:szCs w:val="32"/>
          <w:lang w:val="en-US" w:eastAsia="zh-CN"/>
        </w:rPr>
        <w:t>+</w:t>
      </w:r>
      <w:r>
        <w:rPr>
          <w:rFonts w:hint="eastAsia" w:ascii="仿宋_GB2312" w:hAnsi="仿宋_GB2312" w:cs="仿宋_GB2312"/>
          <w:szCs w:val="32"/>
        </w:rPr>
        <w:t>带</w:t>
      </w:r>
      <w:r>
        <w:rPr>
          <w:rFonts w:hint="eastAsia" w:ascii="仿宋_GB2312" w:hAnsi="仿宋_GB2312" w:cs="仿宋_GB2312"/>
          <w:szCs w:val="32"/>
          <w:lang w:val="en-US" w:eastAsia="zh-CN"/>
        </w:rPr>
        <w:t>+</w:t>
      </w:r>
      <w:r>
        <w:rPr>
          <w:rFonts w:hint="eastAsia" w:ascii="仿宋_GB2312" w:hAnsi="仿宋_GB2312" w:cs="仿宋_GB2312"/>
          <w:szCs w:val="32"/>
        </w:rPr>
        <w:t>区”</w:t>
      </w:r>
      <w:r>
        <w:rPr>
          <w:rFonts w:hint="eastAsia" w:ascii="仿宋_GB2312" w:hAnsi="仿宋_GB2312" w:cs="仿宋_GB2312"/>
          <w:szCs w:val="32"/>
          <w:lang w:val="en-US" w:eastAsia="zh-CN"/>
        </w:rPr>
        <w:t>的</w:t>
      </w:r>
      <w:r>
        <w:rPr>
          <w:rFonts w:hint="eastAsia" w:ascii="仿宋_GB2312" w:hAnsi="仿宋_GB2312" w:cs="仿宋_GB2312"/>
          <w:szCs w:val="32"/>
        </w:rPr>
        <w:t>区域发展新</w:t>
      </w:r>
      <w:r>
        <w:rPr>
          <w:rFonts w:hint="eastAsia" w:ascii="仿宋_GB2312" w:hAnsi="仿宋_GB2312" w:cs="仿宋_GB2312"/>
          <w:szCs w:val="32"/>
          <w:lang w:val="en-US" w:eastAsia="zh-CN"/>
        </w:rPr>
        <w:t>优势引领</w:t>
      </w:r>
      <w:r>
        <w:rPr>
          <w:rFonts w:hint="eastAsia" w:ascii="仿宋_GB2312" w:hAnsi="仿宋_GB2312" w:cs="仿宋_GB2312"/>
          <w:szCs w:val="32"/>
        </w:rPr>
        <w:t>我市金融发展</w:t>
      </w:r>
      <w:r>
        <w:rPr>
          <w:rFonts w:hint="eastAsia" w:ascii="仿宋_GB2312" w:hAnsi="仿宋_GB2312" w:cs="仿宋_GB2312"/>
          <w:szCs w:val="32"/>
          <w:lang w:val="en-US" w:eastAsia="zh-CN"/>
        </w:rPr>
        <w:t>新格局</w:t>
      </w:r>
      <w:r>
        <w:rPr>
          <w:rFonts w:hint="eastAsia" w:ascii="仿宋_GB2312" w:hAnsi="仿宋_GB2312" w:cs="仿宋_GB2312"/>
          <w:szCs w:val="32"/>
          <w:lang w:eastAsia="zh-CN"/>
        </w:rPr>
        <w:t>。</w:t>
      </w:r>
      <w:r>
        <w:rPr>
          <w:rFonts w:eastAsia="仿宋_GB2312"/>
          <w:sz w:val="32"/>
          <w:szCs w:val="32"/>
          <w:shd w:val="clear" w:color="auto" w:fill="FFFFFF"/>
        </w:rPr>
        <w:t>按照</w:t>
      </w:r>
      <w:r>
        <w:rPr>
          <w:rFonts w:hint="eastAsia" w:eastAsia="仿宋_GB2312"/>
          <w:sz w:val="32"/>
          <w:szCs w:val="32"/>
          <w:shd w:val="clear" w:color="auto" w:fill="FFFFFF"/>
        </w:rPr>
        <w:t>“</w:t>
      </w:r>
      <w:r>
        <w:rPr>
          <w:rFonts w:hint="eastAsia"/>
          <w:sz w:val="32"/>
          <w:szCs w:val="32"/>
          <w:shd w:val="clear" w:color="auto" w:fill="FFFFFF"/>
          <w:lang w:val="en-US" w:eastAsia="zh-CN"/>
        </w:rPr>
        <w:t>保障有力、渠道畅通、结构优化、成本降低</w:t>
      </w:r>
      <w:r>
        <w:rPr>
          <w:rFonts w:hint="eastAsia" w:eastAsia="仿宋_GB2312"/>
          <w:sz w:val="32"/>
          <w:szCs w:val="32"/>
          <w:shd w:val="clear" w:color="auto" w:fill="FFFFFF"/>
        </w:rPr>
        <w:t>”</w:t>
      </w:r>
      <w:r>
        <w:rPr>
          <w:rFonts w:eastAsia="仿宋_GB2312"/>
          <w:sz w:val="32"/>
          <w:szCs w:val="32"/>
          <w:shd w:val="clear" w:color="auto" w:fill="FFFFFF"/>
        </w:rPr>
        <w:t>的</w:t>
      </w:r>
      <w:r>
        <w:rPr>
          <w:rFonts w:hint="eastAsia"/>
          <w:sz w:val="32"/>
          <w:szCs w:val="32"/>
          <w:shd w:val="clear" w:color="auto" w:fill="FFFFFF"/>
          <w:lang w:val="en-US" w:eastAsia="zh-CN"/>
        </w:rPr>
        <w:t>思路</w:t>
      </w:r>
      <w:r>
        <w:rPr>
          <w:rFonts w:eastAsia="仿宋_GB2312"/>
          <w:sz w:val="32"/>
          <w:szCs w:val="32"/>
          <w:shd w:val="clear" w:color="auto" w:fill="FFFFFF"/>
        </w:rPr>
        <w:t>，</w:t>
      </w:r>
      <w:r>
        <w:rPr>
          <w:rFonts w:hint="eastAsia"/>
          <w:sz w:val="32"/>
          <w:szCs w:val="32"/>
          <w:shd w:val="clear" w:color="auto" w:fill="FFFFFF"/>
          <w:lang w:val="en-US" w:eastAsia="zh-CN"/>
        </w:rPr>
        <w:t>切实</w:t>
      </w:r>
      <w:r>
        <w:rPr>
          <w:rFonts w:eastAsia="仿宋_GB2312"/>
          <w:sz w:val="32"/>
          <w:szCs w:val="32"/>
          <w:shd w:val="clear" w:color="auto" w:fill="FFFFFF"/>
        </w:rPr>
        <w:t>扩大金融业</w:t>
      </w:r>
      <w:r>
        <w:rPr>
          <w:rFonts w:hint="eastAsia" w:eastAsia="仿宋_GB2312"/>
          <w:sz w:val="32"/>
          <w:szCs w:val="32"/>
          <w:shd w:val="clear" w:color="auto" w:fill="FFFFFF"/>
        </w:rPr>
        <w:t>总</w:t>
      </w:r>
      <w:r>
        <w:rPr>
          <w:rFonts w:eastAsia="仿宋_GB2312"/>
          <w:sz w:val="32"/>
          <w:szCs w:val="32"/>
          <w:shd w:val="clear" w:color="auto" w:fill="FFFFFF"/>
        </w:rPr>
        <w:t>量和规模目标，</w:t>
      </w:r>
      <w:r>
        <w:rPr>
          <w:rFonts w:hint="eastAsia"/>
          <w:sz w:val="32"/>
          <w:szCs w:val="32"/>
          <w:shd w:val="clear" w:color="auto" w:fill="FFFFFF"/>
          <w:lang w:val="en-US" w:eastAsia="zh-CN"/>
        </w:rPr>
        <w:t>推动金融支持经济发展提质增效</w:t>
      </w:r>
      <w:r>
        <w:rPr>
          <w:rFonts w:eastAsia="仿宋_GB2312"/>
          <w:sz w:val="32"/>
          <w:szCs w:val="32"/>
          <w:shd w:val="clear" w:color="auto" w:fill="FFFFFF"/>
        </w:rPr>
        <w:t>，</w:t>
      </w:r>
      <w:r>
        <w:rPr>
          <w:rFonts w:hint="eastAsia"/>
          <w:sz w:val="32"/>
          <w:szCs w:val="32"/>
          <w:shd w:val="clear" w:color="auto" w:fill="FFFFFF"/>
          <w:lang w:val="en-US" w:eastAsia="zh-CN"/>
        </w:rPr>
        <w:t>促进汕尾经济社会高质量发展</w:t>
      </w:r>
      <w:r>
        <w:rPr>
          <w:rFonts w:hint="eastAsia" w:eastAsia="仿宋_GB2312"/>
          <w:sz w:val="32"/>
          <w:szCs w:val="32"/>
          <w:shd w:val="clear" w:color="auto" w:fill="FFFFFF"/>
        </w:rPr>
        <w:t>。</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Chars="0" w:firstLine="640" w:firstLineChars="200"/>
        <w:jc w:val="both"/>
        <w:textAlignment w:val="auto"/>
        <w:rPr>
          <w:rFonts w:hint="default" w:ascii="黑体" w:hAnsi="黑体" w:eastAsia="黑体" w:cs="黑体"/>
          <w:sz w:val="32"/>
          <w:szCs w:val="32"/>
          <w:shd w:val="clear" w:color="auto" w:fill="FFFFFF"/>
          <w:lang w:val="en-US" w:eastAsia="zh-CN"/>
        </w:rPr>
      </w:pPr>
      <w:r>
        <w:rPr>
          <w:rFonts w:hint="eastAsia" w:ascii="黑体" w:hAnsi="黑体" w:eastAsia="黑体" w:cs="黑体"/>
          <w:sz w:val="32"/>
          <w:szCs w:val="32"/>
          <w:shd w:val="clear" w:color="auto" w:fill="FFFFFF"/>
          <w:lang w:val="en-US" w:eastAsia="zh-CN"/>
        </w:rPr>
        <w:t>二、目标任务</w:t>
      </w:r>
    </w:p>
    <w:p>
      <w:pPr>
        <w:pStyle w:val="6"/>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left="0" w:leftChars="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lang w:val="en-US" w:eastAsia="zh-CN"/>
        </w:rPr>
        <w:t>到2021年末，各项存款余额增速达到12%、各项贷款余额增速不低于20%；新增社会融资总量达到270亿元；金融业税收收入达到4亿元</w:t>
      </w:r>
      <w:r>
        <w:rPr>
          <w:rFonts w:hint="eastAsia" w:ascii="仿宋_GB2312" w:hAnsi="仿宋_GB2312" w:cs="仿宋_GB2312"/>
          <w:sz w:val="32"/>
          <w:szCs w:val="32"/>
          <w:shd w:val="clear" w:color="auto" w:fill="FFFFFF"/>
          <w:lang w:val="en-US" w:eastAsia="zh-CN"/>
        </w:rPr>
        <w:t>；存款余额增速排在粤东西北各地市前列；金融支持经济发展的质效明显提高，贷款余额增速在全省各地市位居前茅。另外，信贷结构不断优化，</w:t>
      </w:r>
      <w:r>
        <w:rPr>
          <w:rFonts w:hint="eastAsia" w:ascii="仿宋_GB2312" w:hAnsi="仿宋_GB2312" w:eastAsia="仿宋_GB2312" w:cs="仿宋_GB2312"/>
          <w:sz w:val="32"/>
          <w:szCs w:val="32"/>
        </w:rPr>
        <w:t>居民负债率（杠杆）控制在合理水平，银行机构不良贷款率</w:t>
      </w:r>
      <w:r>
        <w:rPr>
          <w:rFonts w:hint="eastAsia" w:ascii="仿宋_GB2312" w:hAnsi="仿宋_GB2312" w:cs="仿宋_GB2312"/>
          <w:sz w:val="32"/>
          <w:szCs w:val="32"/>
          <w:lang w:val="en-US" w:eastAsia="zh-CN"/>
        </w:rPr>
        <w:t>不高</w:t>
      </w:r>
      <w:r>
        <w:rPr>
          <w:rFonts w:hint="eastAsia" w:ascii="仿宋_GB2312" w:hAnsi="仿宋_GB2312" w:eastAsia="仿宋_GB2312" w:cs="仿宋_GB2312"/>
          <w:sz w:val="32"/>
          <w:szCs w:val="32"/>
        </w:rPr>
        <w:t>于全省平均水平。</w:t>
      </w:r>
    </w:p>
    <w:p>
      <w:pPr>
        <w:pStyle w:val="3"/>
        <w:keepNext w:val="0"/>
        <w:keepLines w:val="0"/>
        <w:pageBreakBefore w:val="0"/>
        <w:widowControl w:val="0"/>
        <w:numPr>
          <w:ilvl w:val="0"/>
          <w:numId w:val="1"/>
        </w:numPr>
        <w:kinsoku/>
        <w:wordWrap/>
        <w:overflowPunct/>
        <w:topLinePunct w:val="0"/>
        <w:autoSpaceDE/>
        <w:autoSpaceDN/>
        <w:bidi w:val="0"/>
        <w:adjustRightInd w:val="0"/>
        <w:snapToGrid w:val="0"/>
        <w:spacing w:line="620" w:lineRule="exact"/>
        <w:jc w:val="both"/>
        <w:textAlignment w:val="auto"/>
        <w:rPr>
          <w:rFonts w:hint="eastAsia" w:ascii="黑体" w:hAnsi="黑体" w:eastAsia="黑体" w:cs="黑体"/>
          <w:lang w:val="en-US" w:eastAsia="zh-CN"/>
        </w:rPr>
      </w:pPr>
      <w:r>
        <w:rPr>
          <w:rFonts w:hint="eastAsia" w:ascii="黑体" w:hAnsi="黑体" w:eastAsia="黑体" w:cs="黑体"/>
          <w:lang w:val="en-US" w:eastAsia="zh-CN"/>
        </w:rPr>
        <w:t>具体举措</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jc w:val="both"/>
        <w:textAlignment w:val="auto"/>
        <w:rPr>
          <w:rFonts w:hint="eastAsia" w:ascii="楷体" w:hAnsi="楷体" w:eastAsia="楷体" w:cs="楷体"/>
          <w:b w:val="0"/>
          <w:bCs/>
          <w:lang w:val="en-US" w:eastAsia="zh-CN"/>
        </w:rPr>
      </w:pPr>
      <w:r>
        <w:rPr>
          <w:rFonts w:hint="eastAsia" w:ascii="楷体" w:hAnsi="楷体" w:eastAsia="楷体" w:cs="楷体"/>
          <w:b/>
          <w:bCs w:val="0"/>
          <w:sz w:val="32"/>
          <w:szCs w:val="32"/>
          <w:lang w:val="en-US" w:eastAsia="zh-CN"/>
        </w:rPr>
        <w:t>（一）加大</w:t>
      </w:r>
      <w:r>
        <w:rPr>
          <w:rFonts w:hint="eastAsia" w:ascii="楷体" w:hAnsi="楷体" w:eastAsia="楷体" w:cs="楷体"/>
          <w:b/>
          <w:bCs w:val="0"/>
        </w:rPr>
        <w:t>招商引资</w:t>
      </w:r>
      <w:r>
        <w:rPr>
          <w:rFonts w:hint="eastAsia" w:ascii="楷体" w:hAnsi="楷体" w:eastAsia="楷体" w:cs="楷体"/>
          <w:b/>
          <w:bCs w:val="0"/>
          <w:lang w:val="en-US" w:eastAsia="zh-CN"/>
        </w:rPr>
        <w:t>力度，发展支柱产业。</w:t>
      </w:r>
      <w:r>
        <w:rPr>
          <w:rFonts w:hint="eastAsia" w:ascii="仿宋_GB2312" w:hAnsi="仿宋_GB2312" w:cs="仿宋_GB2312"/>
          <w:b w:val="0"/>
          <w:bCs/>
          <w:lang w:val="en-US" w:eastAsia="zh-CN"/>
        </w:rPr>
        <w:t>要以纵深推进“三大行动”为重要抓手，构建新发展格局，加大项目招引力度，提高项目双进工作效率，提升投融资水平，进一步扩大有效投资，推动我市产业升级，促进经济社会高质量发展。</w:t>
      </w:r>
      <w:r>
        <w:rPr>
          <w:rFonts w:hint="eastAsia" w:ascii="仿宋_GB2312" w:hAnsi="仿宋_GB2312" w:cs="仿宋_GB2312"/>
          <w:b/>
          <w:bCs w:val="0"/>
          <w:lang w:val="en-US" w:eastAsia="zh-CN"/>
        </w:rPr>
        <w:t>一是</w:t>
      </w:r>
      <w:r>
        <w:rPr>
          <w:rFonts w:hint="eastAsia" w:ascii="仿宋_GB2312" w:hAnsi="仿宋_GB2312" w:cs="仿宋_GB2312"/>
          <w:b w:val="0"/>
          <w:bCs/>
          <w:lang w:val="en-US" w:eastAsia="zh-CN"/>
        </w:rPr>
        <w:t>强化招商引资各项举措。立足汕尾区位和资源优势，细化落实《汕尾市2021年招商引资工作方案》，真抓实干，切实把企业引进来，项目资金投进去，落地建设出成效。并通过土地、劳动力、资本等各项要素保障，带动产业良性发展，不断壮大我市金融总量。</w:t>
      </w:r>
      <w:r>
        <w:rPr>
          <w:rFonts w:hint="eastAsia" w:ascii="仿宋_GB2312" w:hAnsi="仿宋_GB2312" w:cs="仿宋_GB2312"/>
          <w:b/>
          <w:bCs w:val="0"/>
          <w:lang w:val="en-US" w:eastAsia="zh-CN"/>
        </w:rPr>
        <w:t>二是</w:t>
      </w:r>
      <w:r>
        <w:rPr>
          <w:rFonts w:hint="eastAsia" w:ascii="仿宋_GB2312" w:hAnsi="仿宋_GB2312" w:eastAsia="仿宋_GB2312" w:cs="仿宋_GB2312"/>
          <w:b w:val="0"/>
          <w:bCs w:val="0"/>
          <w:sz w:val="32"/>
          <w:szCs w:val="32"/>
        </w:rPr>
        <w:t>发展壮大金融机构。开展</w:t>
      </w:r>
      <w:r>
        <w:rPr>
          <w:rFonts w:hint="eastAsia" w:ascii="仿宋_GB2312" w:hAnsi="仿宋_GB2312" w:eastAsia="仿宋_GB2312" w:cs="仿宋_GB2312"/>
          <w:b w:val="0"/>
          <w:bCs w:val="0"/>
          <w:color w:val="000000"/>
          <w:sz w:val="32"/>
          <w:szCs w:val="32"/>
          <w:shd w:val="clear" w:color="auto" w:fill="FFFFFF"/>
        </w:rPr>
        <w:t>常态化</w:t>
      </w:r>
      <w:r>
        <w:rPr>
          <w:rFonts w:hint="eastAsia" w:ascii="仿宋_GB2312" w:hAnsi="仿宋_GB2312" w:eastAsia="仿宋_GB2312" w:cs="仿宋_GB2312"/>
          <w:b w:val="0"/>
          <w:bCs w:val="0"/>
          <w:sz w:val="32"/>
          <w:szCs w:val="32"/>
        </w:rPr>
        <w:t>金融招商，</w:t>
      </w:r>
      <w:r>
        <w:rPr>
          <w:rFonts w:hint="eastAsia" w:ascii="仿宋_GB2312" w:hAnsi="仿宋_GB2312" w:cs="仿宋_GB2312"/>
          <w:b w:val="0"/>
          <w:bCs w:val="0"/>
          <w:sz w:val="32"/>
          <w:szCs w:val="32"/>
          <w:lang w:val="en-US" w:eastAsia="zh-CN"/>
        </w:rPr>
        <w:t>落实金融机构引进奖励办法，多渠道</w:t>
      </w:r>
      <w:r>
        <w:rPr>
          <w:rFonts w:hint="eastAsia" w:ascii="仿宋_GB2312" w:hAnsi="仿宋_GB2312" w:eastAsia="仿宋_GB2312" w:cs="仿宋_GB2312"/>
          <w:b w:val="0"/>
          <w:bCs w:val="0"/>
          <w:color w:val="000000"/>
          <w:sz w:val="32"/>
          <w:szCs w:val="32"/>
          <w:shd w:val="clear" w:color="auto" w:fill="FFFFFF"/>
        </w:rPr>
        <w:t>收集金融招商线索，梳理</w:t>
      </w:r>
      <w:r>
        <w:rPr>
          <w:rFonts w:hint="eastAsia" w:ascii="仿宋_GB2312" w:hAnsi="仿宋_GB2312" w:cs="仿宋_GB2312"/>
          <w:b w:val="0"/>
          <w:bCs w:val="0"/>
          <w:color w:val="000000"/>
          <w:sz w:val="32"/>
          <w:szCs w:val="32"/>
          <w:shd w:val="clear" w:color="auto" w:fill="FFFFFF"/>
          <w:lang w:val="en-US" w:eastAsia="zh-CN"/>
        </w:rPr>
        <w:t>拟引进</w:t>
      </w:r>
      <w:r>
        <w:rPr>
          <w:rFonts w:hint="eastAsia" w:ascii="仿宋_GB2312" w:hAnsi="仿宋_GB2312" w:eastAsia="仿宋_GB2312" w:cs="仿宋_GB2312"/>
          <w:b w:val="0"/>
          <w:bCs w:val="0"/>
          <w:color w:val="000000"/>
          <w:sz w:val="32"/>
          <w:szCs w:val="32"/>
          <w:shd w:val="clear" w:color="auto" w:fill="FFFFFF"/>
        </w:rPr>
        <w:t>目标</w:t>
      </w:r>
      <w:r>
        <w:rPr>
          <w:rFonts w:hint="eastAsia" w:ascii="仿宋_GB2312" w:hAnsi="仿宋_GB2312" w:cs="仿宋_GB2312"/>
          <w:b w:val="0"/>
          <w:bCs w:val="0"/>
          <w:color w:val="000000"/>
          <w:sz w:val="32"/>
          <w:szCs w:val="32"/>
          <w:shd w:val="clear" w:color="auto" w:fill="FFFFFF"/>
          <w:lang w:val="en-US" w:eastAsia="zh-CN"/>
        </w:rPr>
        <w:t>金融机构</w:t>
      </w:r>
      <w:r>
        <w:rPr>
          <w:rFonts w:hint="eastAsia" w:ascii="仿宋_GB2312" w:hAnsi="仿宋_GB2312" w:eastAsia="仿宋_GB2312" w:cs="仿宋_GB2312"/>
          <w:b w:val="0"/>
          <w:bCs w:val="0"/>
          <w:color w:val="000000"/>
          <w:sz w:val="32"/>
          <w:szCs w:val="32"/>
          <w:shd w:val="clear" w:color="auto" w:fill="FFFFFF"/>
        </w:rPr>
        <w:t>，</w:t>
      </w:r>
      <w:r>
        <w:rPr>
          <w:rFonts w:hint="eastAsia" w:ascii="仿宋_GB2312" w:hAnsi="仿宋_GB2312" w:cs="仿宋_GB2312"/>
          <w:b w:val="0"/>
          <w:bCs w:val="0"/>
          <w:sz w:val="32"/>
          <w:szCs w:val="32"/>
          <w:lang w:val="en-US" w:eastAsia="zh-CN"/>
        </w:rPr>
        <w:t>加强对接和机构招引力度</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color w:val="000000"/>
          <w:sz w:val="32"/>
          <w:szCs w:val="32"/>
          <w:shd w:val="clear" w:color="auto" w:fill="FFFFFF"/>
        </w:rPr>
        <w:t>做到精准招商。</w:t>
      </w:r>
      <w:r>
        <w:rPr>
          <w:rFonts w:hint="eastAsia" w:ascii="仿宋_GB2312" w:hAnsi="仿宋_GB2312" w:cs="仿宋_GB2312"/>
          <w:b w:val="0"/>
          <w:bCs w:val="0"/>
          <w:color w:val="000000"/>
          <w:sz w:val="32"/>
          <w:szCs w:val="32"/>
          <w:shd w:val="clear" w:color="auto" w:fill="FFFFFF"/>
          <w:lang w:val="en-US" w:eastAsia="zh-CN"/>
        </w:rPr>
        <w:t>争取外地银行、保险、证券机构进驻，发展融资租赁、商业保理、信托投资、地方资产管理公司等金融新业态，不断壮大我市金融阵营，丰富投融资渠道，促进融资方式多元化，</w:t>
      </w:r>
      <w:r>
        <w:rPr>
          <w:rFonts w:eastAsia="仿宋_GB2312"/>
          <w:color w:val="000000"/>
          <w:sz w:val="32"/>
          <w:szCs w:val="32"/>
          <w:shd w:val="clear" w:color="auto" w:fill="FFFFFF"/>
        </w:rPr>
        <w:t>提高金融整体</w:t>
      </w:r>
      <w:r>
        <w:rPr>
          <w:rFonts w:hint="eastAsia"/>
          <w:color w:val="000000"/>
          <w:sz w:val="32"/>
          <w:szCs w:val="32"/>
          <w:shd w:val="clear" w:color="auto" w:fill="FFFFFF"/>
          <w:lang w:val="en-US" w:eastAsia="zh-CN"/>
        </w:rPr>
        <w:t>服务水平，支持我市经济发展</w:t>
      </w:r>
      <w:r>
        <w:rPr>
          <w:rFonts w:eastAsia="仿宋_GB2312"/>
          <w:color w:val="000000"/>
          <w:sz w:val="32"/>
          <w:szCs w:val="32"/>
          <w:shd w:val="clear" w:color="auto" w:fill="FFFFFF"/>
        </w:rPr>
        <w:t>。</w:t>
      </w:r>
      <w:r>
        <w:rPr>
          <w:rFonts w:hint="eastAsia" w:ascii="仿宋_GB2312" w:hAnsi="仿宋_GB2312" w:cs="仿宋_GB2312"/>
          <w:b/>
          <w:bCs w:val="0"/>
          <w:lang w:val="en-US" w:eastAsia="zh-CN"/>
        </w:rPr>
        <w:t>三是</w:t>
      </w:r>
      <w:r>
        <w:rPr>
          <w:rFonts w:hint="eastAsia" w:ascii="仿宋_GB2312" w:hAnsi="仿宋_GB2312" w:cs="仿宋_GB2312"/>
          <w:b w:val="0"/>
          <w:bCs/>
          <w:lang w:val="en-US" w:eastAsia="zh-CN"/>
        </w:rPr>
        <w:t>按照</w:t>
      </w:r>
      <w:r>
        <w:rPr>
          <w:rFonts w:hint="eastAsia"/>
        </w:rPr>
        <w:t>《汕尾市市场主体培育三年行动计划实施方案（2020－2022年）》</w:t>
      </w:r>
      <w:r>
        <w:rPr>
          <w:rFonts w:hint="eastAsia"/>
          <w:lang w:val="en-US" w:eastAsia="zh-CN"/>
        </w:rPr>
        <w:t>要求</w:t>
      </w:r>
      <w:r>
        <w:rPr>
          <w:rFonts w:hint="eastAsia"/>
          <w:lang w:eastAsia="zh-CN"/>
        </w:rPr>
        <w:t>，</w:t>
      </w:r>
      <w:r>
        <w:rPr>
          <w:rFonts w:hint="eastAsia"/>
          <w:lang w:val="en-US" w:eastAsia="zh-CN"/>
        </w:rPr>
        <w:t>坚定信心，</w:t>
      </w:r>
      <w:r>
        <w:rPr>
          <w:rFonts w:hint="eastAsia" w:ascii="仿宋_GB2312" w:hAnsi="仿宋_GB2312" w:cs="仿宋_GB2312"/>
          <w:b w:val="0"/>
          <w:bCs/>
          <w:lang w:val="en-US" w:eastAsia="zh-CN"/>
        </w:rPr>
        <w:t>积极发挥汕尾作为东翼沿海经济带东承西接战略支点作用，打造产业转移承接地、产业链延伸区、产业基础配套基地，不断把我市市场主体培育壮大，逐步形成完整的产业链，有效吸纳外部资金流入本市，同时减少企业投入生产经营的资金外溢。</w:t>
      </w:r>
      <w:r>
        <w:rPr>
          <w:rFonts w:hint="eastAsia" w:ascii="楷体" w:hAnsi="楷体" w:eastAsia="楷体" w:cs="楷体"/>
          <w:b w:val="0"/>
          <w:bCs/>
          <w:lang w:val="en-US" w:eastAsia="zh-CN"/>
        </w:rPr>
        <w:t>〔责任单位：各县（市、区）人民政府、各产业园区，市投资促进局、市工业和信息化局、市财政局、市金融局、市自然资源局、市人力资源社会保障局、人民银行汕尾中支、汕尾银保监分局〕</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jc w:val="both"/>
        <w:textAlignment w:val="auto"/>
        <w:rPr>
          <w:rFonts w:hint="eastAsia" w:ascii="仿宋_GB2312" w:hAnsi="仿宋_GB2312" w:cs="仿宋_GB2312"/>
          <w:b w:val="0"/>
          <w:bCs/>
          <w:lang w:val="en-US" w:eastAsia="zh-CN"/>
        </w:rPr>
      </w:pPr>
      <w:r>
        <w:rPr>
          <w:rFonts w:hint="eastAsia" w:ascii="楷体" w:hAnsi="楷体" w:eastAsia="楷体" w:cs="楷体"/>
          <w:b/>
          <w:bCs w:val="0"/>
          <w:lang w:val="en-US" w:eastAsia="zh-CN"/>
        </w:rPr>
        <w:t>（二）拓宽投融资渠道，争取利用外部资本。</w:t>
      </w:r>
      <w:r>
        <w:rPr>
          <w:rFonts w:hint="eastAsia" w:ascii="仿宋_GB2312" w:hAnsi="仿宋_GB2312" w:cs="仿宋_GB2312"/>
          <w:b w:val="0"/>
          <w:bCs/>
          <w:lang w:val="en-US" w:eastAsia="zh-CN"/>
        </w:rPr>
        <w:t>经济建设离不开资本的支持，产业发展需要金融“活水”灌注。为此，要有效用活自身金融“存量”资金，拓展外部“增量”资金。</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jc w:val="both"/>
        <w:textAlignment w:val="auto"/>
        <w:rPr>
          <w:rFonts w:hint="eastAsia" w:ascii="楷体" w:hAnsi="楷体" w:eastAsia="楷体" w:cs="楷体"/>
          <w:b w:val="0"/>
          <w:bCs/>
          <w:lang w:val="en-US" w:eastAsia="zh-CN"/>
        </w:rPr>
      </w:pPr>
      <w:r>
        <w:rPr>
          <w:rFonts w:hint="eastAsia" w:ascii="仿宋_GB2312" w:hAnsi="仿宋_GB2312" w:cs="仿宋_GB2312"/>
          <w:b/>
          <w:bCs w:val="0"/>
          <w:lang w:val="en-US" w:eastAsia="zh-CN"/>
        </w:rPr>
        <w:t>1.发挥各金融机构作用。一是</w:t>
      </w:r>
      <w:r>
        <w:rPr>
          <w:rFonts w:hint="eastAsia" w:ascii="仿宋_GB2312" w:hAnsi="仿宋_GB2312" w:cs="仿宋_GB2312"/>
          <w:b w:val="0"/>
          <w:bCs/>
          <w:lang w:val="en-US" w:eastAsia="zh-CN"/>
        </w:rPr>
        <w:t>各政策性银行要利用政策优势，积极参与汕尾城市改造、市政建设、道路建设、园区建设、农田水利、乡村振兴等重大项目的融资，支持汕尾革命老区发展。</w:t>
      </w:r>
      <w:r>
        <w:rPr>
          <w:rFonts w:hint="eastAsia" w:ascii="仿宋_GB2312" w:hAnsi="仿宋_GB2312" w:cs="仿宋_GB2312"/>
          <w:b/>
          <w:bCs w:val="0"/>
          <w:lang w:val="en-US" w:eastAsia="zh-CN"/>
        </w:rPr>
        <w:t>二是</w:t>
      </w:r>
      <w:r>
        <w:rPr>
          <w:rFonts w:hint="eastAsia" w:ascii="仿宋_GB2312" w:hAnsi="仿宋_GB2312" w:cs="仿宋_GB2312"/>
          <w:b w:val="0"/>
          <w:bCs/>
          <w:lang w:val="en-US" w:eastAsia="zh-CN"/>
        </w:rPr>
        <w:t>各国有商业银行要向上级行争取贷款额度，做大增量；要结合我市重大产业投资探索发行营销本市产业项目理财产品，减少营销外地理财产品。</w:t>
      </w:r>
      <w:r>
        <w:rPr>
          <w:rFonts w:hint="eastAsia" w:ascii="仿宋_GB2312" w:hAnsi="仿宋_GB2312" w:cs="仿宋_GB2312"/>
          <w:b/>
          <w:bCs w:val="0"/>
          <w:lang w:val="en-US" w:eastAsia="zh-CN"/>
        </w:rPr>
        <w:t>三是</w:t>
      </w:r>
      <w:r>
        <w:rPr>
          <w:rFonts w:hint="eastAsia" w:ascii="仿宋_GB2312" w:hAnsi="仿宋_GB2312" w:cs="仿宋_GB2312"/>
          <w:b w:val="0"/>
          <w:bCs/>
          <w:lang w:val="en-US" w:eastAsia="zh-CN"/>
        </w:rPr>
        <w:t>各家农村商业银行发挥支农支小作用，要大胆创新，在风险可控下开拓非标准化资产信贷业务，加大信贷投放力度，优化存贷结构，减少同业业务，并积极申请使用人民银行再贷款，持续扩大信贷投放。</w:t>
      </w:r>
      <w:r>
        <w:rPr>
          <w:rFonts w:hint="eastAsia" w:ascii="仿宋_GB2312" w:hAnsi="仿宋_GB2312" w:cs="仿宋_GB2312"/>
          <w:b/>
          <w:bCs w:val="0"/>
          <w:lang w:val="en-US" w:eastAsia="zh-CN"/>
        </w:rPr>
        <w:t>四是</w:t>
      </w:r>
      <w:r>
        <w:rPr>
          <w:rFonts w:hint="eastAsia" w:ascii="仿宋_GB2312" w:hAnsi="仿宋_GB2312" w:cs="仿宋_GB2312"/>
          <w:b w:val="0"/>
          <w:bCs/>
          <w:lang w:val="en-US" w:eastAsia="zh-CN"/>
        </w:rPr>
        <w:t>银行机构切实强化服务水平，提高吸储能力，有效防止住户存款外流。</w:t>
      </w:r>
      <w:r>
        <w:rPr>
          <w:rFonts w:hint="eastAsia" w:ascii="仿宋_GB2312" w:hAnsi="仿宋_GB2312" w:cs="仿宋_GB2312"/>
          <w:b/>
          <w:bCs w:val="0"/>
          <w:lang w:val="en-US" w:eastAsia="zh-CN"/>
        </w:rPr>
        <w:t>五是</w:t>
      </w:r>
      <w:r>
        <w:rPr>
          <w:rFonts w:hint="eastAsia" w:ascii="仿宋_GB2312" w:hAnsi="仿宋_GB2312" w:cs="仿宋_GB2312"/>
          <w:b w:val="0"/>
          <w:bCs/>
          <w:lang w:val="en-US" w:eastAsia="zh-CN"/>
        </w:rPr>
        <w:t>各保险机构要在扩大保险覆盖面、做好保费增量的同时，争取利用“资管”资金，投向汕尾优势项目。</w:t>
      </w:r>
      <w:r>
        <w:rPr>
          <w:rFonts w:hint="eastAsia" w:ascii="仿宋_GB2312" w:hAnsi="仿宋_GB2312" w:cs="仿宋_GB2312"/>
          <w:b/>
          <w:bCs w:val="0"/>
          <w:lang w:val="en-US" w:eastAsia="zh-CN"/>
        </w:rPr>
        <w:t>六是</w:t>
      </w:r>
      <w:r>
        <w:rPr>
          <w:rFonts w:hint="eastAsia" w:ascii="仿宋_GB2312" w:hAnsi="仿宋_GB2312" w:cs="仿宋_GB2312"/>
          <w:b w:val="0"/>
          <w:bCs/>
          <w:lang w:val="en-US" w:eastAsia="zh-CN"/>
        </w:rPr>
        <w:t>各证券机构要向本系统投资银行部门推荐汕尾的产业项目，筛选梳理优质企业，拓展投行业务，在资金、人才、技术、管理上对优势产业进行培育，帮助我市企业做大做强。</w:t>
      </w:r>
      <w:r>
        <w:rPr>
          <w:rFonts w:hint="eastAsia" w:ascii="楷体" w:hAnsi="楷体" w:eastAsia="楷体" w:cs="楷体"/>
          <w:b w:val="0"/>
          <w:bCs/>
          <w:lang w:val="en-US" w:eastAsia="zh-CN"/>
        </w:rPr>
        <w:t>〔责任单位：汕尾银保监分局、人民银行汕尾中支、市金融局、各银行机构、各保险机构、各证券机构〕</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jc w:val="both"/>
        <w:textAlignment w:val="auto"/>
        <w:rPr>
          <w:rFonts w:hint="eastAsia" w:ascii="楷体" w:hAnsi="楷体" w:eastAsia="楷体" w:cs="楷体"/>
          <w:b w:val="0"/>
          <w:bCs/>
          <w:lang w:val="en-US" w:eastAsia="zh-CN"/>
        </w:rPr>
      </w:pPr>
      <w:r>
        <w:rPr>
          <w:rFonts w:hint="eastAsia" w:ascii="仿宋_GB2312" w:hAnsi="仿宋_GB2312" w:cs="仿宋_GB2312"/>
          <w:b/>
          <w:bCs w:val="0"/>
          <w:lang w:val="en-US" w:eastAsia="zh-CN"/>
        </w:rPr>
        <w:t>2.发挥国有企业融资平台作用。</w:t>
      </w:r>
      <w:r>
        <w:rPr>
          <w:rFonts w:hint="eastAsia" w:ascii="仿宋_GB2312" w:hAnsi="仿宋_GB2312" w:cs="仿宋_GB2312"/>
          <w:b w:val="0"/>
          <w:bCs/>
          <w:lang w:val="en-US" w:eastAsia="zh-CN"/>
        </w:rPr>
        <w:t>地方国有企业投融资平台在地方政府经济建设中扮演着非常重要的角色，特别是在资本运作、资源归集、产业投资、资金募集等方面尤其明显。当前，要补齐汕尾产业基础薄弱的短板，防止我市固定投资的资金大部分外流。同时要在发行企业债券、公司债券、股权融资及拆借市外机构资金等资本运作方面加大力度，引入外部资金投向汕尾。</w:t>
      </w:r>
      <w:r>
        <w:rPr>
          <w:rFonts w:hint="eastAsia" w:ascii="仿宋_GB2312" w:hAnsi="仿宋_GB2312" w:cs="仿宋_GB2312"/>
          <w:b/>
          <w:bCs w:val="0"/>
          <w:lang w:val="en-US" w:eastAsia="zh-CN"/>
        </w:rPr>
        <w:t>一是</w:t>
      </w:r>
      <w:r>
        <w:rPr>
          <w:rFonts w:hint="eastAsia" w:ascii="仿宋_GB2312" w:hAnsi="仿宋_GB2312" w:cs="仿宋_GB2312"/>
          <w:b w:val="0"/>
          <w:bCs/>
          <w:lang w:val="en-US" w:eastAsia="zh-CN"/>
        </w:rPr>
        <w:t>要针对房地产行业、基础设施建设、资源开发、公共事业等方面设立具备相关资质的公司，利用政府信用优势，参与市场竞争，把企业业务量做大。比如设立大型建筑材料贸易公司，可以为下游众多基建行业提供原材料，同时可以归统土石方管理，有序使用自然资源。</w:t>
      </w:r>
      <w:r>
        <w:rPr>
          <w:rFonts w:hint="eastAsia" w:ascii="仿宋_GB2312" w:hAnsi="仿宋_GB2312" w:cs="仿宋_GB2312"/>
          <w:b/>
          <w:bCs w:val="0"/>
          <w:lang w:val="en-US" w:eastAsia="zh-CN"/>
        </w:rPr>
        <w:t>二是</w:t>
      </w:r>
      <w:r>
        <w:rPr>
          <w:rFonts w:hint="eastAsia" w:ascii="仿宋_GB2312" w:hAnsi="仿宋_GB2312" w:cs="仿宋_GB2312"/>
          <w:b w:val="0"/>
          <w:bCs/>
          <w:lang w:val="en-US" w:eastAsia="zh-CN"/>
        </w:rPr>
        <w:t>要开拓融资租赁、商业保理业务，增加经营性收入，尝试利用多元化的贸易开展承兑汇票、信用证等金融结算工具的渠道，发挥资金聚集作用。</w:t>
      </w:r>
      <w:r>
        <w:rPr>
          <w:rFonts w:hint="eastAsia" w:ascii="仿宋_GB2312" w:hAnsi="仿宋_GB2312" w:cs="仿宋_GB2312"/>
          <w:b/>
          <w:bCs w:val="0"/>
          <w:lang w:val="en-US" w:eastAsia="zh-CN"/>
        </w:rPr>
        <w:t>三是</w:t>
      </w:r>
      <w:r>
        <w:rPr>
          <w:rFonts w:hint="eastAsia" w:ascii="仿宋_GB2312" w:hAnsi="仿宋_GB2312" w:cs="仿宋_GB2312"/>
          <w:b w:val="0"/>
          <w:bCs/>
          <w:lang w:val="en-US" w:eastAsia="zh-CN"/>
        </w:rPr>
        <w:t>要发行企业债券、公司债券，与政策性银行、商业银行合作，对收益性的行业进行长期投资，如园区建设、供水管网、污水处理、燃气改造等项目。</w:t>
      </w:r>
      <w:r>
        <w:rPr>
          <w:rFonts w:hint="eastAsia" w:ascii="仿宋_GB2312" w:hAnsi="仿宋_GB2312" w:cs="仿宋_GB2312"/>
          <w:b/>
          <w:bCs w:val="0"/>
          <w:lang w:val="en-US" w:eastAsia="zh-CN"/>
        </w:rPr>
        <w:t>四是</w:t>
      </w:r>
      <w:r>
        <w:rPr>
          <w:rFonts w:hint="eastAsia" w:ascii="仿宋_GB2312" w:hAnsi="仿宋_GB2312" w:cs="仿宋_GB2312"/>
          <w:b w:val="0"/>
          <w:bCs/>
          <w:lang w:val="en-US" w:eastAsia="zh-CN"/>
        </w:rPr>
        <w:t>发挥投资引导基金作用，真正做实股权投资。要从支持本地产业发展的角度明确基金投资方向，发挥基金管理方积极性，明确任务，落实责任，加快基金的投放，形成良性循环。</w:t>
      </w:r>
      <w:r>
        <w:rPr>
          <w:rFonts w:hint="eastAsia" w:ascii="楷体" w:hAnsi="楷体" w:eastAsia="楷体" w:cs="楷体"/>
          <w:b w:val="0"/>
          <w:bCs/>
          <w:lang w:val="en-US" w:eastAsia="zh-CN"/>
        </w:rPr>
        <w:t>〔责任单位：各县（市、区）人民政府，市国资委、市财政局、市自然资源局、市住房和城乡建设局、市金融局、市投控公司、市金控公司、市交投公司〕</w:t>
      </w:r>
    </w:p>
    <w:p>
      <w:pPr>
        <w:pStyle w:val="2"/>
        <w:keepNext w:val="0"/>
        <w:keepLines w:val="0"/>
        <w:pageBreakBefore w:val="0"/>
        <w:widowControl w:val="0"/>
        <w:kinsoku/>
        <w:wordWrap/>
        <w:overflowPunct/>
        <w:topLinePunct w:val="0"/>
        <w:autoSpaceDE/>
        <w:autoSpaceDN/>
        <w:bidi w:val="0"/>
        <w:adjustRightInd w:val="0"/>
        <w:snapToGrid w:val="0"/>
        <w:spacing w:line="620" w:lineRule="exact"/>
        <w:ind w:left="0" w:leftChars="0" w:firstLine="643" w:firstLineChars="200"/>
        <w:textAlignment w:val="auto"/>
        <w:rPr>
          <w:rFonts w:hint="eastAsia" w:ascii="楷体" w:hAnsi="楷体" w:eastAsia="楷体" w:cs="楷体"/>
          <w:b w:val="0"/>
          <w:bCs/>
          <w:lang w:val="en-US" w:eastAsia="zh-CN"/>
        </w:rPr>
      </w:pPr>
      <w:r>
        <w:rPr>
          <w:rFonts w:hint="eastAsia" w:ascii="仿宋_GB2312" w:hAnsi="仿宋_GB2312" w:cs="仿宋_GB2312"/>
          <w:b/>
          <w:bCs w:val="0"/>
          <w:lang w:val="en-US" w:eastAsia="zh-CN"/>
        </w:rPr>
        <w:t>3.发挥金融部门的职能作用。</w:t>
      </w:r>
      <w:r>
        <w:rPr>
          <w:rFonts w:hint="eastAsia" w:ascii="仿宋_GB2312" w:hAnsi="仿宋_GB2312" w:eastAsia="仿宋_GB2312" w:cs="仿宋_GB2312"/>
          <w:sz w:val="32"/>
          <w:szCs w:val="32"/>
        </w:rPr>
        <w:t>人民银行、银保监及地方金融工作部门，要宏观分析我市经济金融的形势，准确把握国家金融政策方向，全面落实市委市政府工作部署要求，在国家货币政策、金融监管、地方金融扶持政策上形成合力，引导金融机构大胆创新，全力支持地方经济发展。</w:t>
      </w:r>
      <w:r>
        <w:rPr>
          <w:rFonts w:hint="eastAsia" w:ascii="仿宋_GB2312" w:hAnsi="仿宋_GB2312" w:cs="仿宋_GB2312"/>
          <w:b/>
          <w:bCs w:val="0"/>
          <w:lang w:val="en-US" w:eastAsia="zh-CN"/>
        </w:rPr>
        <w:t>一是</w:t>
      </w:r>
      <w:r>
        <w:rPr>
          <w:rFonts w:hint="eastAsia" w:ascii="仿宋_GB2312" w:hAnsi="仿宋_GB2312" w:cs="仿宋_GB2312"/>
          <w:b w:val="0"/>
          <w:bCs/>
          <w:lang w:val="en-US" w:eastAsia="zh-CN"/>
        </w:rPr>
        <w:t>模范落实纵深推进“三大行动”各项举措，整合各融资对接平台功能，提高“中小融”“粤信融”“粤融易”“粤商通”“民情地图”的共享共建、互相渗透能力，</w:t>
      </w:r>
      <w:r>
        <w:rPr>
          <w:rFonts w:hint="eastAsia" w:ascii="仿宋_GB2312" w:hAnsi="仿宋_GB2312" w:cs="仿宋_GB2312"/>
          <w:b w:val="0"/>
          <w:bCs w:val="0"/>
          <w:szCs w:val="40"/>
          <w:lang w:val="en-US" w:eastAsia="zh-CN"/>
        </w:rPr>
        <w:t>通过线上响应，线下推送和服务，进一步解决银企信息不对称问题，提高融资效率。</w:t>
      </w:r>
      <w:r>
        <w:rPr>
          <w:rFonts w:hint="eastAsia" w:ascii="仿宋_GB2312" w:hAnsi="仿宋_GB2312" w:cs="仿宋_GB2312"/>
          <w:b w:val="0"/>
          <w:bCs/>
          <w:lang w:val="en-US" w:eastAsia="zh-CN"/>
        </w:rPr>
        <w:t>提升获得信贷便利化水平，团结带领全市金融系统营造良好的金融生态环境。</w:t>
      </w:r>
      <w:r>
        <w:rPr>
          <w:rFonts w:hint="eastAsia" w:ascii="仿宋_GB2312" w:hAnsi="仿宋_GB2312" w:cs="仿宋_GB2312"/>
          <w:b/>
          <w:bCs w:val="0"/>
          <w:lang w:val="en-US" w:eastAsia="zh-CN"/>
        </w:rPr>
        <w:t>二是</w:t>
      </w:r>
      <w:r>
        <w:rPr>
          <w:rFonts w:hint="eastAsia" w:ascii="仿宋_GB2312" w:hAnsi="仿宋_GB2312" w:cs="仿宋_GB2312"/>
          <w:b w:val="0"/>
          <w:bCs/>
          <w:lang w:val="en-US" w:eastAsia="zh-CN"/>
        </w:rPr>
        <w:t>以做大全市金融总量为己任，勇于改革，善于创新，利用好革命老区名片，争取上级政策倾斜，在科技金融、绿色金融、普惠金融做出亮点，</w:t>
      </w:r>
      <w:r>
        <w:rPr>
          <w:rFonts w:hint="eastAsia" w:ascii="仿宋_GB2312" w:hAnsi="仿宋_GB2312" w:eastAsia="仿宋_GB2312" w:cs="仿宋_GB2312"/>
          <w:sz w:val="32"/>
          <w:szCs w:val="32"/>
        </w:rPr>
        <w:t>用好用足人民银行再贷款等货币政策、政策扶持性资金等</w:t>
      </w:r>
      <w:r>
        <w:rPr>
          <w:rFonts w:hint="eastAsia" w:ascii="仿宋_GB2312" w:hAnsi="仿宋_GB2312" w:cs="仿宋_GB2312"/>
          <w:b w:val="0"/>
          <w:bCs/>
          <w:lang w:val="en-US" w:eastAsia="zh-CN"/>
        </w:rPr>
        <w:t>。要落实金融招商责任，发动一切积极因素，真正引入机构到汕尾落地。同时在机构准入、行业监管上把准尺度，让新进驻机构生根发芽，健康成长。</w:t>
      </w:r>
      <w:r>
        <w:rPr>
          <w:rFonts w:hint="eastAsia" w:ascii="仿宋_GB2312" w:hAnsi="仿宋_GB2312" w:cs="仿宋_GB2312"/>
          <w:b/>
          <w:bCs w:val="0"/>
          <w:lang w:val="en-US" w:eastAsia="zh-CN"/>
        </w:rPr>
        <w:t>三是</w:t>
      </w:r>
      <w:r>
        <w:rPr>
          <w:rFonts w:hint="eastAsia" w:ascii="仿宋_GB2312" w:hAnsi="仿宋_GB2312" w:cs="仿宋_GB2312"/>
          <w:b w:val="0"/>
          <w:bCs/>
          <w:lang w:val="en-US" w:eastAsia="zh-CN"/>
        </w:rPr>
        <w:t>严格落实银行业金融机构考评激励工作，统筹好财政性资金的分存，调动各家银行机构积极性。</w:t>
      </w:r>
      <w:r>
        <w:rPr>
          <w:rFonts w:hint="eastAsia" w:ascii="仿宋_GB2312" w:hAnsi="仿宋_GB2312" w:cs="仿宋_GB2312"/>
          <w:b/>
          <w:bCs w:val="0"/>
          <w:lang w:val="en-US" w:eastAsia="zh-CN"/>
        </w:rPr>
        <w:t>四是</w:t>
      </w:r>
      <w:r>
        <w:rPr>
          <w:rFonts w:hint="eastAsia" w:ascii="仿宋_GB2312" w:hAnsi="仿宋_GB2312" w:cs="仿宋_GB2312"/>
          <w:b w:val="0"/>
          <w:bCs/>
          <w:lang w:val="en-US" w:eastAsia="zh-CN"/>
        </w:rPr>
        <w:t>深入推动农村金融改革，引导银行机构、保险机构在政策上、产品上、服务上支持农村地区发展，促进我市乡村振兴上新台阶。</w:t>
      </w:r>
      <w:r>
        <w:rPr>
          <w:rFonts w:hint="eastAsia" w:ascii="楷体" w:hAnsi="楷体" w:eastAsia="楷体" w:cs="楷体"/>
          <w:b w:val="0"/>
          <w:bCs/>
          <w:lang w:val="en-US" w:eastAsia="zh-CN"/>
        </w:rPr>
        <w:t>〔责任单位：市金融局、人民银行汕尾中支、汕尾银保监分局、市政务服务数据管理局、市农业农村局〕</w:t>
      </w:r>
    </w:p>
    <w:p>
      <w:pPr>
        <w:keepNext w:val="0"/>
        <w:keepLines w:val="0"/>
        <w:pageBreakBefore w:val="0"/>
        <w:widowControl w:val="0"/>
        <w:kinsoku/>
        <w:wordWrap/>
        <w:overflowPunct/>
        <w:topLinePunct w:val="0"/>
        <w:autoSpaceDE/>
        <w:autoSpaceDN/>
        <w:bidi w:val="0"/>
        <w:adjustRightInd w:val="0"/>
        <w:snapToGrid w:val="0"/>
        <w:spacing w:line="620" w:lineRule="exact"/>
        <w:ind w:firstLine="640"/>
        <w:textAlignment w:val="auto"/>
        <w:rPr>
          <w:rFonts w:hint="eastAsia" w:ascii="楷体" w:hAnsi="楷体" w:eastAsia="楷体" w:cs="楷体"/>
          <w:b w:val="0"/>
          <w:bCs/>
          <w:lang w:val="en-US" w:eastAsia="zh-CN"/>
        </w:rPr>
      </w:pPr>
      <w:r>
        <w:rPr>
          <w:rFonts w:hint="eastAsia" w:ascii="楷体" w:hAnsi="楷体" w:eastAsia="楷体" w:cs="楷体"/>
          <w:b/>
          <w:bCs w:val="0"/>
          <w:lang w:val="en-US" w:eastAsia="zh-CN"/>
        </w:rPr>
        <w:t>（三）争取政府性债券、财政专项资金支持。</w:t>
      </w:r>
      <w:r>
        <w:rPr>
          <w:rFonts w:hint="eastAsia" w:ascii="仿宋_GB2312" w:hAnsi="仿宋_GB2312" w:cs="仿宋_GB2312"/>
          <w:b w:val="0"/>
          <w:bCs/>
          <w:lang w:val="en-US" w:eastAsia="zh-CN"/>
        </w:rPr>
        <w:t>汕尾作为粤东西北欠发达地区，离不开上级的支持，来弥补固定资产投资和财政运转缺口。</w:t>
      </w:r>
      <w:r>
        <w:rPr>
          <w:rFonts w:hint="eastAsia" w:ascii="仿宋_GB2312" w:hAnsi="仿宋_GB2312" w:cs="仿宋_GB2312"/>
          <w:b/>
          <w:bCs w:val="0"/>
          <w:lang w:val="en-US" w:eastAsia="zh-CN"/>
        </w:rPr>
        <w:t>一是</w:t>
      </w:r>
      <w:r>
        <w:rPr>
          <w:rFonts w:hint="eastAsia" w:ascii="仿宋_GB2312" w:hAnsi="仿宋_GB2312" w:cs="仿宋_GB2312"/>
          <w:b w:val="0"/>
          <w:bCs/>
          <w:lang w:val="en-US" w:eastAsia="zh-CN"/>
        </w:rPr>
        <w:t>要积极申报政府性债券，统筹做好一般债和专项债项目库的常态化收集申报，各项目单位加大已发行地方债券的支出进度，提高债券项目的社会效益和经济效益。</w:t>
      </w:r>
      <w:r>
        <w:rPr>
          <w:rFonts w:hint="eastAsia" w:ascii="仿宋_GB2312" w:hAnsi="仿宋_GB2312" w:cs="仿宋_GB2312"/>
          <w:b/>
          <w:bCs w:val="0"/>
          <w:lang w:val="en-US" w:eastAsia="zh-CN"/>
        </w:rPr>
        <w:t>二是</w:t>
      </w:r>
      <w:r>
        <w:rPr>
          <w:rFonts w:hint="eastAsia" w:ascii="仿宋_GB2312" w:hAnsi="仿宋_GB2312" w:cs="仿宋_GB2312"/>
          <w:b w:val="0"/>
          <w:bCs/>
          <w:lang w:val="en-US" w:eastAsia="zh-CN"/>
        </w:rPr>
        <w:t>要有灵敏的政策嗅觉，树立加快发展的信心，利用好融入“双区”“一带一核一区”、海陆丰革命老区、粤东西北振兴发展等扶持政策，主动对接省发展改革、财政等部门，做好前期规划，积极争取上级专项资金支持，投入我市经济社会建设。</w:t>
      </w:r>
      <w:r>
        <w:rPr>
          <w:rFonts w:hint="eastAsia" w:ascii="仿宋_GB2312" w:hAnsi="仿宋_GB2312" w:cs="仿宋_GB2312"/>
          <w:b/>
          <w:bCs w:val="0"/>
          <w:lang w:val="en-US" w:eastAsia="zh-CN"/>
        </w:rPr>
        <w:t>三是</w:t>
      </w:r>
      <w:r>
        <w:rPr>
          <w:rFonts w:hint="eastAsia" w:ascii="仿宋_GB2312" w:hAnsi="仿宋_GB2312" w:cs="仿宋_GB2312"/>
          <w:b w:val="0"/>
          <w:bCs/>
          <w:lang w:val="en-US" w:eastAsia="zh-CN"/>
        </w:rPr>
        <w:t>要以制度创新、工作创新争取上级先行先试的资金支持，用改革精神争创先行点、试验区，打造汕尾亮点工程，擦亮沿海经济带靓丽明珠名片。</w:t>
      </w:r>
      <w:r>
        <w:rPr>
          <w:rFonts w:hint="eastAsia" w:ascii="楷体" w:hAnsi="楷体" w:eastAsia="楷体" w:cs="楷体"/>
          <w:b w:val="0"/>
          <w:bCs/>
          <w:lang w:val="en-US" w:eastAsia="zh-CN"/>
        </w:rPr>
        <w:t>〔责任单位：市财政局、市发改局、各相关政府部门〕</w:t>
      </w:r>
    </w:p>
    <w:p>
      <w:pPr>
        <w:pStyle w:val="2"/>
        <w:keepNext w:val="0"/>
        <w:keepLines w:val="0"/>
        <w:pageBreakBefore w:val="0"/>
        <w:widowControl w:val="0"/>
        <w:kinsoku/>
        <w:wordWrap/>
        <w:overflowPunct/>
        <w:topLinePunct w:val="0"/>
        <w:autoSpaceDE/>
        <w:autoSpaceDN/>
        <w:bidi w:val="0"/>
        <w:adjustRightInd w:val="0"/>
        <w:snapToGrid w:val="0"/>
        <w:spacing w:line="620" w:lineRule="exact"/>
        <w:ind w:left="0" w:leftChars="0" w:firstLine="643" w:firstLineChars="200"/>
        <w:textAlignment w:val="auto"/>
        <w:rPr>
          <w:rFonts w:hint="eastAsia" w:ascii="楷体" w:hAnsi="楷体" w:eastAsia="楷体" w:cs="楷体"/>
          <w:lang w:val="en-US" w:eastAsia="zh-CN"/>
        </w:rPr>
      </w:pPr>
      <w:r>
        <w:rPr>
          <w:rFonts w:hint="eastAsia" w:ascii="楷体" w:hAnsi="楷体" w:eastAsia="楷体" w:cs="楷体"/>
          <w:b/>
          <w:bCs/>
          <w:lang w:val="en-US" w:eastAsia="zh-CN"/>
        </w:rPr>
        <w:t>（四）统筹部门职能抓好存款工作。</w:t>
      </w:r>
      <w:r>
        <w:rPr>
          <w:rFonts w:hint="eastAsia"/>
          <w:lang w:val="en-US" w:eastAsia="zh-CN"/>
        </w:rPr>
        <w:t>做大金融总量，是一个系统性问题。不仅要压实金融系统的责任，而且要各行业职能部门的协同发力，也要企业部门的支持。</w:t>
      </w:r>
      <w:r>
        <w:rPr>
          <w:rFonts w:hint="eastAsia"/>
          <w:b/>
          <w:bCs/>
          <w:lang w:val="en-US" w:eastAsia="zh-CN"/>
        </w:rPr>
        <w:t>一是</w:t>
      </w:r>
      <w:r>
        <w:rPr>
          <w:rFonts w:hint="eastAsia"/>
          <w:lang w:val="en-US" w:eastAsia="zh-CN"/>
        </w:rPr>
        <w:t>要</w:t>
      </w:r>
      <w:r>
        <w:rPr>
          <w:rFonts w:hint="eastAsia" w:ascii="仿宋_GB2312" w:hAnsi="仿宋_GB2312" w:cs="仿宋_GB2312"/>
          <w:lang w:val="en-US" w:eastAsia="zh-CN"/>
        </w:rPr>
        <w:t>进一步强化各部门的协调工作力度，促进存款增长。包括市自然资源局加快国土出让进度；市财政局争取省级国库资金调度；市房管部门加强预售监管账户资金监管；市住建局协调房地产公司延长资金留存时间，从多方面稳固存款增长基础。</w:t>
      </w:r>
      <w:r>
        <w:rPr>
          <w:rFonts w:hint="eastAsia" w:ascii="仿宋_GB2312" w:hAnsi="仿宋_GB2312" w:cs="仿宋_GB2312"/>
          <w:b/>
          <w:bCs/>
          <w:lang w:val="en-US" w:eastAsia="zh-CN"/>
        </w:rPr>
        <w:t>二是</w:t>
      </w:r>
      <w:r>
        <w:rPr>
          <w:rFonts w:hint="eastAsia" w:ascii="仿宋_GB2312" w:hAnsi="仿宋_GB2312" w:cs="仿宋_GB2312"/>
          <w:lang w:val="en-US" w:eastAsia="zh-CN"/>
        </w:rPr>
        <w:t>要协调中直省直国有企业资金的上解调配。包括铁路、高速公路、电力基础设施等国家省级重点项目资金的调配；协调市际高速公路收费、电网收费、电信运营商等资金的调度；协调在建重点工程项目的资金调度等。</w:t>
      </w:r>
      <w:r>
        <w:rPr>
          <w:rFonts w:hint="eastAsia" w:ascii="仿宋_GB2312" w:hAnsi="仿宋_GB2312" w:cs="仿宋_GB2312"/>
          <w:b/>
          <w:bCs/>
          <w:lang w:val="en-US" w:eastAsia="zh-CN"/>
        </w:rPr>
        <w:t>三是</w:t>
      </w:r>
      <w:r>
        <w:rPr>
          <w:rFonts w:hint="eastAsia" w:ascii="仿宋_GB2312" w:hAnsi="仿宋_GB2312" w:cs="仿宋_GB2312"/>
          <w:lang w:val="en-US" w:eastAsia="zh-CN"/>
        </w:rPr>
        <w:t>要积极督促落实招商引资落地企业和项目的投资资金，按照计划时间表加快工程项目进度。</w:t>
      </w:r>
      <w:r>
        <w:rPr>
          <w:rFonts w:hint="eastAsia" w:ascii="仿宋_GB2312" w:hAnsi="仿宋_GB2312" w:cs="仿宋_GB2312"/>
          <w:b/>
          <w:bCs/>
          <w:lang w:val="en-US" w:eastAsia="zh-CN"/>
        </w:rPr>
        <w:t>四是</w:t>
      </w:r>
      <w:r>
        <w:rPr>
          <w:rFonts w:hint="eastAsia" w:ascii="仿宋_GB2312" w:hAnsi="仿宋_GB2312" w:cs="仿宋_GB2312"/>
          <w:lang w:val="en-US" w:eastAsia="zh-CN"/>
        </w:rPr>
        <w:t>加强对市场主体培育，引导规范经营，加大税务执法力度，查办企业偷税漏税行为。</w:t>
      </w:r>
      <w:r>
        <w:rPr>
          <w:rFonts w:hint="eastAsia" w:ascii="仿宋_GB2312" w:hAnsi="仿宋_GB2312" w:cs="仿宋_GB2312"/>
          <w:b/>
          <w:bCs/>
          <w:lang w:val="en-US" w:eastAsia="zh-CN"/>
        </w:rPr>
        <w:t>五是</w:t>
      </w:r>
      <w:r>
        <w:rPr>
          <w:rFonts w:hint="eastAsia" w:ascii="仿宋_GB2312" w:hAnsi="仿宋_GB2312" w:cs="仿宋_GB2312"/>
          <w:lang w:val="en-US" w:eastAsia="zh-CN"/>
        </w:rPr>
        <w:t>推动中国银联移动支付的覆盖面和便捷度，减少企业和个人在“微信”“支付宝”等新兴主流网络支付机构的结算沉淀资金。</w:t>
      </w:r>
      <w:r>
        <w:rPr>
          <w:rFonts w:hint="eastAsia" w:ascii="楷体" w:hAnsi="楷体" w:eastAsia="楷体" w:cs="楷体"/>
          <w:lang w:val="en-US" w:eastAsia="zh-CN"/>
        </w:rPr>
        <w:t>〔责任单位：市发改局、市财政局、市自然资源局、市住房和城乡建设局、市工业和信息化局、市投资促进局、市市场监管局、市税务局、市金融局、人民银行汕尾中支〕</w:t>
      </w:r>
    </w:p>
    <w:p>
      <w:pPr>
        <w:ind w:firstLine="643" w:firstLineChars="200"/>
        <w:rPr>
          <w:rFonts w:hint="eastAsia" w:ascii="楷体" w:hAnsi="楷体" w:eastAsia="楷体" w:cs="楷体"/>
          <w:sz w:val="32"/>
          <w:szCs w:val="32"/>
          <w:lang w:val="en-US" w:eastAsia="zh-CN"/>
        </w:rPr>
      </w:pPr>
      <w:r>
        <w:rPr>
          <w:rFonts w:hint="eastAsia" w:ascii="楷体" w:hAnsi="楷体" w:eastAsia="楷体" w:cs="楷体"/>
          <w:b/>
          <w:bCs/>
          <w:lang w:val="en-US" w:eastAsia="zh-CN"/>
        </w:rPr>
        <w:t>（五）有效降低居民部门杠杠率。</w:t>
      </w:r>
      <w:r>
        <w:rPr>
          <w:rFonts w:hint="eastAsia"/>
        </w:rPr>
        <w:t>统计数据显示，近年来我市居民部门储蓄下降，房地产贷款占比较高，居民部门的负债明显增加，一定程度上抑制了消费。</w:t>
      </w:r>
      <w:r>
        <w:rPr>
          <w:rFonts w:hint="eastAsia"/>
          <w:b/>
          <w:bCs/>
        </w:rPr>
        <w:t>一是</w:t>
      </w:r>
      <w:r>
        <w:rPr>
          <w:rFonts w:hint="eastAsia"/>
        </w:rPr>
        <w:t>要认真贯彻落实《关于建立银行业金融机构房地产贷款集中度管理制度的通知》，强化综合治理，严防经营用途贷款违规流入房地产领域，加强对房地产中介市场规范管理，防止变相开展“首付贷”等违规行为，引导各银行机构按规定完成房地产贷款压降工作，更好地推动我市金融支持房地产稳健发展。</w:t>
      </w:r>
      <w:r>
        <w:rPr>
          <w:rFonts w:hint="eastAsia"/>
          <w:b/>
          <w:bCs/>
        </w:rPr>
        <w:t>二是</w:t>
      </w:r>
      <w:r>
        <w:rPr>
          <w:rFonts w:hint="eastAsia"/>
        </w:rPr>
        <w:t>要落实差异化房贷利率政策，执行首套房按揭贷款利率优惠措施，降低刚性购房家庭的购房成本和负债压力。</w:t>
      </w:r>
      <w:r>
        <w:rPr>
          <w:rFonts w:hint="eastAsia"/>
          <w:b/>
          <w:bCs/>
        </w:rPr>
        <w:t>三是</w:t>
      </w:r>
      <w:r>
        <w:rPr>
          <w:rFonts w:hint="eastAsia"/>
        </w:rPr>
        <w:t>要加强宏观调控，结合汕尾实际，建立适宜汕尾社会经济发展的土地出让市场体系，优化土地资源配置。</w:t>
      </w:r>
      <w:r>
        <w:rPr>
          <w:rFonts w:hint="eastAsia"/>
          <w:b/>
          <w:bCs/>
        </w:rPr>
        <w:t>四是</w:t>
      </w:r>
      <w:r>
        <w:rPr>
          <w:rFonts w:hint="eastAsia"/>
        </w:rPr>
        <w:t>要多措并举提高居民可支配收入，从促进各类群体就业、帮助企业减负、保障劳动者合法权益等方面着手，切实提高我市居民可支配收入。</w:t>
      </w:r>
      <w:r>
        <w:rPr>
          <w:rFonts w:hint="eastAsia" w:ascii="楷体" w:hAnsi="楷体" w:eastAsia="楷体" w:cs="楷体"/>
          <w:sz w:val="32"/>
          <w:szCs w:val="32"/>
          <w:lang w:val="en-US" w:eastAsia="zh-CN"/>
        </w:rPr>
        <w:t>〔责任单位：汕尾银保监分局、各县（市、区）人民政府，市自然资源局、市住房和城乡建设局、市人力资源社会保障局、市金融局〕</w:t>
      </w:r>
    </w:p>
    <w:p>
      <w:pPr>
        <w:keepNext w:val="0"/>
        <w:keepLines w:val="0"/>
        <w:pageBreakBefore w:val="0"/>
        <w:widowControl w:val="0"/>
        <w:kinsoku/>
        <w:wordWrap/>
        <w:overflowPunct/>
        <w:topLinePunct w:val="0"/>
        <w:autoSpaceDE/>
        <w:autoSpaceDN/>
        <w:bidi w:val="0"/>
        <w:adjustRightInd w:val="0"/>
        <w:snapToGrid w:val="0"/>
        <w:spacing w:line="620" w:lineRule="exact"/>
        <w:ind w:firstLine="640" w:firstLineChars="200"/>
        <w:jc w:val="both"/>
        <w:textAlignment w:val="auto"/>
        <w:rPr>
          <w:rFonts w:eastAsia="黑体"/>
          <w:sz w:val="32"/>
          <w:szCs w:val="32"/>
        </w:rPr>
      </w:pPr>
      <w:r>
        <w:rPr>
          <w:rFonts w:hint="eastAsia" w:eastAsia="黑体"/>
          <w:sz w:val="32"/>
          <w:szCs w:val="32"/>
        </w:rPr>
        <w:t>四</w:t>
      </w:r>
      <w:r>
        <w:rPr>
          <w:rFonts w:eastAsia="黑体"/>
          <w:sz w:val="32"/>
          <w:szCs w:val="32"/>
        </w:rPr>
        <w:t>、</w:t>
      </w:r>
      <w:r>
        <w:rPr>
          <w:rFonts w:hint="eastAsia" w:eastAsia="黑体"/>
          <w:sz w:val="32"/>
          <w:szCs w:val="32"/>
        </w:rPr>
        <w:t>保障措施</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rPr>
        <w:t>（一）</w:t>
      </w:r>
      <w:r>
        <w:rPr>
          <w:rFonts w:hint="eastAsia" w:ascii="楷体_GB2312" w:hAnsi="楷体_GB2312" w:eastAsia="楷体_GB2312" w:cs="楷体_GB2312"/>
          <w:b/>
          <w:bCs/>
          <w:sz w:val="32"/>
          <w:szCs w:val="32"/>
          <w:lang w:val="en-US" w:eastAsia="zh-CN"/>
        </w:rPr>
        <w:t>强化组织领导。</w:t>
      </w:r>
      <w:r>
        <w:rPr>
          <w:rFonts w:hint="eastAsia" w:ascii="仿宋_GB2312" w:hAnsi="仿宋_GB2312" w:eastAsia="仿宋_GB2312" w:cs="仿宋_GB2312"/>
          <w:b w:val="0"/>
          <w:bCs w:val="0"/>
          <w:sz w:val="32"/>
          <w:szCs w:val="32"/>
          <w:lang w:val="en-US" w:eastAsia="zh-CN"/>
        </w:rPr>
        <w:t>市政府成立</w:t>
      </w:r>
      <w:r>
        <w:rPr>
          <w:rFonts w:hint="eastAsia" w:ascii="仿宋_GB2312" w:hAnsi="仿宋_GB2312" w:cs="仿宋_GB2312"/>
          <w:b w:val="0"/>
          <w:bCs w:val="0"/>
          <w:sz w:val="32"/>
          <w:szCs w:val="32"/>
          <w:lang w:val="en-US" w:eastAsia="zh-CN"/>
        </w:rPr>
        <w:t>由一名副市长为组长的领导小组，一名市委副秘书长为副组长，市金融局、市财政局、市统计局、人民银行汕尾中支、汕尾银保监分局为成员单位，统筹落实做大金融总量各项工作，特别是抓好在统计各关键时点的存贷款主要指标任务的完成。</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jc w:val="both"/>
        <w:textAlignment w:val="auto"/>
        <w:rPr>
          <w:rFonts w:eastAsia="仿宋_GB2312"/>
          <w:sz w:val="32"/>
          <w:szCs w:val="32"/>
        </w:rPr>
      </w:pP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eastAsia="zh-CN"/>
        </w:rPr>
        <w:t>）</w:t>
      </w:r>
      <w:r>
        <w:rPr>
          <w:rFonts w:hint="eastAsia" w:ascii="楷体_GB2312" w:hAnsi="楷体_GB2312" w:eastAsia="楷体_GB2312" w:cs="楷体_GB2312"/>
          <w:b/>
          <w:bCs/>
          <w:sz w:val="32"/>
          <w:szCs w:val="32"/>
        </w:rPr>
        <w:t>加强数据分析。</w:t>
      </w:r>
      <w:r>
        <w:rPr>
          <w:rFonts w:hint="eastAsia"/>
          <w:sz w:val="32"/>
          <w:szCs w:val="32"/>
          <w:lang w:val="en-US" w:eastAsia="zh-CN"/>
        </w:rPr>
        <w:t>市金融局</w:t>
      </w:r>
      <w:r>
        <w:rPr>
          <w:rFonts w:eastAsia="仿宋_GB2312"/>
          <w:sz w:val="32"/>
          <w:szCs w:val="32"/>
        </w:rPr>
        <w:t>与人民银行</w:t>
      </w:r>
      <w:r>
        <w:rPr>
          <w:rFonts w:hint="eastAsia"/>
          <w:sz w:val="32"/>
          <w:szCs w:val="32"/>
          <w:lang w:val="en-US" w:eastAsia="zh-CN"/>
        </w:rPr>
        <w:t>汕尾中支</w:t>
      </w:r>
      <w:r>
        <w:rPr>
          <w:rFonts w:eastAsia="仿宋_GB2312"/>
          <w:sz w:val="32"/>
          <w:szCs w:val="32"/>
        </w:rPr>
        <w:t>、</w:t>
      </w:r>
      <w:r>
        <w:rPr>
          <w:rFonts w:hint="eastAsia"/>
          <w:sz w:val="32"/>
          <w:szCs w:val="32"/>
          <w:lang w:val="en-US" w:eastAsia="zh-CN"/>
        </w:rPr>
        <w:t>汕尾</w:t>
      </w:r>
      <w:r>
        <w:rPr>
          <w:rFonts w:eastAsia="仿宋_GB2312"/>
          <w:sz w:val="32"/>
          <w:szCs w:val="32"/>
        </w:rPr>
        <w:t>银保监</w:t>
      </w:r>
      <w:r>
        <w:rPr>
          <w:rFonts w:hint="eastAsia"/>
          <w:sz w:val="32"/>
          <w:szCs w:val="32"/>
          <w:lang w:val="en-US" w:eastAsia="zh-CN"/>
        </w:rPr>
        <w:t>分</w:t>
      </w:r>
      <w:r>
        <w:rPr>
          <w:rFonts w:eastAsia="仿宋_GB2312"/>
          <w:sz w:val="32"/>
          <w:szCs w:val="32"/>
        </w:rPr>
        <w:t>局</w:t>
      </w:r>
      <w:r>
        <w:rPr>
          <w:rFonts w:hint="eastAsia"/>
          <w:sz w:val="32"/>
          <w:szCs w:val="32"/>
          <w:lang w:val="en-US" w:eastAsia="zh-CN"/>
        </w:rPr>
        <w:t>落实金融运行“一月一研判”机制，</w:t>
      </w:r>
      <w:r>
        <w:rPr>
          <w:rFonts w:eastAsia="仿宋_GB2312"/>
          <w:sz w:val="32"/>
          <w:szCs w:val="32"/>
        </w:rPr>
        <w:t>加强数据共享与分析研判，定期分析和梳理各项金融指标变化情况，推动各金融机构落实各项金融政策，提升金融服务实体经济能力和水平。</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jc w:val="both"/>
        <w:textAlignment w:val="auto"/>
        <w:rPr>
          <w:rFonts w:eastAsia="仿宋_GB2312"/>
          <w:sz w:val="32"/>
          <w:szCs w:val="32"/>
        </w:rPr>
      </w:pPr>
      <w:r>
        <w:rPr>
          <w:rFonts w:hint="eastAsia" w:ascii="楷体_GB2312" w:hAnsi="楷体_GB2312" w:eastAsia="楷体_GB2312" w:cs="楷体_GB2312"/>
          <w:b/>
          <w:bCs/>
          <w:sz w:val="32"/>
          <w:szCs w:val="32"/>
        </w:rPr>
        <w:t>（二）建立长效机制。</w:t>
      </w:r>
      <w:r>
        <w:rPr>
          <w:rFonts w:eastAsia="仿宋_GB2312"/>
          <w:sz w:val="32"/>
          <w:szCs w:val="32"/>
        </w:rPr>
        <w:t>强化</w:t>
      </w:r>
      <w:r>
        <w:rPr>
          <w:rFonts w:hint="eastAsia"/>
          <w:sz w:val="32"/>
          <w:szCs w:val="32"/>
          <w:lang w:val="en-US" w:eastAsia="zh-CN"/>
        </w:rPr>
        <w:t>各县（市、区）</w:t>
      </w:r>
      <w:r>
        <w:rPr>
          <w:rFonts w:hint="eastAsia" w:eastAsia="仿宋_GB2312"/>
          <w:sz w:val="32"/>
          <w:szCs w:val="32"/>
          <w:lang w:val="en-US" w:eastAsia="zh-CN"/>
        </w:rPr>
        <w:t>属地</w:t>
      </w:r>
      <w:r>
        <w:rPr>
          <w:rFonts w:hint="eastAsia"/>
          <w:sz w:val="32"/>
          <w:szCs w:val="32"/>
          <w:lang w:val="en-US" w:eastAsia="zh-CN"/>
        </w:rPr>
        <w:t>主体</w:t>
      </w:r>
      <w:r>
        <w:rPr>
          <w:rFonts w:eastAsia="仿宋_GB2312"/>
          <w:sz w:val="32"/>
          <w:szCs w:val="32"/>
        </w:rPr>
        <w:t>责任，将做大金融总量工作</w:t>
      </w:r>
      <w:r>
        <w:rPr>
          <w:rFonts w:hint="eastAsia"/>
          <w:sz w:val="32"/>
          <w:szCs w:val="32"/>
          <w:lang w:val="en-US" w:eastAsia="zh-CN"/>
        </w:rPr>
        <w:t>各项指标任务的完成纳入县级政府年度工作考核，将财政、土地、资本要素保障工作目标纳入季度亮牌考评。形成上下联动、部门互动的工作机制，认真</w:t>
      </w:r>
      <w:r>
        <w:rPr>
          <w:rFonts w:eastAsia="仿宋_GB2312"/>
          <w:sz w:val="32"/>
          <w:szCs w:val="32"/>
        </w:rPr>
        <w:t>查找工作中存在的问题和不足，不断改进工作模式和方法，推动</w:t>
      </w:r>
      <w:r>
        <w:rPr>
          <w:rFonts w:hint="eastAsia"/>
          <w:sz w:val="32"/>
          <w:szCs w:val="32"/>
          <w:lang w:val="en-US" w:eastAsia="zh-CN"/>
        </w:rPr>
        <w:t>我市</w:t>
      </w:r>
      <w:r>
        <w:rPr>
          <w:rFonts w:eastAsia="仿宋_GB2312"/>
          <w:sz w:val="32"/>
          <w:szCs w:val="32"/>
        </w:rPr>
        <w:t>金融业</w:t>
      </w:r>
      <w:r>
        <w:rPr>
          <w:rFonts w:hint="eastAsia"/>
          <w:sz w:val="32"/>
          <w:szCs w:val="32"/>
          <w:lang w:val="en-US" w:eastAsia="zh-CN"/>
        </w:rPr>
        <w:t>工作</w:t>
      </w:r>
      <w:r>
        <w:rPr>
          <w:rFonts w:eastAsia="仿宋_GB2312"/>
          <w:sz w:val="32"/>
          <w:szCs w:val="32"/>
        </w:rPr>
        <w:t>高质量发展。</w:t>
      </w:r>
    </w:p>
    <w:p>
      <w:pPr>
        <w:keepNext w:val="0"/>
        <w:keepLines w:val="0"/>
        <w:pageBreakBefore w:val="0"/>
        <w:widowControl w:val="0"/>
        <w:kinsoku/>
        <w:wordWrap/>
        <w:overflowPunct/>
        <w:topLinePunct w:val="0"/>
        <w:autoSpaceDE/>
        <w:autoSpaceDN/>
        <w:bidi w:val="0"/>
        <w:adjustRightInd w:val="0"/>
        <w:snapToGrid w:val="0"/>
        <w:spacing w:line="620" w:lineRule="exact"/>
        <w:ind w:firstLine="643" w:firstLineChars="200"/>
        <w:jc w:val="both"/>
        <w:textAlignment w:val="auto"/>
        <w:rPr>
          <w:rFonts w:hint="eastAsia" w:eastAsia="仿宋_GB2312"/>
          <w:sz w:val="32"/>
          <w:szCs w:val="32"/>
        </w:rPr>
      </w:pPr>
      <w:r>
        <w:rPr>
          <w:rFonts w:hint="eastAsia" w:ascii="楷体_GB2312" w:hAnsi="楷体_GB2312" w:eastAsia="楷体_GB2312" w:cs="楷体_GB2312"/>
          <w:b/>
          <w:bCs/>
          <w:sz w:val="32"/>
          <w:szCs w:val="32"/>
        </w:rPr>
        <w:t>（三）加强部门协同。</w:t>
      </w:r>
      <w:r>
        <w:rPr>
          <w:rFonts w:hint="eastAsia" w:eastAsia="仿宋_GB2312"/>
          <w:sz w:val="32"/>
          <w:szCs w:val="32"/>
        </w:rPr>
        <w:t>形成发改、科技、工信、商务、财政、</w:t>
      </w:r>
      <w:r>
        <w:rPr>
          <w:rFonts w:hint="eastAsia" w:eastAsia="仿宋_GB2312"/>
          <w:sz w:val="32"/>
          <w:szCs w:val="32"/>
          <w:lang w:val="en-US" w:eastAsia="zh-CN"/>
        </w:rPr>
        <w:t>住建</w:t>
      </w:r>
      <w:r>
        <w:rPr>
          <w:rFonts w:hint="eastAsia" w:eastAsia="仿宋_GB2312"/>
          <w:sz w:val="32"/>
          <w:szCs w:val="32"/>
        </w:rPr>
        <w:t>、</w:t>
      </w:r>
      <w:r>
        <w:rPr>
          <w:rFonts w:hint="eastAsia"/>
          <w:sz w:val="32"/>
          <w:szCs w:val="32"/>
          <w:lang w:val="en-US" w:eastAsia="zh-CN"/>
        </w:rPr>
        <w:t>自然资源、</w:t>
      </w:r>
      <w:r>
        <w:rPr>
          <w:rFonts w:hint="eastAsia" w:eastAsia="仿宋_GB2312"/>
          <w:sz w:val="32"/>
          <w:szCs w:val="32"/>
        </w:rPr>
        <w:t>交通运输、农业农村、文广新旅</w:t>
      </w:r>
      <w:r>
        <w:rPr>
          <w:rFonts w:hint="eastAsia"/>
          <w:sz w:val="32"/>
          <w:szCs w:val="32"/>
          <w:lang w:val="en-US" w:eastAsia="zh-CN"/>
        </w:rPr>
        <w:t>以及</w:t>
      </w:r>
      <w:r>
        <w:rPr>
          <w:rFonts w:hint="eastAsia" w:eastAsia="仿宋_GB2312"/>
          <w:sz w:val="32"/>
          <w:szCs w:val="32"/>
        </w:rPr>
        <w:t>统计等部门紧密配合、</w:t>
      </w:r>
      <w:r>
        <w:rPr>
          <w:rFonts w:hint="eastAsia"/>
          <w:sz w:val="32"/>
          <w:szCs w:val="32"/>
          <w:lang w:val="en-US" w:eastAsia="zh-CN"/>
        </w:rPr>
        <w:t>协同推进</w:t>
      </w:r>
      <w:r>
        <w:rPr>
          <w:rFonts w:hint="eastAsia" w:eastAsia="仿宋_GB2312"/>
          <w:sz w:val="32"/>
          <w:szCs w:val="32"/>
        </w:rPr>
        <w:t>的部门联动</w:t>
      </w:r>
      <w:r>
        <w:rPr>
          <w:rFonts w:hint="eastAsia"/>
          <w:sz w:val="32"/>
          <w:szCs w:val="32"/>
          <w:lang w:val="en-US" w:eastAsia="zh-CN"/>
        </w:rPr>
        <w:t>工作</w:t>
      </w:r>
      <w:r>
        <w:rPr>
          <w:rFonts w:hint="eastAsia" w:eastAsia="仿宋_GB2312"/>
          <w:sz w:val="32"/>
          <w:szCs w:val="32"/>
        </w:rPr>
        <w:t>机制</w:t>
      </w:r>
      <w:r>
        <w:rPr>
          <w:rFonts w:hint="eastAsia"/>
          <w:sz w:val="32"/>
          <w:szCs w:val="32"/>
          <w:lang w:eastAsia="zh-CN"/>
        </w:rPr>
        <w:t>，</w:t>
      </w:r>
      <w:r>
        <w:rPr>
          <w:rFonts w:hint="eastAsia"/>
          <w:sz w:val="32"/>
          <w:szCs w:val="32"/>
          <w:lang w:val="en-US" w:eastAsia="zh-CN"/>
        </w:rPr>
        <w:t>共同做大我市金融总量</w:t>
      </w:r>
      <w:r>
        <w:rPr>
          <w:rFonts w:hint="eastAsia" w:eastAsia="仿宋_GB2312"/>
          <w:sz w:val="32"/>
          <w:szCs w:val="32"/>
        </w:rPr>
        <w:t>。</w:t>
      </w:r>
    </w:p>
    <w:p>
      <w:pPr>
        <w:pStyle w:val="2"/>
        <w:rPr>
          <w:rFonts w:hint="eastAsia" w:eastAsia="仿宋_GB2312"/>
          <w:sz w:val="32"/>
          <w:szCs w:val="32"/>
        </w:rPr>
      </w:pPr>
    </w:p>
    <w:p>
      <w:pPr>
        <w:rPr>
          <w:rFonts w:hint="eastAsia" w:eastAsia="仿宋_GB2312"/>
          <w:sz w:val="32"/>
          <w:szCs w:val="32"/>
        </w:rPr>
      </w:pPr>
    </w:p>
    <w:p>
      <w:pPr>
        <w:pStyle w:val="2"/>
        <w:rPr>
          <w:rFonts w:hint="eastAsia" w:eastAsia="仿宋_GB2312"/>
          <w:sz w:val="32"/>
          <w:szCs w:val="32"/>
        </w:rPr>
      </w:pPr>
    </w:p>
    <w:p>
      <w:pPr>
        <w:rPr>
          <w:rFonts w:hint="eastAsia" w:eastAsia="仿宋_GB2312"/>
          <w:sz w:val="32"/>
          <w:szCs w:val="32"/>
        </w:rPr>
      </w:pPr>
    </w:p>
    <w:p>
      <w:pPr>
        <w:pStyle w:val="2"/>
        <w:rPr>
          <w:rFonts w:hint="eastAsia" w:eastAsia="仿宋_GB2312"/>
          <w:sz w:val="32"/>
          <w:szCs w:val="32"/>
        </w:rPr>
      </w:pPr>
    </w:p>
    <w:p>
      <w:pPr>
        <w:rPr>
          <w:rFonts w:hint="eastAsia" w:eastAsia="仿宋_GB2312"/>
          <w:sz w:val="32"/>
          <w:szCs w:val="32"/>
        </w:rPr>
      </w:pPr>
    </w:p>
    <w:p>
      <w:pPr>
        <w:ind w:firstLine="5440" w:firstLineChars="1700"/>
        <w:rPr>
          <w:rFonts w:hint="default"/>
          <w:lang w:val="en-US" w:eastAsia="zh-CN"/>
        </w:rPr>
      </w:pPr>
      <w:r>
        <w:rPr>
          <w:rFonts w:hint="eastAsia" w:ascii="仿宋_GB2312" w:hAnsi="仿宋_GB2312" w:eastAsia="仿宋_GB2312" w:cs="仿宋_GB2312"/>
          <w:sz w:val="32"/>
          <w:szCs w:val="32"/>
          <w:lang w:val="en-US" w:eastAsia="zh-CN"/>
        </w:rPr>
        <w:t>2021</w:t>
      </w:r>
      <w:r>
        <w:rPr>
          <w:rFonts w:hint="eastAsia"/>
          <w:sz w:val="32"/>
          <w:szCs w:val="32"/>
          <w:lang w:val="en-US" w:eastAsia="zh-CN"/>
        </w:rPr>
        <w:t>年</w:t>
      </w:r>
      <w:r>
        <w:rPr>
          <w:rFonts w:hint="eastAsia" w:ascii="仿宋_GB2312" w:hAnsi="仿宋_GB2312" w:eastAsia="仿宋_GB2312" w:cs="仿宋_GB2312"/>
          <w:sz w:val="32"/>
          <w:szCs w:val="32"/>
          <w:lang w:val="en-US" w:eastAsia="zh-CN"/>
        </w:rPr>
        <w:t>6</w:t>
      </w:r>
      <w:r>
        <w:rPr>
          <w:rFonts w:hint="eastAsia"/>
          <w:sz w:val="32"/>
          <w:szCs w:val="32"/>
          <w:lang w:val="en-US" w:eastAsia="zh-CN"/>
        </w:rPr>
        <w:t>月 日</w:t>
      </w:r>
    </w:p>
    <w:p>
      <w:pPr>
        <w:pStyle w:val="2"/>
        <w:keepNext w:val="0"/>
        <w:keepLines w:val="0"/>
        <w:pageBreakBefore w:val="0"/>
        <w:widowControl w:val="0"/>
        <w:kinsoku/>
        <w:wordWrap/>
        <w:overflowPunct/>
        <w:topLinePunct w:val="0"/>
        <w:autoSpaceDE/>
        <w:autoSpaceDN/>
        <w:bidi w:val="0"/>
        <w:adjustRightInd w:val="0"/>
        <w:snapToGrid w:val="0"/>
        <w:spacing w:line="600" w:lineRule="exact"/>
        <w:ind w:left="0" w:leftChars="0"/>
        <w:jc w:val="both"/>
        <w:textAlignment w:val="auto"/>
        <w:rPr>
          <w:rFonts w:hint="default"/>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800AC0"/>
    <w:multiLevelType w:val="singleLevel"/>
    <w:tmpl w:val="0F800AC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A651EE"/>
    <w:rsid w:val="12207246"/>
    <w:rsid w:val="137F077E"/>
    <w:rsid w:val="1A30139D"/>
    <w:rsid w:val="2215673B"/>
    <w:rsid w:val="23617E66"/>
    <w:rsid w:val="2CD02177"/>
    <w:rsid w:val="36E51F2C"/>
    <w:rsid w:val="37E04A17"/>
    <w:rsid w:val="382B6710"/>
    <w:rsid w:val="385907F2"/>
    <w:rsid w:val="3B903DBB"/>
    <w:rsid w:val="3D7A4752"/>
    <w:rsid w:val="3F183DE9"/>
    <w:rsid w:val="42CC55D4"/>
    <w:rsid w:val="42E56A4A"/>
    <w:rsid w:val="4A541BBF"/>
    <w:rsid w:val="4FD439E5"/>
    <w:rsid w:val="51D63D42"/>
    <w:rsid w:val="532B249D"/>
    <w:rsid w:val="55FB26CA"/>
    <w:rsid w:val="5B311BEF"/>
    <w:rsid w:val="5DF070CF"/>
    <w:rsid w:val="695F24DB"/>
    <w:rsid w:val="6EBB648D"/>
    <w:rsid w:val="71EB23FE"/>
    <w:rsid w:val="73AA5B06"/>
    <w:rsid w:val="73BD1F6F"/>
    <w:rsid w:val="74AE6CF5"/>
    <w:rsid w:val="7E6E6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600" w:lineRule="exact"/>
      <w:jc w:val="both"/>
    </w:pPr>
    <w:rPr>
      <w:rFonts w:eastAsia="仿宋_GB2312" w:asciiTheme="minorAscii" w:hAnsiTheme="minorAscii" w:cstheme="minorBidi"/>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Body Text Indent"/>
    <w:basedOn w:val="1"/>
    <w:qFormat/>
    <w:uiPriority w:val="99"/>
    <w:pPr>
      <w:spacing w:line="480" w:lineRule="auto"/>
      <w:ind w:firstLine="640" w:firstLineChars="200"/>
    </w:pPr>
    <w:rPr>
      <w:rFonts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2"/>
    <w:basedOn w:val="3"/>
    <w:qFormat/>
    <w:uiPriority w:val="0"/>
    <w:pPr>
      <w:ind w:left="420" w:leftChars="200" w:firstLine="21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2021-04-17T02:53:00Z</dcterms:created>
  <dc:creator>jrj</dc:creator>
  <cp:lastModifiedBy>SWZJ</cp:lastModifiedBy>
  <cp:lastPrinted>2021-06-16T03:40:00Z</cp:lastPrinted>
  <dcterms:modified xsi:type="dcterms:W3CDTF">2023-10-25T07:53:34Z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1C5C72E4F6534363B30EE60F68DA793F</vt:lpwstr>
  </property>
</Properties>
</file>