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leftChars="0" w:right="0" w:rightChars="0" w:firstLine="0" w:firstLineChars="0"/>
        <w:jc w:val="left"/>
        <w:textAlignment w:val="auto"/>
        <w:outlineLvl w:val="9"/>
        <w:rPr>
          <w:rFonts w:hint="eastAsia" w:ascii="黑体" w:hAnsi="黑体" w:eastAsia="黑体" w:cs="黑体"/>
          <w:b w:val="0"/>
          <w:i w:val="0"/>
          <w:caps w:val="0"/>
          <w:color w:val="000000"/>
          <w:spacing w:val="0"/>
          <w:sz w:val="32"/>
          <w:szCs w:val="32"/>
          <w:highlight w:val="none"/>
          <w:u w:val="none"/>
          <w:lang w:val="en-US" w:eastAsia="zh-CN"/>
        </w:rPr>
      </w:pPr>
      <w:bookmarkStart w:id="0" w:name="_GoBack"/>
      <w:r>
        <w:rPr>
          <w:rFonts w:hint="eastAsia" w:ascii="黑体" w:hAnsi="黑体" w:eastAsia="黑体" w:cs="黑体"/>
          <w:b w:val="0"/>
          <w:i w:val="0"/>
          <w:caps w:val="0"/>
          <w:color w:val="000000"/>
          <w:spacing w:val="0"/>
          <w:sz w:val="32"/>
          <w:szCs w:val="32"/>
          <w:highlight w:val="none"/>
          <w:u w:val="none"/>
          <w:lang w:eastAsia="zh-CN"/>
        </w:rPr>
        <w:t>附件</w:t>
      </w:r>
      <w:r>
        <w:rPr>
          <w:rFonts w:hint="eastAsia" w:ascii="黑体" w:hAnsi="黑体" w:eastAsia="黑体" w:cs="黑体"/>
          <w:b w:val="0"/>
          <w:i w:val="0"/>
          <w:caps w:val="0"/>
          <w:color w:val="000000"/>
          <w:spacing w:val="0"/>
          <w:sz w:val="32"/>
          <w:szCs w:val="32"/>
          <w:highlight w:val="none"/>
          <w:u w:val="none"/>
          <w:lang w:val="en-US" w:eastAsia="zh-CN"/>
        </w:rPr>
        <w:t>1</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leftChars="0" w:right="0" w:rightChars="0" w:firstLine="0" w:firstLineChars="0"/>
        <w:jc w:val="left"/>
        <w:textAlignment w:val="auto"/>
        <w:outlineLvl w:val="9"/>
        <w:rPr>
          <w:rFonts w:hint="eastAsia" w:ascii="黑体" w:hAnsi="黑体" w:eastAsia="黑体" w:cs="黑体"/>
          <w:b w:val="0"/>
          <w:i w:val="0"/>
          <w:caps w:val="0"/>
          <w:color w:val="000000"/>
          <w:spacing w:val="0"/>
          <w:sz w:val="32"/>
          <w:szCs w:val="32"/>
          <w:highlight w:val="none"/>
          <w:u w:val="none"/>
          <w:lang w:val="en-US" w:eastAsia="zh-CN"/>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color w:val="000000"/>
          <w:sz w:val="44"/>
          <w:szCs w:val="44"/>
          <w:highlight w:val="none"/>
          <w:lang w:eastAsia="zh-CN"/>
        </w:rPr>
      </w:pPr>
      <w:r>
        <w:rPr>
          <w:rFonts w:hint="eastAsia" w:ascii="方正小标宋简体" w:hAnsi="方正小标宋简体" w:eastAsia="方正小标宋简体" w:cs="方正小标宋简体"/>
          <w:color w:val="000000"/>
          <w:sz w:val="44"/>
          <w:szCs w:val="44"/>
          <w:highlight w:val="none"/>
          <w:lang w:eastAsia="zh-CN"/>
        </w:rPr>
        <w:t>汕尾市贯彻落实《广东省培育扶持个体工商户若干措施》的实施意见</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leftChars="0" w:right="0" w:rightChars="0" w:firstLine="0" w:firstLineChars="0"/>
        <w:jc w:val="center"/>
        <w:textAlignment w:val="auto"/>
        <w:outlineLvl w:val="9"/>
        <w:rPr>
          <w:rFonts w:hint="eastAsia" w:ascii="楷体" w:hAnsi="楷体" w:eastAsia="楷体" w:cs="楷体"/>
          <w:b w:val="0"/>
          <w:bCs/>
          <w:i w:val="0"/>
          <w:caps w:val="0"/>
          <w:color w:val="000000"/>
          <w:spacing w:val="0"/>
          <w:sz w:val="32"/>
          <w:szCs w:val="32"/>
          <w:highlight w:val="none"/>
          <w:u w:val="none"/>
        </w:rPr>
      </w:pPr>
      <w:r>
        <w:rPr>
          <w:rStyle w:val="9"/>
          <w:rFonts w:hint="eastAsia" w:ascii="楷体" w:hAnsi="楷体" w:eastAsia="楷体" w:cs="楷体"/>
          <w:b w:val="0"/>
          <w:bCs/>
          <w:i w:val="0"/>
          <w:caps w:val="0"/>
          <w:color w:val="000000"/>
          <w:spacing w:val="0"/>
          <w:sz w:val="32"/>
          <w:szCs w:val="32"/>
          <w:highlight w:val="none"/>
          <w:u w:val="none"/>
          <w:lang w:eastAsia="zh-CN"/>
        </w:rPr>
        <w:t>（征求意见稿）</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i w:val="0"/>
          <w:caps w:val="0"/>
          <w:color w:val="000000"/>
          <w:spacing w:val="0"/>
          <w:sz w:val="32"/>
          <w:szCs w:val="32"/>
          <w:highlight w:val="none"/>
          <w:u w:val="none"/>
        </w:rPr>
      </w:pP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i w:val="0"/>
          <w:caps w:val="0"/>
          <w:color w:val="000000"/>
          <w:spacing w:val="0"/>
          <w:sz w:val="32"/>
          <w:szCs w:val="32"/>
          <w:highlight w:val="none"/>
          <w:u w:val="none"/>
        </w:rPr>
      </w:pPr>
      <w:r>
        <w:rPr>
          <w:rFonts w:hint="eastAsia" w:ascii="仿宋_GB2312" w:hAnsi="仿宋_GB2312" w:eastAsia="仿宋_GB2312" w:cs="仿宋_GB2312"/>
          <w:b w:val="0"/>
          <w:i w:val="0"/>
          <w:caps w:val="0"/>
          <w:color w:val="000000"/>
          <w:spacing w:val="0"/>
          <w:sz w:val="32"/>
          <w:szCs w:val="32"/>
          <w:highlight w:val="none"/>
          <w:u w:val="none"/>
        </w:rPr>
        <w:t>　　为深入学习贯彻党的二十大精神和习近平总书记视察广东重要讲话、重要指示精神，全面落实《促进个体工商户发展条例》《广东省人民政府办公厅关于印发广东省促进个体工商户发展实施办法的通知》（粤府办〔2023〕3号）和《广东省人民政府办公厅关于印发广东省培育扶持个体工商户若干措施的通知》（粤办函〔2023〕12号），促进个体工商户持续健康发展，更好发挥个体工商户在繁荣经济、增加就业、推动创业创新、方便群众生活等方面的作用，</w:t>
      </w:r>
      <w:r>
        <w:rPr>
          <w:rFonts w:hint="eastAsia" w:ascii="仿宋_GB2312" w:hAnsi="仿宋_GB2312" w:eastAsia="仿宋_GB2312" w:cs="仿宋_GB2312"/>
          <w:b w:val="0"/>
          <w:i w:val="0"/>
          <w:caps w:val="0"/>
          <w:color w:val="000000"/>
          <w:spacing w:val="0"/>
          <w:sz w:val="32"/>
          <w:szCs w:val="32"/>
          <w:highlight w:val="none"/>
          <w:u w:val="none"/>
          <w:lang w:eastAsia="zh-CN"/>
        </w:rPr>
        <w:t>结合我市实际，制定</w:t>
      </w:r>
      <w:r>
        <w:rPr>
          <w:rFonts w:hint="eastAsia" w:ascii="仿宋_GB2312" w:hAnsi="仿宋_GB2312" w:eastAsia="仿宋_GB2312" w:cs="仿宋_GB2312"/>
          <w:b w:val="0"/>
          <w:i w:val="0"/>
          <w:caps w:val="0"/>
          <w:color w:val="000000"/>
          <w:spacing w:val="0"/>
          <w:sz w:val="32"/>
          <w:szCs w:val="32"/>
          <w:highlight w:val="none"/>
          <w:u w:val="none"/>
        </w:rPr>
        <w:t>如下</w:t>
      </w:r>
      <w:r>
        <w:rPr>
          <w:rFonts w:hint="eastAsia" w:ascii="仿宋_GB2312" w:hAnsi="仿宋_GB2312" w:eastAsia="仿宋_GB2312" w:cs="仿宋_GB2312"/>
          <w:b w:val="0"/>
          <w:i w:val="0"/>
          <w:caps w:val="0"/>
          <w:color w:val="000000"/>
          <w:spacing w:val="0"/>
          <w:sz w:val="32"/>
          <w:szCs w:val="32"/>
          <w:highlight w:val="none"/>
          <w:u w:val="none"/>
          <w:lang w:eastAsia="zh-CN"/>
        </w:rPr>
        <w:t>实施意见</w:t>
      </w:r>
      <w:r>
        <w:rPr>
          <w:rFonts w:hint="eastAsia" w:ascii="仿宋_GB2312" w:hAnsi="仿宋_GB2312" w:eastAsia="仿宋_GB2312" w:cs="仿宋_GB2312"/>
          <w:b w:val="0"/>
          <w:i w:val="0"/>
          <w:caps w:val="0"/>
          <w:color w:val="000000"/>
          <w:spacing w:val="0"/>
          <w:sz w:val="32"/>
          <w:szCs w:val="32"/>
          <w:highlight w:val="none"/>
          <w:u w:val="none"/>
        </w:rPr>
        <w:t>。</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leftChars="0" w:right="0" w:rightChars="0" w:firstLine="0" w:firstLineChars="0"/>
        <w:jc w:val="both"/>
        <w:textAlignment w:val="auto"/>
        <w:outlineLvl w:val="9"/>
        <w:rPr>
          <w:rFonts w:hint="eastAsia" w:ascii="黑体" w:hAnsi="黑体" w:eastAsia="黑体" w:cs="黑体"/>
          <w:b w:val="0"/>
          <w:bCs w:val="0"/>
          <w:i w:val="0"/>
          <w:caps w:val="0"/>
          <w:color w:val="000000"/>
          <w:spacing w:val="0"/>
          <w:sz w:val="32"/>
          <w:szCs w:val="32"/>
          <w:highlight w:val="none"/>
          <w:u w:val="none"/>
        </w:rPr>
      </w:pPr>
      <w:r>
        <w:rPr>
          <w:rFonts w:hint="eastAsia" w:ascii="黑体" w:hAnsi="黑体" w:eastAsia="黑体" w:cs="黑体"/>
          <w:b w:val="0"/>
          <w:bCs w:val="0"/>
          <w:i w:val="0"/>
          <w:caps w:val="0"/>
          <w:color w:val="000000"/>
          <w:spacing w:val="0"/>
          <w:sz w:val="32"/>
          <w:szCs w:val="32"/>
          <w:highlight w:val="none"/>
          <w:u w:val="none"/>
        </w:rPr>
        <w:t>　　</w:t>
      </w:r>
      <w:r>
        <w:rPr>
          <w:rStyle w:val="9"/>
          <w:rFonts w:hint="eastAsia" w:ascii="黑体" w:hAnsi="黑体" w:eastAsia="黑体" w:cs="黑体"/>
          <w:b w:val="0"/>
          <w:bCs w:val="0"/>
          <w:i w:val="0"/>
          <w:caps w:val="0"/>
          <w:color w:val="000000"/>
          <w:spacing w:val="0"/>
          <w:sz w:val="32"/>
          <w:szCs w:val="32"/>
          <w:highlight w:val="none"/>
          <w:u w:val="none"/>
        </w:rPr>
        <w:t>一、降低个体工商户经营成本</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leftChars="0" w:right="0" w:rightChars="0" w:firstLine="640" w:firstLineChars="200"/>
        <w:jc w:val="both"/>
        <w:textAlignment w:val="auto"/>
        <w:outlineLvl w:val="9"/>
        <w:rPr>
          <w:rFonts w:hint="eastAsia" w:ascii="黑体" w:hAnsi="黑体" w:eastAsia="黑体" w:cs="黑体"/>
          <w:b w:val="0"/>
          <w:i w:val="0"/>
          <w:caps w:val="0"/>
          <w:color w:val="000000"/>
          <w:spacing w:val="0"/>
          <w:sz w:val="32"/>
          <w:szCs w:val="32"/>
          <w:highlight w:val="none"/>
          <w:u w:val="none"/>
        </w:rPr>
      </w:pPr>
      <w:r>
        <w:rPr>
          <w:rFonts w:hint="eastAsia" w:ascii="仿宋_GB2312" w:hAnsi="仿宋_GB2312" w:eastAsia="仿宋_GB2312" w:cs="仿宋_GB2312"/>
          <w:b w:val="0"/>
          <w:i w:val="0"/>
          <w:caps w:val="0"/>
          <w:color w:val="000000"/>
          <w:spacing w:val="0"/>
          <w:sz w:val="32"/>
          <w:szCs w:val="32"/>
          <w:highlight w:val="none"/>
          <w:u w:val="none"/>
        </w:rPr>
        <w:t>1.</w:t>
      </w:r>
      <w:r>
        <w:rPr>
          <w:rFonts w:hint="eastAsia" w:ascii="仿宋_GB2312" w:hAnsi="仿宋_GB2312" w:eastAsia="仿宋_GB2312" w:cs="仿宋_GB2312"/>
          <w:b w:val="0"/>
          <w:i w:val="0"/>
          <w:caps w:val="0"/>
          <w:color w:val="000000"/>
          <w:spacing w:val="0"/>
          <w:sz w:val="32"/>
          <w:szCs w:val="32"/>
          <w:highlight w:val="none"/>
          <w:u w:val="none"/>
          <w:lang w:eastAsia="zh-CN"/>
        </w:rPr>
        <w:t>实施</w:t>
      </w:r>
      <w:r>
        <w:rPr>
          <w:rFonts w:hint="eastAsia" w:ascii="仿宋_GB2312" w:hAnsi="仿宋_GB2312" w:eastAsia="仿宋_GB2312" w:cs="仿宋_GB2312"/>
          <w:b w:val="0"/>
          <w:i w:val="0"/>
          <w:caps w:val="0"/>
          <w:color w:val="000000"/>
          <w:spacing w:val="0"/>
          <w:sz w:val="32"/>
          <w:szCs w:val="32"/>
          <w:highlight w:val="none"/>
          <w:u w:val="none"/>
        </w:rPr>
        <w:t>阶段性降低失业、工伤保险费率</w:t>
      </w:r>
      <w:r>
        <w:rPr>
          <w:rFonts w:hint="eastAsia" w:ascii="仿宋_GB2312" w:hAnsi="仿宋_GB2312" w:eastAsia="仿宋_GB2312" w:cs="仿宋_GB2312"/>
          <w:b w:val="0"/>
          <w:i w:val="0"/>
          <w:caps w:val="0"/>
          <w:color w:val="000000"/>
          <w:spacing w:val="0"/>
          <w:sz w:val="32"/>
          <w:szCs w:val="32"/>
          <w:highlight w:val="none"/>
          <w:u w:val="none"/>
          <w:lang w:eastAsia="zh-CN"/>
        </w:rPr>
        <w:t>政策。</w:t>
      </w:r>
      <w:r>
        <w:rPr>
          <w:rFonts w:hint="eastAsia" w:ascii="仿宋_GB2312" w:hAnsi="仿宋_GB2312" w:eastAsia="仿宋_GB2312" w:cs="仿宋_GB2312"/>
          <w:b w:val="0"/>
          <w:i w:val="0"/>
          <w:caps w:val="0"/>
          <w:color w:val="000000"/>
          <w:spacing w:val="0"/>
          <w:sz w:val="32"/>
          <w:szCs w:val="32"/>
          <w:highlight w:val="none"/>
          <w:u w:val="none"/>
        </w:rPr>
        <w:t>对以单位方式参保的有雇工的个体工商户，</w:t>
      </w:r>
      <w:r>
        <w:rPr>
          <w:rFonts w:hint="eastAsia" w:ascii="仿宋_GB2312" w:hAnsi="仿宋_GB2312" w:eastAsia="仿宋_GB2312" w:cs="仿宋_GB2312"/>
          <w:color w:val="000000"/>
          <w:sz w:val="32"/>
          <w:szCs w:val="32"/>
          <w:highlight w:val="none"/>
          <w:lang w:val="en-US" w:eastAsia="zh-CN"/>
        </w:rPr>
        <w:t>按照省的部署，继续实施阶段性降低失业保险费率至1%的政策，</w:t>
      </w:r>
      <w:r>
        <w:rPr>
          <w:rFonts w:hint="eastAsia" w:ascii="仿宋_GB2312" w:hAnsi="仿宋_GB2312" w:eastAsia="仿宋_GB2312" w:cs="仿宋_GB2312"/>
          <w:b w:val="0"/>
          <w:i w:val="0"/>
          <w:caps w:val="0"/>
          <w:color w:val="000000"/>
          <w:spacing w:val="0"/>
          <w:sz w:val="32"/>
          <w:szCs w:val="32"/>
          <w:highlight w:val="none"/>
          <w:u w:val="none"/>
          <w:lang w:val="en-US" w:eastAsia="zh-CN"/>
        </w:rPr>
        <w:t>其中用人单位费率降至0.8%，个人费率降至0.2%</w:t>
      </w:r>
      <w:r>
        <w:rPr>
          <w:rFonts w:hint="eastAsia" w:ascii="仿宋_GB2312" w:hAnsi="仿宋_GB2312" w:eastAsia="仿宋_GB2312" w:cs="仿宋_GB2312"/>
          <w:b w:val="0"/>
          <w:i w:val="0"/>
          <w:caps w:val="0"/>
          <w:color w:val="000000"/>
          <w:spacing w:val="0"/>
          <w:sz w:val="32"/>
          <w:szCs w:val="32"/>
          <w:highlight w:val="none"/>
          <w:u w:val="none"/>
        </w:rPr>
        <w:t>。按政策及时做好系统调整工作，实行“免申即享”经办模式，符合条件的个体工商户无须提出申请即可享受阶段性降低失业保险费率政策</w:t>
      </w:r>
      <w:r>
        <w:rPr>
          <w:rFonts w:hint="eastAsia" w:ascii="仿宋_GB2312" w:hAnsi="仿宋_GB2312" w:eastAsia="仿宋_GB2312" w:cs="仿宋_GB2312"/>
          <w:b w:val="0"/>
          <w:i w:val="0"/>
          <w:caps w:val="0"/>
          <w:color w:val="000000"/>
          <w:spacing w:val="0"/>
          <w:sz w:val="32"/>
          <w:szCs w:val="32"/>
          <w:highlight w:val="none"/>
          <w:u w:val="none"/>
          <w:lang w:eastAsia="zh-CN"/>
        </w:rPr>
        <w:t>。失业保险浮动费率政策和阶段性降低工伤保险费率政策</w:t>
      </w:r>
      <w:r>
        <w:rPr>
          <w:rFonts w:hint="eastAsia" w:ascii="仿宋_GB2312" w:hAnsi="仿宋_GB2312" w:eastAsia="仿宋_GB2312" w:cs="仿宋_GB2312"/>
          <w:b w:val="0"/>
          <w:i w:val="0"/>
          <w:caps w:val="0"/>
          <w:color w:val="000000"/>
          <w:spacing w:val="0"/>
          <w:sz w:val="32"/>
          <w:szCs w:val="32"/>
          <w:highlight w:val="none"/>
          <w:u w:val="none"/>
        </w:rPr>
        <w:t>执行期限按国家</w:t>
      </w:r>
      <w:r>
        <w:rPr>
          <w:rFonts w:hint="eastAsia" w:ascii="仿宋_GB2312" w:hAnsi="仿宋_GB2312" w:eastAsia="仿宋_GB2312" w:cs="仿宋_GB2312"/>
          <w:b w:val="0"/>
          <w:i w:val="0"/>
          <w:caps w:val="0"/>
          <w:color w:val="000000"/>
          <w:spacing w:val="0"/>
          <w:sz w:val="32"/>
          <w:szCs w:val="32"/>
          <w:highlight w:val="none"/>
          <w:u w:val="none"/>
          <w:lang w:eastAsia="zh-CN"/>
        </w:rPr>
        <w:t>或省</w:t>
      </w:r>
      <w:r>
        <w:rPr>
          <w:rFonts w:hint="eastAsia" w:ascii="仿宋_GB2312" w:hAnsi="仿宋_GB2312" w:eastAsia="仿宋_GB2312" w:cs="仿宋_GB2312"/>
          <w:b w:val="0"/>
          <w:i w:val="0"/>
          <w:caps w:val="0"/>
          <w:color w:val="000000"/>
          <w:spacing w:val="0"/>
          <w:sz w:val="32"/>
          <w:szCs w:val="32"/>
          <w:highlight w:val="none"/>
          <w:u w:val="none"/>
        </w:rPr>
        <w:t>统一规定执行。</w:t>
      </w:r>
      <w:r>
        <w:rPr>
          <w:rFonts w:hint="eastAsia" w:ascii="黑体" w:hAnsi="黑体" w:eastAsia="黑体" w:cs="黑体"/>
          <w:b w:val="0"/>
          <w:i w:val="0"/>
          <w:caps w:val="0"/>
          <w:color w:val="000000"/>
          <w:spacing w:val="0"/>
          <w:sz w:val="32"/>
          <w:szCs w:val="32"/>
          <w:highlight w:val="none"/>
          <w:u w:val="none"/>
        </w:rPr>
        <w:t>（责任单位：</w:t>
      </w:r>
      <w:r>
        <w:rPr>
          <w:rFonts w:hint="eastAsia" w:ascii="黑体" w:hAnsi="黑体" w:eastAsia="黑体" w:cs="黑体"/>
          <w:b w:val="0"/>
          <w:i w:val="0"/>
          <w:caps w:val="0"/>
          <w:color w:val="000000"/>
          <w:spacing w:val="0"/>
          <w:sz w:val="32"/>
          <w:szCs w:val="32"/>
          <w:highlight w:val="none"/>
          <w:u w:val="none"/>
          <w:lang w:eastAsia="zh-CN"/>
        </w:rPr>
        <w:t>市</w:t>
      </w:r>
      <w:r>
        <w:rPr>
          <w:rFonts w:hint="eastAsia" w:ascii="黑体" w:hAnsi="黑体" w:eastAsia="黑体" w:cs="黑体"/>
          <w:b w:val="0"/>
          <w:i w:val="0"/>
          <w:caps w:val="0"/>
          <w:color w:val="000000"/>
          <w:spacing w:val="0"/>
          <w:sz w:val="32"/>
          <w:szCs w:val="32"/>
          <w:highlight w:val="none"/>
          <w:u w:val="none"/>
        </w:rPr>
        <w:t>财政</w:t>
      </w:r>
      <w:r>
        <w:rPr>
          <w:rFonts w:hint="eastAsia" w:ascii="黑体" w:hAnsi="黑体" w:eastAsia="黑体" w:cs="黑体"/>
          <w:b w:val="0"/>
          <w:i w:val="0"/>
          <w:caps w:val="0"/>
          <w:color w:val="000000"/>
          <w:spacing w:val="0"/>
          <w:sz w:val="32"/>
          <w:szCs w:val="32"/>
          <w:highlight w:val="none"/>
          <w:u w:val="none"/>
          <w:lang w:eastAsia="zh-CN"/>
        </w:rPr>
        <w:t>局</w:t>
      </w:r>
      <w:r>
        <w:rPr>
          <w:rFonts w:hint="eastAsia" w:ascii="黑体" w:hAnsi="黑体" w:eastAsia="黑体" w:cs="黑体"/>
          <w:b w:val="0"/>
          <w:i w:val="0"/>
          <w:caps w:val="0"/>
          <w:color w:val="000000"/>
          <w:spacing w:val="0"/>
          <w:sz w:val="32"/>
          <w:szCs w:val="32"/>
          <w:highlight w:val="none"/>
          <w:u w:val="none"/>
        </w:rPr>
        <w:t>、</w:t>
      </w:r>
      <w:r>
        <w:rPr>
          <w:rFonts w:hint="eastAsia" w:ascii="黑体" w:hAnsi="黑体" w:eastAsia="黑体" w:cs="黑体"/>
          <w:b w:val="0"/>
          <w:i w:val="0"/>
          <w:caps w:val="0"/>
          <w:color w:val="000000"/>
          <w:spacing w:val="0"/>
          <w:sz w:val="32"/>
          <w:szCs w:val="32"/>
          <w:highlight w:val="none"/>
          <w:u w:val="none"/>
          <w:lang w:eastAsia="zh-CN"/>
        </w:rPr>
        <w:t>市</w:t>
      </w:r>
      <w:r>
        <w:rPr>
          <w:rFonts w:hint="eastAsia" w:ascii="黑体" w:hAnsi="黑体" w:eastAsia="黑体" w:cs="黑体"/>
          <w:b w:val="0"/>
          <w:i w:val="0"/>
          <w:caps w:val="0"/>
          <w:color w:val="000000"/>
          <w:spacing w:val="0"/>
          <w:sz w:val="32"/>
          <w:szCs w:val="32"/>
          <w:highlight w:val="none"/>
          <w:u w:val="none"/>
        </w:rPr>
        <w:t>人力资源社会保障</w:t>
      </w:r>
      <w:r>
        <w:rPr>
          <w:rFonts w:hint="eastAsia" w:ascii="黑体" w:hAnsi="黑体" w:eastAsia="黑体" w:cs="黑体"/>
          <w:b w:val="0"/>
          <w:i w:val="0"/>
          <w:caps w:val="0"/>
          <w:color w:val="000000"/>
          <w:spacing w:val="0"/>
          <w:sz w:val="32"/>
          <w:szCs w:val="32"/>
          <w:highlight w:val="none"/>
          <w:u w:val="none"/>
          <w:lang w:eastAsia="zh-CN"/>
        </w:rPr>
        <w:t>局</w:t>
      </w:r>
      <w:r>
        <w:rPr>
          <w:rFonts w:hint="eastAsia" w:ascii="黑体" w:hAnsi="黑体" w:eastAsia="黑体" w:cs="黑体"/>
          <w:b w:val="0"/>
          <w:i w:val="0"/>
          <w:caps w:val="0"/>
          <w:color w:val="000000"/>
          <w:spacing w:val="0"/>
          <w:sz w:val="32"/>
          <w:szCs w:val="32"/>
          <w:highlight w:val="none"/>
          <w:u w:val="none"/>
        </w:rPr>
        <w:t>、国家税务总局汕尾</w:t>
      </w:r>
      <w:r>
        <w:rPr>
          <w:rFonts w:hint="eastAsia" w:ascii="黑体" w:hAnsi="黑体" w:eastAsia="黑体" w:cs="黑体"/>
          <w:b w:val="0"/>
          <w:i w:val="0"/>
          <w:caps w:val="0"/>
          <w:color w:val="000000"/>
          <w:spacing w:val="0"/>
          <w:sz w:val="32"/>
          <w:szCs w:val="32"/>
          <w:highlight w:val="none"/>
          <w:u w:val="none"/>
          <w:lang w:eastAsia="zh-CN"/>
        </w:rPr>
        <w:t>市</w:t>
      </w:r>
      <w:r>
        <w:rPr>
          <w:rFonts w:hint="eastAsia" w:ascii="黑体" w:hAnsi="黑体" w:eastAsia="黑体" w:cs="黑体"/>
          <w:b w:val="0"/>
          <w:i w:val="0"/>
          <w:caps w:val="0"/>
          <w:color w:val="000000"/>
          <w:spacing w:val="0"/>
          <w:sz w:val="32"/>
          <w:szCs w:val="32"/>
          <w:highlight w:val="none"/>
          <w:u w:val="none"/>
        </w:rPr>
        <w:t>税务局等按职责分工负责）</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highlight w:val="none"/>
          <w:u w:val="none"/>
          <w:lang w:eastAsia="zh-CN"/>
        </w:rPr>
      </w:pPr>
      <w:r>
        <w:rPr>
          <w:rFonts w:hint="eastAsia" w:ascii="仿宋_GB2312" w:hAnsi="仿宋_GB2312" w:eastAsia="仿宋_GB2312" w:cs="仿宋_GB2312"/>
          <w:b w:val="0"/>
          <w:i w:val="0"/>
          <w:caps w:val="0"/>
          <w:color w:val="000000"/>
          <w:spacing w:val="0"/>
          <w:sz w:val="32"/>
          <w:szCs w:val="32"/>
          <w:highlight w:val="none"/>
          <w:u w:val="none"/>
        </w:rPr>
        <w:t>2</w:t>
      </w:r>
      <w:r>
        <w:rPr>
          <w:rFonts w:hint="eastAsia" w:ascii="仿宋_GB2312" w:hAnsi="仿宋_GB2312" w:eastAsia="仿宋_GB2312" w:cs="仿宋_GB2312"/>
          <w:b w:val="0"/>
          <w:i w:val="0"/>
          <w:caps w:val="0"/>
          <w:color w:val="000000"/>
          <w:spacing w:val="0"/>
          <w:sz w:val="32"/>
          <w:szCs w:val="32"/>
          <w:highlight w:val="none"/>
          <w:u w:val="none"/>
          <w:lang w:eastAsia="zh-CN"/>
        </w:rPr>
        <w:t>.</w:t>
      </w:r>
      <w:r>
        <w:rPr>
          <w:rFonts w:hint="eastAsia" w:ascii="仿宋_GB2312" w:hAnsi="仿宋_GB2312" w:eastAsia="仿宋_GB2312" w:cs="仿宋_GB2312"/>
          <w:b w:val="0"/>
          <w:i w:val="0"/>
          <w:caps w:val="0"/>
          <w:color w:val="000000"/>
          <w:spacing w:val="0"/>
          <w:sz w:val="32"/>
          <w:szCs w:val="32"/>
          <w:highlight w:val="none"/>
          <w:u w:val="none"/>
          <w:lang w:val="en-US" w:eastAsia="zh-CN"/>
        </w:rPr>
        <w:t>落实</w:t>
      </w:r>
      <w:r>
        <w:rPr>
          <w:rFonts w:hint="eastAsia" w:ascii="仿宋_GB2312" w:hAnsi="仿宋_GB2312" w:eastAsia="仿宋_GB2312" w:cs="仿宋_GB2312"/>
          <w:b w:val="0"/>
          <w:i w:val="0"/>
          <w:caps w:val="0"/>
          <w:color w:val="000000"/>
          <w:spacing w:val="0"/>
          <w:sz w:val="32"/>
          <w:szCs w:val="32"/>
          <w:highlight w:val="none"/>
          <w:u w:val="none"/>
          <w:lang w:eastAsia="zh-CN"/>
        </w:rPr>
        <w:t>缓缴社会保险费政策。</w:t>
      </w:r>
      <w:r>
        <w:rPr>
          <w:rFonts w:hint="eastAsia" w:ascii="仿宋_GB2312" w:hAnsi="仿宋_GB2312" w:eastAsia="仿宋_GB2312" w:cs="仿宋_GB2312"/>
          <w:b w:val="0"/>
          <w:i w:val="0"/>
          <w:caps w:val="0"/>
          <w:color w:val="000000"/>
          <w:spacing w:val="0"/>
          <w:sz w:val="32"/>
          <w:szCs w:val="32"/>
          <w:highlight w:val="none"/>
          <w:u w:val="none"/>
        </w:rPr>
        <w:t>健全部门间协作机制，加强数据共享，确保参保人正常享受社保待遇。个体工商户等市场主体申请缓缴的2022年度养老、失业、工伤费款和2023年</w:t>
      </w:r>
      <w:r>
        <w:rPr>
          <w:rFonts w:hint="eastAsia" w:ascii="仿宋_GB2312" w:hAnsi="仿宋_GB2312" w:eastAsia="仿宋_GB2312" w:cs="仿宋_GB2312"/>
          <w:b w:val="0"/>
          <w:i w:val="0"/>
          <w:caps w:val="0"/>
          <w:color w:val="000000"/>
          <w:spacing w:val="0"/>
          <w:sz w:val="32"/>
          <w:szCs w:val="32"/>
          <w:highlight w:val="none"/>
          <w:u w:val="none"/>
          <w:lang w:val="en-US" w:eastAsia="zh-CN"/>
        </w:rPr>
        <w:t>第一</w:t>
      </w:r>
      <w:r>
        <w:rPr>
          <w:rFonts w:hint="eastAsia" w:ascii="仿宋_GB2312" w:hAnsi="仿宋_GB2312" w:eastAsia="仿宋_GB2312" w:cs="仿宋_GB2312"/>
          <w:b w:val="0"/>
          <w:i w:val="0"/>
          <w:caps w:val="0"/>
          <w:color w:val="000000"/>
          <w:spacing w:val="0"/>
          <w:sz w:val="32"/>
          <w:szCs w:val="32"/>
          <w:highlight w:val="none"/>
          <w:u w:val="none"/>
        </w:rPr>
        <w:t>季度失业、工伤费款可在2023年底前采取分期或逐月等方式补缴，补缴期间免收滞纳金。运用“</w:t>
      </w:r>
      <w:r>
        <w:rPr>
          <w:rFonts w:hint="eastAsia" w:ascii="仿宋_GB2312" w:hAnsi="仿宋_GB2312" w:eastAsia="仿宋_GB2312" w:cs="仿宋_GB2312"/>
          <w:b w:val="0"/>
          <w:i w:val="0"/>
          <w:caps w:val="0"/>
          <w:color w:val="000000"/>
          <w:spacing w:val="0"/>
          <w:sz w:val="32"/>
          <w:szCs w:val="32"/>
          <w:highlight w:val="none"/>
          <w:u w:val="none"/>
          <w:lang w:eastAsia="zh-CN"/>
        </w:rPr>
        <w:t>粤税通</w:t>
      </w:r>
      <w:r>
        <w:rPr>
          <w:rFonts w:hint="eastAsia" w:ascii="仿宋_GB2312" w:hAnsi="仿宋_GB2312" w:eastAsia="仿宋_GB2312" w:cs="仿宋_GB2312"/>
          <w:b w:val="0"/>
          <w:i w:val="0"/>
          <w:caps w:val="0"/>
          <w:color w:val="000000"/>
          <w:spacing w:val="0"/>
          <w:sz w:val="32"/>
          <w:szCs w:val="32"/>
          <w:highlight w:val="none"/>
          <w:u w:val="none"/>
        </w:rPr>
        <w:t>”</w:t>
      </w:r>
      <w:r>
        <w:rPr>
          <w:rFonts w:hint="eastAsia" w:ascii="仿宋_GB2312" w:hAnsi="仿宋_GB2312" w:eastAsia="仿宋_GB2312" w:cs="仿宋_GB2312"/>
          <w:b w:val="0"/>
          <w:i w:val="0"/>
          <w:caps w:val="0"/>
          <w:color w:val="000000"/>
          <w:spacing w:val="0"/>
          <w:sz w:val="32"/>
          <w:szCs w:val="32"/>
          <w:highlight w:val="none"/>
          <w:u w:val="none"/>
          <w:lang w:eastAsia="zh-CN"/>
        </w:rPr>
        <w:t>“善美店小二”等</w:t>
      </w:r>
      <w:r>
        <w:rPr>
          <w:rFonts w:hint="eastAsia" w:ascii="仿宋_GB2312" w:hAnsi="仿宋_GB2312" w:eastAsia="仿宋_GB2312" w:cs="仿宋_GB2312"/>
          <w:b w:val="0"/>
          <w:i w:val="0"/>
          <w:caps w:val="0"/>
          <w:color w:val="000000"/>
          <w:spacing w:val="0"/>
          <w:sz w:val="32"/>
          <w:szCs w:val="32"/>
          <w:highlight w:val="none"/>
          <w:u w:val="none"/>
        </w:rPr>
        <w:t>服务平台点对点发送缓缴政策，精准开展政策宣传和辅导，确保个体工商户等市场主体缓缴政策应知尽知。</w:t>
      </w:r>
      <w:r>
        <w:rPr>
          <w:rFonts w:hint="eastAsia" w:ascii="黑体" w:hAnsi="黑体" w:eastAsia="黑体" w:cs="黑体"/>
          <w:b w:val="0"/>
          <w:i w:val="0"/>
          <w:caps w:val="0"/>
          <w:color w:val="000000"/>
          <w:spacing w:val="0"/>
          <w:sz w:val="32"/>
          <w:szCs w:val="32"/>
          <w:highlight w:val="none"/>
          <w:u w:val="none"/>
        </w:rPr>
        <w:t>（责任单位：</w:t>
      </w:r>
      <w:r>
        <w:rPr>
          <w:rFonts w:hint="eastAsia" w:ascii="黑体" w:hAnsi="黑体" w:eastAsia="黑体" w:cs="黑体"/>
          <w:b w:val="0"/>
          <w:i w:val="0"/>
          <w:caps w:val="0"/>
          <w:color w:val="000000"/>
          <w:spacing w:val="0"/>
          <w:sz w:val="32"/>
          <w:szCs w:val="32"/>
          <w:highlight w:val="none"/>
          <w:u w:val="none"/>
          <w:lang w:eastAsia="zh-CN"/>
        </w:rPr>
        <w:t>市</w:t>
      </w:r>
      <w:r>
        <w:rPr>
          <w:rFonts w:hint="eastAsia" w:ascii="黑体" w:hAnsi="黑体" w:eastAsia="黑体" w:cs="黑体"/>
          <w:b w:val="0"/>
          <w:i w:val="0"/>
          <w:caps w:val="0"/>
          <w:color w:val="000000"/>
          <w:spacing w:val="0"/>
          <w:sz w:val="32"/>
          <w:szCs w:val="32"/>
          <w:highlight w:val="none"/>
          <w:u w:val="none"/>
        </w:rPr>
        <w:t>财政</w:t>
      </w:r>
      <w:r>
        <w:rPr>
          <w:rFonts w:hint="eastAsia" w:ascii="黑体" w:hAnsi="黑体" w:eastAsia="黑体" w:cs="黑体"/>
          <w:b w:val="0"/>
          <w:i w:val="0"/>
          <w:caps w:val="0"/>
          <w:color w:val="000000"/>
          <w:spacing w:val="0"/>
          <w:sz w:val="32"/>
          <w:szCs w:val="32"/>
          <w:highlight w:val="none"/>
          <w:u w:val="none"/>
          <w:lang w:eastAsia="zh-CN"/>
        </w:rPr>
        <w:t>局</w:t>
      </w:r>
      <w:r>
        <w:rPr>
          <w:rFonts w:hint="eastAsia" w:ascii="黑体" w:hAnsi="黑体" w:eastAsia="黑体" w:cs="黑体"/>
          <w:b w:val="0"/>
          <w:i w:val="0"/>
          <w:caps w:val="0"/>
          <w:color w:val="000000"/>
          <w:spacing w:val="0"/>
          <w:sz w:val="32"/>
          <w:szCs w:val="32"/>
          <w:highlight w:val="none"/>
          <w:u w:val="none"/>
        </w:rPr>
        <w:t>、</w:t>
      </w:r>
      <w:r>
        <w:rPr>
          <w:rFonts w:hint="eastAsia" w:ascii="黑体" w:hAnsi="黑体" w:eastAsia="黑体" w:cs="黑体"/>
          <w:b w:val="0"/>
          <w:i w:val="0"/>
          <w:caps w:val="0"/>
          <w:color w:val="000000"/>
          <w:spacing w:val="0"/>
          <w:sz w:val="32"/>
          <w:szCs w:val="32"/>
          <w:highlight w:val="none"/>
          <w:u w:val="none"/>
          <w:lang w:eastAsia="zh-CN"/>
        </w:rPr>
        <w:t>市</w:t>
      </w:r>
      <w:r>
        <w:rPr>
          <w:rFonts w:hint="eastAsia" w:ascii="黑体" w:hAnsi="黑体" w:eastAsia="黑体" w:cs="黑体"/>
          <w:b w:val="0"/>
          <w:i w:val="0"/>
          <w:caps w:val="0"/>
          <w:color w:val="000000"/>
          <w:spacing w:val="0"/>
          <w:sz w:val="32"/>
          <w:szCs w:val="32"/>
          <w:highlight w:val="none"/>
          <w:u w:val="none"/>
        </w:rPr>
        <w:t>人力资源社会保障</w:t>
      </w:r>
      <w:r>
        <w:rPr>
          <w:rFonts w:hint="eastAsia" w:ascii="黑体" w:hAnsi="黑体" w:eastAsia="黑体" w:cs="黑体"/>
          <w:b w:val="0"/>
          <w:i w:val="0"/>
          <w:caps w:val="0"/>
          <w:color w:val="000000"/>
          <w:spacing w:val="0"/>
          <w:sz w:val="32"/>
          <w:szCs w:val="32"/>
          <w:highlight w:val="none"/>
          <w:u w:val="none"/>
          <w:lang w:eastAsia="zh-CN"/>
        </w:rPr>
        <w:t>局</w:t>
      </w:r>
      <w:r>
        <w:rPr>
          <w:rFonts w:hint="eastAsia" w:ascii="黑体" w:hAnsi="黑体" w:eastAsia="黑体" w:cs="黑体"/>
          <w:b w:val="0"/>
          <w:i w:val="0"/>
          <w:caps w:val="0"/>
          <w:color w:val="000000"/>
          <w:spacing w:val="0"/>
          <w:sz w:val="32"/>
          <w:szCs w:val="32"/>
          <w:highlight w:val="none"/>
          <w:u w:val="none"/>
        </w:rPr>
        <w:t>、国家税务总局汕尾</w:t>
      </w:r>
      <w:r>
        <w:rPr>
          <w:rFonts w:hint="eastAsia" w:ascii="黑体" w:hAnsi="黑体" w:eastAsia="黑体" w:cs="黑体"/>
          <w:b w:val="0"/>
          <w:i w:val="0"/>
          <w:caps w:val="0"/>
          <w:color w:val="000000"/>
          <w:spacing w:val="0"/>
          <w:sz w:val="32"/>
          <w:szCs w:val="32"/>
          <w:highlight w:val="none"/>
          <w:u w:val="none"/>
          <w:lang w:eastAsia="zh-CN"/>
        </w:rPr>
        <w:t>市</w:t>
      </w:r>
      <w:r>
        <w:rPr>
          <w:rFonts w:hint="eastAsia" w:ascii="黑体" w:hAnsi="黑体" w:eastAsia="黑体" w:cs="黑体"/>
          <w:b w:val="0"/>
          <w:i w:val="0"/>
          <w:caps w:val="0"/>
          <w:color w:val="000000"/>
          <w:spacing w:val="0"/>
          <w:sz w:val="32"/>
          <w:szCs w:val="32"/>
          <w:highlight w:val="none"/>
          <w:u w:val="none"/>
        </w:rPr>
        <w:t>税务局</w:t>
      </w:r>
      <w:r>
        <w:rPr>
          <w:rFonts w:hint="eastAsia" w:ascii="黑体" w:hAnsi="黑体" w:eastAsia="黑体" w:cs="黑体"/>
          <w:b w:val="0"/>
          <w:i w:val="0"/>
          <w:caps w:val="0"/>
          <w:color w:val="000000"/>
          <w:spacing w:val="0"/>
          <w:sz w:val="32"/>
          <w:szCs w:val="32"/>
          <w:highlight w:val="none"/>
          <w:u w:val="none"/>
          <w:lang w:eastAsia="zh-CN"/>
        </w:rPr>
        <w:t>、市政务服务数据管理局</w:t>
      </w:r>
      <w:r>
        <w:rPr>
          <w:rFonts w:hint="eastAsia" w:ascii="黑体" w:hAnsi="黑体" w:eastAsia="黑体" w:cs="黑体"/>
          <w:b w:val="0"/>
          <w:i w:val="0"/>
          <w:caps w:val="0"/>
          <w:color w:val="000000"/>
          <w:spacing w:val="0"/>
          <w:sz w:val="32"/>
          <w:szCs w:val="32"/>
          <w:highlight w:val="none"/>
          <w:u w:val="none"/>
        </w:rPr>
        <w:t>等按职责分工负责）</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leftChars="0" w:right="0" w:rightChars="0" w:firstLine="640" w:firstLineChars="200"/>
        <w:jc w:val="both"/>
        <w:textAlignment w:val="auto"/>
        <w:outlineLvl w:val="9"/>
        <w:rPr>
          <w:rFonts w:hint="eastAsia" w:ascii="黑体" w:hAnsi="黑体" w:eastAsia="黑体" w:cs="黑体"/>
          <w:b w:val="0"/>
          <w:i w:val="0"/>
          <w:caps w:val="0"/>
          <w:color w:val="000000"/>
          <w:spacing w:val="0"/>
          <w:sz w:val="32"/>
          <w:szCs w:val="32"/>
          <w:highlight w:val="none"/>
          <w:u w:val="none"/>
          <w:lang w:eastAsia="zh-CN"/>
        </w:rPr>
      </w:pPr>
      <w:r>
        <w:rPr>
          <w:rFonts w:hint="eastAsia" w:ascii="仿宋_GB2312" w:hAnsi="仿宋_GB2312" w:eastAsia="仿宋_GB2312" w:cs="仿宋_GB2312"/>
          <w:b w:val="0"/>
          <w:i w:val="0"/>
          <w:caps w:val="0"/>
          <w:color w:val="000000"/>
          <w:spacing w:val="0"/>
          <w:sz w:val="32"/>
          <w:szCs w:val="32"/>
          <w:highlight w:val="none"/>
          <w:u w:val="none"/>
        </w:rPr>
        <w:t>3.降低水电气及经营场所使用成本。全面落实对受疫情影响暂时出现生产经营困难的个体工商户用水、用电、用气“欠费不停供”政策，设立6个月的费用缓缴期，缓缴期间免收欠费滞纳金。鼓励对个体工商户水电气费用给予补贴。</w:t>
      </w:r>
      <w:r>
        <w:rPr>
          <w:rFonts w:hint="eastAsia" w:ascii="仿宋_GB2312" w:hAnsi="仿宋_GB2312" w:eastAsia="仿宋_GB2312" w:cs="仿宋_GB2312"/>
          <w:b w:val="0"/>
          <w:i w:val="0"/>
          <w:caps w:val="0"/>
          <w:color w:val="000000"/>
          <w:spacing w:val="0"/>
          <w:sz w:val="32"/>
          <w:szCs w:val="32"/>
          <w:highlight w:val="none"/>
          <w:u w:val="none"/>
          <w:lang w:eastAsia="zh-CN"/>
        </w:rPr>
        <w:t>采取有效措施，为个体工商户增加经营场所供给。</w:t>
      </w:r>
      <w:r>
        <w:rPr>
          <w:rFonts w:hint="eastAsia" w:ascii="黑体" w:hAnsi="黑体" w:eastAsia="黑体" w:cs="黑体"/>
          <w:b w:val="0"/>
          <w:i w:val="0"/>
          <w:caps w:val="0"/>
          <w:color w:val="000000"/>
          <w:spacing w:val="0"/>
          <w:sz w:val="32"/>
          <w:szCs w:val="32"/>
          <w:highlight w:val="none"/>
          <w:u w:val="none"/>
          <w:lang w:eastAsia="zh-CN"/>
        </w:rPr>
        <w:t>（</w:t>
      </w:r>
      <w:r>
        <w:rPr>
          <w:rFonts w:hint="eastAsia" w:ascii="黑体" w:hAnsi="黑体" w:eastAsia="黑体" w:cs="黑体"/>
          <w:b w:val="0"/>
          <w:i w:val="0"/>
          <w:caps w:val="0"/>
          <w:color w:val="000000"/>
          <w:spacing w:val="0"/>
          <w:sz w:val="32"/>
          <w:szCs w:val="32"/>
          <w:highlight w:val="none"/>
          <w:u w:val="none"/>
        </w:rPr>
        <w:t>责任单位：各县（市、区）人民政府，市发展改革局、</w:t>
      </w:r>
      <w:r>
        <w:rPr>
          <w:rFonts w:hint="eastAsia" w:ascii="黑体" w:hAnsi="黑体" w:eastAsia="黑体" w:cs="黑体"/>
          <w:b w:val="0"/>
          <w:i w:val="0"/>
          <w:caps w:val="0"/>
          <w:color w:val="000000"/>
          <w:spacing w:val="0"/>
          <w:sz w:val="32"/>
          <w:szCs w:val="32"/>
          <w:highlight w:val="none"/>
          <w:u w:val="none"/>
          <w:lang w:eastAsia="zh-CN"/>
        </w:rPr>
        <w:t>市住房城乡建设局</w:t>
      </w:r>
      <w:r>
        <w:rPr>
          <w:rFonts w:hint="eastAsia" w:ascii="黑体" w:hAnsi="黑体" w:eastAsia="黑体" w:cs="黑体"/>
          <w:b w:val="0"/>
          <w:i w:val="0"/>
          <w:caps w:val="0"/>
          <w:color w:val="000000"/>
          <w:spacing w:val="0"/>
          <w:sz w:val="32"/>
          <w:szCs w:val="32"/>
          <w:highlight w:val="none"/>
          <w:u w:val="none"/>
        </w:rPr>
        <w:t>等按职责分工负责</w:t>
      </w:r>
      <w:r>
        <w:rPr>
          <w:rFonts w:hint="eastAsia" w:ascii="黑体" w:hAnsi="黑体" w:eastAsia="黑体" w:cs="黑体"/>
          <w:b w:val="0"/>
          <w:i w:val="0"/>
          <w:caps w:val="0"/>
          <w:color w:val="000000"/>
          <w:spacing w:val="0"/>
          <w:sz w:val="32"/>
          <w:szCs w:val="32"/>
          <w:highlight w:val="none"/>
          <w:u w:val="none"/>
          <w:lang w:eastAsia="zh-CN"/>
        </w:rPr>
        <w:t>）</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leftChars="0" w:right="0" w:rightChars="0" w:firstLine="640" w:firstLineChars="200"/>
        <w:jc w:val="both"/>
        <w:textAlignment w:val="auto"/>
        <w:outlineLvl w:val="9"/>
        <w:rPr>
          <w:rFonts w:hint="eastAsia" w:ascii="黑体" w:hAnsi="黑体" w:eastAsia="黑体" w:cs="黑体"/>
          <w:b w:val="0"/>
          <w:i w:val="0"/>
          <w:caps w:val="0"/>
          <w:color w:val="000000"/>
          <w:spacing w:val="0"/>
          <w:sz w:val="32"/>
          <w:szCs w:val="32"/>
          <w:highlight w:val="none"/>
          <w:u w:val="none"/>
        </w:rPr>
      </w:pPr>
      <w:r>
        <w:rPr>
          <w:rFonts w:hint="eastAsia" w:ascii="仿宋_GB2312" w:hAnsi="仿宋_GB2312" w:eastAsia="仿宋_GB2312" w:cs="仿宋_GB2312"/>
          <w:b w:val="0"/>
          <w:i w:val="0"/>
          <w:caps w:val="0"/>
          <w:color w:val="000000"/>
          <w:spacing w:val="0"/>
          <w:sz w:val="32"/>
          <w:szCs w:val="32"/>
          <w:highlight w:val="none"/>
          <w:u w:val="none"/>
        </w:rPr>
        <w:t>4.加大</w:t>
      </w:r>
      <w:r>
        <w:rPr>
          <w:rFonts w:hint="default" w:ascii="仿宋_GB2312" w:hAnsi="仿宋_GB2312" w:eastAsia="仿宋_GB2312" w:cs="仿宋_GB2312"/>
          <w:b w:val="0"/>
          <w:i w:val="0"/>
          <w:caps w:val="0"/>
          <w:color w:val="000000"/>
          <w:spacing w:val="0"/>
          <w:sz w:val="32"/>
          <w:szCs w:val="32"/>
          <w:highlight w:val="none"/>
          <w:u w:val="none"/>
        </w:rPr>
        <w:t>保险保障</w:t>
      </w:r>
      <w:r>
        <w:rPr>
          <w:rFonts w:hint="eastAsia" w:ascii="仿宋_GB2312" w:hAnsi="仿宋_GB2312" w:eastAsia="仿宋_GB2312" w:cs="仿宋_GB2312"/>
          <w:b w:val="0"/>
          <w:i w:val="0"/>
          <w:caps w:val="0"/>
          <w:color w:val="000000"/>
          <w:spacing w:val="0"/>
          <w:sz w:val="32"/>
          <w:szCs w:val="32"/>
          <w:highlight w:val="none"/>
          <w:u w:val="none"/>
          <w:lang w:eastAsia="zh-CN"/>
        </w:rPr>
        <w:t>扶持</w:t>
      </w:r>
      <w:r>
        <w:rPr>
          <w:rFonts w:hint="default" w:ascii="仿宋_GB2312" w:hAnsi="仿宋_GB2312" w:eastAsia="仿宋_GB2312" w:cs="仿宋_GB2312"/>
          <w:b w:val="0"/>
          <w:i w:val="0"/>
          <w:caps w:val="0"/>
          <w:color w:val="000000"/>
          <w:spacing w:val="0"/>
          <w:sz w:val="32"/>
          <w:szCs w:val="32"/>
          <w:highlight w:val="none"/>
          <w:u w:val="none"/>
        </w:rPr>
        <w:t>力度</w:t>
      </w:r>
      <w:r>
        <w:rPr>
          <w:rFonts w:hint="eastAsia" w:ascii="仿宋_GB2312" w:hAnsi="仿宋_GB2312" w:eastAsia="仿宋_GB2312" w:cs="仿宋_GB2312"/>
          <w:b w:val="0"/>
          <w:i w:val="0"/>
          <w:caps w:val="0"/>
          <w:color w:val="000000"/>
          <w:spacing w:val="0"/>
          <w:sz w:val="32"/>
          <w:szCs w:val="32"/>
          <w:highlight w:val="none"/>
          <w:u w:val="none"/>
          <w:lang w:eastAsia="zh-CN"/>
        </w:rPr>
        <w:t>。</w:t>
      </w:r>
      <w:r>
        <w:rPr>
          <w:rFonts w:hint="eastAsia" w:ascii="仿宋_GB2312" w:hAnsi="仿宋_GB2312" w:eastAsia="仿宋_GB2312" w:cs="仿宋_GB2312"/>
          <w:b w:val="0"/>
          <w:i w:val="0"/>
          <w:caps w:val="0"/>
          <w:color w:val="000000"/>
          <w:spacing w:val="0"/>
          <w:sz w:val="32"/>
          <w:szCs w:val="32"/>
          <w:highlight w:val="none"/>
          <w:u w:val="none"/>
        </w:rPr>
        <w:t>引导保险机构进一步丰富保险产品供给，扩大保险覆盖面。探索开展因疫情导致个体工商户营业中断损失保险，提升理赔效率。鼓励保险机构根据个体工商户的特点和创新创业需求，提供多元化、全方位、普惠性的保险保障，提高个体工商户的经营韧性和抵御风险能力。通过减费让利、适度延后保费缴纳时间、赠送保单等方式，支持个体工商户渡过难关。</w:t>
      </w:r>
      <w:r>
        <w:rPr>
          <w:rFonts w:hint="eastAsia" w:ascii="黑体" w:hAnsi="黑体" w:eastAsia="黑体" w:cs="黑体"/>
          <w:b w:val="0"/>
          <w:i w:val="0"/>
          <w:caps w:val="0"/>
          <w:color w:val="000000"/>
          <w:spacing w:val="0"/>
          <w:sz w:val="32"/>
          <w:szCs w:val="32"/>
          <w:highlight w:val="none"/>
          <w:u w:val="none"/>
        </w:rPr>
        <w:t>（责任单位：各县（市、区）人民政府、</w:t>
      </w:r>
      <w:r>
        <w:rPr>
          <w:rFonts w:hint="eastAsia" w:ascii="黑体" w:hAnsi="黑体" w:eastAsia="黑体" w:cs="黑体"/>
          <w:b w:val="0"/>
          <w:i w:val="0"/>
          <w:caps w:val="0"/>
          <w:color w:val="000000"/>
          <w:spacing w:val="0"/>
          <w:sz w:val="32"/>
          <w:szCs w:val="32"/>
          <w:highlight w:val="none"/>
          <w:u w:val="none"/>
          <w:lang w:eastAsia="zh-CN"/>
        </w:rPr>
        <w:t>市</w:t>
      </w:r>
      <w:r>
        <w:rPr>
          <w:rFonts w:hint="eastAsia" w:ascii="黑体" w:hAnsi="黑体" w:eastAsia="黑体" w:cs="黑体"/>
          <w:b w:val="0"/>
          <w:i w:val="0"/>
          <w:caps w:val="0"/>
          <w:color w:val="000000"/>
          <w:spacing w:val="0"/>
          <w:sz w:val="32"/>
          <w:szCs w:val="32"/>
          <w:highlight w:val="none"/>
          <w:u w:val="none"/>
        </w:rPr>
        <w:t>金融局、</w:t>
      </w:r>
      <w:r>
        <w:rPr>
          <w:rFonts w:hint="eastAsia" w:ascii="黑体" w:hAnsi="黑体" w:eastAsia="黑体" w:cs="黑体"/>
          <w:b w:val="0"/>
          <w:i w:val="0"/>
          <w:caps w:val="0"/>
          <w:color w:val="000000"/>
          <w:spacing w:val="0"/>
          <w:sz w:val="32"/>
          <w:szCs w:val="32"/>
          <w:highlight w:val="none"/>
          <w:u w:val="none"/>
          <w:lang w:eastAsia="zh-CN"/>
        </w:rPr>
        <w:t>汕尾</w:t>
      </w:r>
      <w:r>
        <w:rPr>
          <w:rFonts w:hint="eastAsia" w:ascii="黑体" w:hAnsi="黑体" w:eastAsia="黑体" w:cs="黑体"/>
          <w:b w:val="0"/>
          <w:i w:val="0"/>
          <w:caps w:val="0"/>
          <w:color w:val="000000"/>
          <w:spacing w:val="0"/>
          <w:sz w:val="32"/>
          <w:szCs w:val="32"/>
          <w:highlight w:val="none"/>
          <w:u w:val="none"/>
        </w:rPr>
        <w:t>银保监分局等按职责分工负责）</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leftChars="0" w:right="0" w:rightChars="0" w:firstLine="0" w:firstLineChars="0"/>
        <w:jc w:val="both"/>
        <w:textAlignment w:val="auto"/>
        <w:outlineLvl w:val="9"/>
        <w:rPr>
          <w:rFonts w:hint="eastAsia" w:ascii="黑体" w:hAnsi="黑体" w:eastAsia="黑体" w:cs="黑体"/>
          <w:b w:val="0"/>
          <w:bCs w:val="0"/>
          <w:i w:val="0"/>
          <w:caps w:val="0"/>
          <w:color w:val="000000"/>
          <w:spacing w:val="0"/>
          <w:sz w:val="32"/>
          <w:szCs w:val="32"/>
          <w:highlight w:val="none"/>
          <w:u w:val="none"/>
        </w:rPr>
      </w:pPr>
      <w:r>
        <w:rPr>
          <w:rFonts w:hint="eastAsia" w:ascii="黑体" w:hAnsi="黑体" w:eastAsia="黑体" w:cs="黑体"/>
          <w:b w:val="0"/>
          <w:bCs w:val="0"/>
          <w:i w:val="0"/>
          <w:caps w:val="0"/>
          <w:color w:val="000000"/>
          <w:spacing w:val="0"/>
          <w:sz w:val="32"/>
          <w:szCs w:val="32"/>
          <w:highlight w:val="none"/>
          <w:u w:val="none"/>
        </w:rPr>
        <w:t>　　二、强化个体工商户金融扶持</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leftChars="0" w:right="0" w:rightChars="0" w:firstLine="640" w:firstLineChars="200"/>
        <w:jc w:val="both"/>
        <w:textAlignment w:val="auto"/>
        <w:outlineLvl w:val="9"/>
        <w:rPr>
          <w:rFonts w:hint="eastAsia" w:ascii="黑体" w:hAnsi="黑体" w:eastAsia="黑体" w:cs="黑体"/>
          <w:b w:val="0"/>
          <w:i w:val="0"/>
          <w:caps w:val="0"/>
          <w:color w:val="000000"/>
          <w:spacing w:val="0"/>
          <w:sz w:val="32"/>
          <w:szCs w:val="32"/>
          <w:highlight w:val="none"/>
          <w:u w:val="none"/>
        </w:rPr>
      </w:pPr>
      <w:r>
        <w:rPr>
          <w:rFonts w:hint="eastAsia" w:ascii="仿宋_GB2312" w:hAnsi="仿宋_GB2312" w:eastAsia="仿宋_GB2312" w:cs="仿宋_GB2312"/>
          <w:b w:val="0"/>
          <w:i w:val="0"/>
          <w:caps w:val="0"/>
          <w:color w:val="000000"/>
          <w:spacing w:val="0"/>
          <w:sz w:val="32"/>
          <w:szCs w:val="32"/>
          <w:highlight w:val="none"/>
          <w:u w:val="none"/>
        </w:rPr>
        <w:t>5.</w:t>
      </w:r>
      <w:r>
        <w:rPr>
          <w:rFonts w:hint="eastAsia" w:ascii="仿宋_GB2312" w:hAnsi="仿宋_GB2312" w:eastAsia="仿宋_GB2312" w:cs="仿宋_GB2312"/>
          <w:b w:val="0"/>
          <w:i w:val="0"/>
          <w:caps w:val="0"/>
          <w:color w:val="000000"/>
          <w:spacing w:val="0"/>
          <w:sz w:val="32"/>
          <w:szCs w:val="32"/>
          <w:highlight w:val="none"/>
          <w:u w:val="none"/>
          <w:lang w:eastAsia="zh-CN"/>
        </w:rPr>
        <w:t>减免支付手续费用。</w:t>
      </w:r>
      <w:r>
        <w:rPr>
          <w:rFonts w:hint="eastAsia" w:ascii="仿宋_GB2312" w:hAnsi="仿宋_GB2312" w:eastAsia="仿宋_GB2312" w:cs="仿宋_GB2312"/>
          <w:b w:val="0"/>
          <w:i w:val="0"/>
          <w:caps w:val="0"/>
          <w:color w:val="000000"/>
          <w:spacing w:val="0"/>
          <w:sz w:val="32"/>
          <w:szCs w:val="32"/>
          <w:highlight w:val="none"/>
          <w:u w:val="none"/>
        </w:rPr>
        <w:t>支持银行机构围绕账户开立、汇款转账等高频使用的支付业务，实行本票和银行汇票的手续费、工本费、挂失费等7大类17个重点项目手续费减免，票据业务执行期限为长期，其余措施执行期限至2024年9月30日。加大政策实施督导和日常监管，推动银行机构以“一清单、一指引、一公告”的形式统筹做好线上线下宣传工作抓好政策落实，强化自查自纠，切实落实减免政策。</w:t>
      </w:r>
      <w:r>
        <w:rPr>
          <w:rFonts w:hint="eastAsia" w:ascii="黑体" w:hAnsi="黑体" w:eastAsia="黑体" w:cs="黑体"/>
          <w:b w:val="0"/>
          <w:i w:val="0"/>
          <w:caps w:val="0"/>
          <w:color w:val="000000"/>
          <w:spacing w:val="0"/>
          <w:sz w:val="32"/>
          <w:szCs w:val="32"/>
          <w:highlight w:val="none"/>
          <w:u w:val="none"/>
        </w:rPr>
        <w:t>（责任单位：人民银行</w:t>
      </w:r>
      <w:r>
        <w:rPr>
          <w:rFonts w:hint="eastAsia" w:ascii="黑体" w:hAnsi="黑体" w:eastAsia="黑体" w:cs="黑体"/>
          <w:b w:val="0"/>
          <w:i w:val="0"/>
          <w:caps w:val="0"/>
          <w:color w:val="000000"/>
          <w:spacing w:val="0"/>
          <w:sz w:val="32"/>
          <w:szCs w:val="32"/>
          <w:highlight w:val="none"/>
          <w:u w:val="none"/>
          <w:lang w:eastAsia="zh-CN"/>
        </w:rPr>
        <w:t>汕尾</w:t>
      </w:r>
      <w:r>
        <w:rPr>
          <w:rFonts w:hint="eastAsia" w:ascii="黑体" w:hAnsi="黑体" w:eastAsia="黑体" w:cs="黑体"/>
          <w:b w:val="0"/>
          <w:i w:val="0"/>
          <w:caps w:val="0"/>
          <w:color w:val="000000"/>
          <w:spacing w:val="0"/>
          <w:sz w:val="32"/>
          <w:szCs w:val="32"/>
          <w:highlight w:val="none"/>
          <w:u w:val="none"/>
        </w:rPr>
        <w:t>中支、</w:t>
      </w:r>
      <w:r>
        <w:rPr>
          <w:rFonts w:hint="eastAsia" w:ascii="黑体" w:hAnsi="黑体" w:eastAsia="黑体" w:cs="黑体"/>
          <w:b w:val="0"/>
          <w:i w:val="0"/>
          <w:caps w:val="0"/>
          <w:color w:val="000000"/>
          <w:spacing w:val="0"/>
          <w:sz w:val="32"/>
          <w:szCs w:val="32"/>
          <w:highlight w:val="none"/>
          <w:u w:val="none"/>
          <w:lang w:eastAsia="zh-CN"/>
        </w:rPr>
        <w:t>汕尾</w:t>
      </w:r>
      <w:r>
        <w:rPr>
          <w:rFonts w:hint="eastAsia" w:ascii="黑体" w:hAnsi="黑体" w:eastAsia="黑体" w:cs="黑体"/>
          <w:b w:val="0"/>
          <w:i w:val="0"/>
          <w:caps w:val="0"/>
          <w:color w:val="000000"/>
          <w:spacing w:val="0"/>
          <w:sz w:val="32"/>
          <w:szCs w:val="32"/>
          <w:highlight w:val="none"/>
          <w:u w:val="none"/>
        </w:rPr>
        <w:t>银保监分局等按职责分工负责）</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leftChars="0" w:right="0" w:rightChars="0" w:firstLine="640" w:firstLineChars="200"/>
        <w:jc w:val="both"/>
        <w:textAlignment w:val="auto"/>
        <w:outlineLvl w:val="9"/>
        <w:rPr>
          <w:rFonts w:hint="eastAsia" w:ascii="黑体" w:hAnsi="黑体" w:eastAsia="黑体" w:cs="黑体"/>
          <w:b w:val="0"/>
          <w:i w:val="0"/>
          <w:caps w:val="0"/>
          <w:color w:val="000000"/>
          <w:spacing w:val="0"/>
          <w:sz w:val="32"/>
          <w:szCs w:val="32"/>
          <w:highlight w:val="none"/>
          <w:u w:val="none"/>
        </w:rPr>
      </w:pPr>
      <w:r>
        <w:rPr>
          <w:rFonts w:hint="eastAsia" w:ascii="仿宋_GB2312" w:hAnsi="仿宋_GB2312" w:eastAsia="仿宋_GB2312" w:cs="仿宋_GB2312"/>
          <w:b w:val="0"/>
          <w:i w:val="0"/>
          <w:caps w:val="0"/>
          <w:color w:val="000000"/>
          <w:spacing w:val="0"/>
          <w:sz w:val="32"/>
          <w:szCs w:val="32"/>
          <w:highlight w:val="none"/>
          <w:u w:val="none"/>
        </w:rPr>
        <w:t>6.加大信贷支持。充分运用支农支小再贷款、普惠小微贷款支持工具等政策，引导符合条件的地方法人银行持续增加对个体工商户的信贷投放。鼓励银行业金融机构根据个体工商户特点，开发专属信贷产品，推广随借随还贷款模式，扩大信用贷款和首贷户支持。完善政银企常态化对接机制，鼓励金融机构在风险可控的前提下，积极创新适合个体工商户的金融产品和服务，推广应用</w:t>
      </w:r>
      <w:r>
        <w:rPr>
          <w:rFonts w:hint="eastAsia" w:ascii="仿宋_GB2312" w:hAnsi="仿宋_GB2312" w:eastAsia="仿宋_GB2312" w:cs="仿宋_GB2312"/>
          <w:b w:val="0"/>
          <w:bCs w:val="0"/>
          <w:color w:val="000000"/>
          <w:spacing w:val="0"/>
          <w:sz w:val="32"/>
          <w:szCs w:val="32"/>
          <w:highlight w:val="none"/>
          <w:lang w:val="en-US" w:eastAsia="zh-CN"/>
        </w:rPr>
        <w:t>“粤信融”“中小融”“信易贷”</w:t>
      </w:r>
      <w:r>
        <w:rPr>
          <w:rFonts w:hint="eastAsia" w:ascii="仿宋_GB2312" w:hAnsi="仿宋_GB2312" w:eastAsia="仿宋_GB2312" w:cs="仿宋_GB2312"/>
          <w:b w:val="0"/>
          <w:i w:val="0"/>
          <w:caps w:val="0"/>
          <w:color w:val="000000"/>
          <w:spacing w:val="0"/>
          <w:sz w:val="32"/>
          <w:szCs w:val="32"/>
          <w:highlight w:val="none"/>
          <w:u w:val="none"/>
        </w:rPr>
        <w:t>等融资服务平台，扩大信用贷款和首贷户支持。定期开展小微企业金融服务指标监管监测，引导银行机构持续提升小微金融服务质效</w:t>
      </w:r>
      <w:r>
        <w:rPr>
          <w:rFonts w:hint="eastAsia" w:ascii="仿宋_GB2312" w:hAnsi="仿宋_GB2312" w:eastAsia="仿宋_GB2312" w:cs="仿宋_GB2312"/>
          <w:b w:val="0"/>
          <w:i w:val="0"/>
          <w:caps w:val="0"/>
          <w:color w:val="000000"/>
          <w:spacing w:val="0"/>
          <w:sz w:val="32"/>
          <w:szCs w:val="32"/>
          <w:highlight w:val="none"/>
          <w:u w:val="none"/>
          <w:lang w:eastAsia="zh-CN"/>
        </w:rPr>
        <w:t>。</w:t>
      </w:r>
      <w:r>
        <w:rPr>
          <w:rFonts w:hint="eastAsia" w:ascii="黑体" w:hAnsi="黑体" w:eastAsia="黑体" w:cs="黑体"/>
          <w:b w:val="0"/>
          <w:i w:val="0"/>
          <w:caps w:val="0"/>
          <w:color w:val="000000"/>
          <w:spacing w:val="0"/>
          <w:sz w:val="32"/>
          <w:szCs w:val="32"/>
          <w:highlight w:val="none"/>
          <w:u w:val="none"/>
        </w:rPr>
        <w:t>（责任单位：市金融局、人民银行</w:t>
      </w:r>
      <w:r>
        <w:rPr>
          <w:rFonts w:hint="eastAsia" w:ascii="黑体" w:hAnsi="黑体" w:eastAsia="黑体" w:cs="黑体"/>
          <w:b w:val="0"/>
          <w:i w:val="0"/>
          <w:caps w:val="0"/>
          <w:color w:val="000000"/>
          <w:spacing w:val="0"/>
          <w:sz w:val="32"/>
          <w:szCs w:val="32"/>
          <w:highlight w:val="none"/>
          <w:u w:val="none"/>
          <w:lang w:eastAsia="zh-CN"/>
        </w:rPr>
        <w:t>汕尾</w:t>
      </w:r>
      <w:r>
        <w:rPr>
          <w:rFonts w:hint="eastAsia" w:ascii="黑体" w:hAnsi="黑体" w:eastAsia="黑体" w:cs="黑体"/>
          <w:b w:val="0"/>
          <w:i w:val="0"/>
          <w:caps w:val="0"/>
          <w:color w:val="000000"/>
          <w:spacing w:val="0"/>
          <w:sz w:val="32"/>
          <w:szCs w:val="32"/>
          <w:highlight w:val="none"/>
          <w:u w:val="none"/>
        </w:rPr>
        <w:t>中支、</w:t>
      </w:r>
      <w:r>
        <w:rPr>
          <w:rFonts w:hint="eastAsia" w:ascii="黑体" w:hAnsi="黑体" w:eastAsia="黑体" w:cs="黑体"/>
          <w:b w:val="0"/>
          <w:i w:val="0"/>
          <w:caps w:val="0"/>
          <w:color w:val="000000"/>
          <w:spacing w:val="0"/>
          <w:sz w:val="32"/>
          <w:szCs w:val="32"/>
          <w:highlight w:val="none"/>
          <w:u w:val="none"/>
          <w:lang w:eastAsia="zh-CN"/>
        </w:rPr>
        <w:t>汕尾</w:t>
      </w:r>
      <w:r>
        <w:rPr>
          <w:rFonts w:hint="eastAsia" w:ascii="黑体" w:hAnsi="黑体" w:eastAsia="黑体" w:cs="黑体"/>
          <w:b w:val="0"/>
          <w:i w:val="0"/>
          <w:caps w:val="0"/>
          <w:color w:val="000000"/>
          <w:spacing w:val="0"/>
          <w:sz w:val="32"/>
          <w:szCs w:val="32"/>
          <w:highlight w:val="none"/>
          <w:u w:val="none"/>
        </w:rPr>
        <w:t>银保监分局、</w:t>
      </w:r>
      <w:r>
        <w:rPr>
          <w:rFonts w:hint="eastAsia" w:ascii="黑体" w:hAnsi="黑体" w:eastAsia="黑体" w:cs="黑体"/>
          <w:b w:val="0"/>
          <w:i w:val="0"/>
          <w:caps w:val="0"/>
          <w:color w:val="000000"/>
          <w:spacing w:val="0"/>
          <w:sz w:val="32"/>
          <w:szCs w:val="32"/>
          <w:highlight w:val="none"/>
          <w:u w:val="none"/>
          <w:lang w:eastAsia="zh-CN"/>
        </w:rPr>
        <w:t>市发展改革局</w:t>
      </w:r>
      <w:r>
        <w:rPr>
          <w:rFonts w:hint="eastAsia" w:ascii="黑体" w:hAnsi="黑体" w:eastAsia="黑体" w:cs="黑体"/>
          <w:b w:val="0"/>
          <w:i w:val="0"/>
          <w:caps w:val="0"/>
          <w:color w:val="000000"/>
          <w:spacing w:val="0"/>
          <w:sz w:val="32"/>
          <w:szCs w:val="32"/>
          <w:highlight w:val="none"/>
          <w:u w:val="none"/>
        </w:rPr>
        <w:t>等按职责分工负责）</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leftChars="0" w:right="0" w:rightChars="0" w:firstLine="640" w:firstLineChars="200"/>
        <w:jc w:val="both"/>
        <w:textAlignment w:val="auto"/>
        <w:outlineLvl w:val="9"/>
        <w:rPr>
          <w:rFonts w:hint="eastAsia" w:ascii="黑体" w:hAnsi="黑体" w:eastAsia="黑体" w:cs="黑体"/>
          <w:b w:val="0"/>
          <w:i w:val="0"/>
          <w:caps w:val="0"/>
          <w:color w:val="000000"/>
          <w:spacing w:val="0"/>
          <w:sz w:val="32"/>
          <w:szCs w:val="32"/>
          <w:highlight w:val="none"/>
          <w:u w:val="none"/>
        </w:rPr>
      </w:pPr>
      <w:r>
        <w:rPr>
          <w:rFonts w:hint="eastAsia" w:ascii="仿宋_GB2312" w:hAnsi="仿宋_GB2312" w:eastAsia="仿宋_GB2312" w:cs="仿宋_GB2312"/>
          <w:b w:val="0"/>
          <w:i w:val="0"/>
          <w:caps w:val="0"/>
          <w:color w:val="000000"/>
          <w:spacing w:val="0"/>
          <w:sz w:val="32"/>
          <w:szCs w:val="32"/>
          <w:highlight w:val="none"/>
          <w:u w:val="none"/>
        </w:rPr>
        <w:t>7.</w:t>
      </w:r>
      <w:r>
        <w:rPr>
          <w:rFonts w:hint="eastAsia" w:ascii="仿宋_GB2312" w:hAnsi="仿宋_GB2312" w:eastAsia="仿宋_GB2312" w:cs="仿宋_GB2312"/>
          <w:b w:val="0"/>
          <w:i w:val="0"/>
          <w:caps w:val="0"/>
          <w:color w:val="000000"/>
          <w:spacing w:val="0"/>
          <w:sz w:val="32"/>
          <w:szCs w:val="32"/>
          <w:highlight w:val="none"/>
          <w:u w:val="none"/>
          <w:lang w:eastAsia="zh-CN"/>
        </w:rPr>
        <w:t>降低融资成本。</w:t>
      </w:r>
      <w:r>
        <w:rPr>
          <w:rFonts w:hint="eastAsia" w:ascii="仿宋_GB2312" w:hAnsi="仿宋_GB2312" w:eastAsia="仿宋_GB2312" w:cs="仿宋_GB2312"/>
          <w:b w:val="0"/>
          <w:i w:val="0"/>
          <w:caps w:val="0"/>
          <w:color w:val="000000"/>
          <w:spacing w:val="0"/>
          <w:sz w:val="32"/>
          <w:szCs w:val="32"/>
          <w:highlight w:val="none"/>
          <w:u w:val="none"/>
        </w:rPr>
        <w:t>进一步发挥贷款市场报价利率对贷款利率的指导性作用，引导金融机构将贷款市场报价利率下行效果充分传导至个体工商户贷款利率，将普惠小微贷款发放加权平均利率纳入小微企业货币信贷政策导向效果评估，促进个体工商户综合融资成本稳中有降。充分发挥政府性融资担保作用，推进政银担合作，完善企业信贷风险补偿机制，</w:t>
      </w:r>
      <w:r>
        <w:rPr>
          <w:rFonts w:hint="eastAsia" w:ascii="仿宋_GB2312" w:hAnsi="仿宋_GB2312" w:eastAsia="仿宋_GB2312" w:cs="仿宋_GB2312"/>
          <w:b w:val="0"/>
          <w:i w:val="0"/>
          <w:caps w:val="0"/>
          <w:color w:val="000000"/>
          <w:spacing w:val="0"/>
          <w:sz w:val="32"/>
          <w:szCs w:val="32"/>
          <w:highlight w:val="none"/>
          <w:u w:val="none"/>
          <w:lang w:eastAsia="zh-CN"/>
        </w:rPr>
        <w:t>大力推广中小</w:t>
      </w:r>
      <w:r>
        <w:rPr>
          <w:rFonts w:hint="eastAsia" w:ascii="仿宋_GB2312" w:hAnsi="仿宋_GB2312" w:eastAsia="仿宋_GB2312" w:cs="仿宋_GB2312"/>
          <w:b w:val="0"/>
          <w:i w:val="0"/>
          <w:caps w:val="0"/>
          <w:color w:val="000000"/>
          <w:spacing w:val="0"/>
          <w:sz w:val="32"/>
          <w:szCs w:val="32"/>
          <w:highlight w:val="none"/>
          <w:u w:val="none"/>
        </w:rPr>
        <w:t>微企业</w:t>
      </w:r>
      <w:r>
        <w:rPr>
          <w:rFonts w:hint="eastAsia" w:ascii="仿宋_GB2312" w:hAnsi="仿宋_GB2312" w:eastAsia="仿宋_GB2312" w:cs="仿宋_GB2312"/>
          <w:b w:val="0"/>
          <w:i w:val="0"/>
          <w:caps w:val="0"/>
          <w:color w:val="000000"/>
          <w:spacing w:val="0"/>
          <w:sz w:val="32"/>
          <w:szCs w:val="32"/>
          <w:highlight w:val="none"/>
          <w:u w:val="none"/>
          <w:lang w:eastAsia="zh-CN"/>
        </w:rPr>
        <w:t>融资专项</w:t>
      </w:r>
      <w:r>
        <w:rPr>
          <w:rFonts w:hint="eastAsia" w:ascii="仿宋_GB2312" w:hAnsi="仿宋_GB2312" w:eastAsia="仿宋_GB2312" w:cs="仿宋_GB2312"/>
          <w:b w:val="0"/>
          <w:i w:val="0"/>
          <w:caps w:val="0"/>
          <w:color w:val="000000"/>
          <w:spacing w:val="0"/>
          <w:sz w:val="32"/>
          <w:szCs w:val="32"/>
          <w:highlight w:val="none"/>
          <w:u w:val="none"/>
        </w:rPr>
        <w:t>资金，对符合银行续贷条件的个体工商户提供短期周转资金支持。</w:t>
      </w:r>
      <w:r>
        <w:rPr>
          <w:rFonts w:hint="eastAsia" w:ascii="黑体" w:hAnsi="黑体" w:eastAsia="黑体" w:cs="黑体"/>
          <w:b w:val="0"/>
          <w:i w:val="0"/>
          <w:caps w:val="0"/>
          <w:color w:val="000000"/>
          <w:spacing w:val="0"/>
          <w:sz w:val="32"/>
          <w:szCs w:val="32"/>
          <w:highlight w:val="none"/>
          <w:u w:val="none"/>
        </w:rPr>
        <w:t>（责任单位：人民银行</w:t>
      </w:r>
      <w:r>
        <w:rPr>
          <w:rFonts w:hint="eastAsia" w:ascii="黑体" w:hAnsi="黑体" w:eastAsia="黑体" w:cs="黑体"/>
          <w:b w:val="0"/>
          <w:i w:val="0"/>
          <w:caps w:val="0"/>
          <w:color w:val="000000"/>
          <w:spacing w:val="0"/>
          <w:sz w:val="32"/>
          <w:szCs w:val="32"/>
          <w:highlight w:val="none"/>
          <w:u w:val="none"/>
          <w:lang w:eastAsia="zh-CN"/>
        </w:rPr>
        <w:t>汕尾</w:t>
      </w:r>
      <w:r>
        <w:rPr>
          <w:rFonts w:hint="eastAsia" w:ascii="黑体" w:hAnsi="黑体" w:eastAsia="黑体" w:cs="黑体"/>
          <w:b w:val="0"/>
          <w:i w:val="0"/>
          <w:caps w:val="0"/>
          <w:color w:val="000000"/>
          <w:spacing w:val="0"/>
          <w:sz w:val="32"/>
          <w:szCs w:val="32"/>
          <w:highlight w:val="none"/>
          <w:u w:val="none"/>
        </w:rPr>
        <w:t>中支、</w:t>
      </w:r>
      <w:r>
        <w:rPr>
          <w:rFonts w:hint="eastAsia" w:ascii="黑体" w:hAnsi="黑体" w:eastAsia="黑体" w:cs="黑体"/>
          <w:b w:val="0"/>
          <w:i w:val="0"/>
          <w:caps w:val="0"/>
          <w:color w:val="000000"/>
          <w:spacing w:val="0"/>
          <w:sz w:val="32"/>
          <w:szCs w:val="32"/>
          <w:highlight w:val="none"/>
          <w:u w:val="none"/>
          <w:lang w:eastAsia="zh-CN"/>
        </w:rPr>
        <w:t>汕尾</w:t>
      </w:r>
      <w:r>
        <w:rPr>
          <w:rFonts w:hint="eastAsia" w:ascii="黑体" w:hAnsi="黑体" w:eastAsia="黑体" w:cs="黑体"/>
          <w:b w:val="0"/>
          <w:i w:val="0"/>
          <w:caps w:val="0"/>
          <w:color w:val="000000"/>
          <w:spacing w:val="0"/>
          <w:sz w:val="32"/>
          <w:szCs w:val="32"/>
          <w:highlight w:val="none"/>
          <w:u w:val="none"/>
        </w:rPr>
        <w:t>银保监分局、市金融局等按职责分工负责）</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leftChars="0" w:right="0" w:rightChars="0" w:firstLine="640" w:firstLineChars="200"/>
        <w:jc w:val="both"/>
        <w:textAlignment w:val="auto"/>
        <w:outlineLvl w:val="9"/>
        <w:rPr>
          <w:rFonts w:hint="eastAsia" w:ascii="黑体" w:hAnsi="黑体" w:eastAsia="黑体" w:cs="黑体"/>
          <w:b w:val="0"/>
          <w:i w:val="0"/>
          <w:caps w:val="0"/>
          <w:color w:val="000000"/>
          <w:spacing w:val="0"/>
          <w:sz w:val="32"/>
          <w:szCs w:val="32"/>
          <w:highlight w:val="none"/>
          <w:u w:val="none"/>
        </w:rPr>
      </w:pPr>
      <w:r>
        <w:rPr>
          <w:rFonts w:hint="eastAsia" w:ascii="仿宋_GB2312" w:hAnsi="仿宋_GB2312" w:eastAsia="仿宋_GB2312" w:cs="仿宋_GB2312"/>
          <w:b w:val="0"/>
          <w:i w:val="0"/>
          <w:caps w:val="0"/>
          <w:color w:val="000000"/>
          <w:spacing w:val="0"/>
          <w:sz w:val="32"/>
          <w:szCs w:val="32"/>
          <w:highlight w:val="none"/>
          <w:u w:val="none"/>
        </w:rPr>
        <w:t>8</w:t>
      </w:r>
      <w:r>
        <w:rPr>
          <w:rFonts w:hint="eastAsia" w:ascii="仿宋_GB2312" w:hAnsi="仿宋_GB2312" w:eastAsia="仿宋_GB2312" w:cs="仿宋_GB2312"/>
          <w:b w:val="0"/>
          <w:i w:val="0"/>
          <w:caps w:val="0"/>
          <w:color w:val="000000"/>
          <w:spacing w:val="0"/>
          <w:sz w:val="32"/>
          <w:szCs w:val="32"/>
          <w:highlight w:val="none"/>
          <w:u w:val="none"/>
          <w:lang w:val="en-US" w:eastAsia="zh-CN"/>
        </w:rPr>
        <w:t>.</w:t>
      </w:r>
      <w:r>
        <w:rPr>
          <w:rFonts w:hint="eastAsia" w:ascii="仿宋_GB2312" w:hAnsi="仿宋_GB2312" w:eastAsia="仿宋_GB2312" w:cs="仿宋_GB2312"/>
          <w:b w:val="0"/>
          <w:i w:val="0"/>
          <w:caps w:val="0"/>
          <w:color w:val="000000"/>
          <w:spacing w:val="0"/>
          <w:sz w:val="32"/>
          <w:szCs w:val="32"/>
          <w:highlight w:val="none"/>
          <w:u w:val="none"/>
        </w:rPr>
        <w:t>落实</w:t>
      </w:r>
      <w:r>
        <w:rPr>
          <w:rFonts w:hint="default" w:ascii="仿宋_GB2312" w:hAnsi="仿宋_GB2312" w:eastAsia="仿宋_GB2312" w:cs="仿宋_GB2312"/>
          <w:b w:val="0"/>
          <w:i w:val="0"/>
          <w:caps w:val="0"/>
          <w:color w:val="000000"/>
          <w:spacing w:val="0"/>
          <w:sz w:val="32"/>
          <w:szCs w:val="32"/>
          <w:highlight w:val="none"/>
          <w:u w:val="none"/>
        </w:rPr>
        <w:t>创业担保贷款贴息政策</w:t>
      </w:r>
      <w:r>
        <w:rPr>
          <w:rFonts w:hint="eastAsia" w:ascii="仿宋_GB2312" w:hAnsi="仿宋_GB2312" w:eastAsia="仿宋_GB2312" w:cs="仿宋_GB2312"/>
          <w:b w:val="0"/>
          <w:i w:val="0"/>
          <w:caps w:val="0"/>
          <w:color w:val="000000"/>
          <w:spacing w:val="0"/>
          <w:sz w:val="32"/>
          <w:szCs w:val="32"/>
          <w:highlight w:val="none"/>
          <w:u w:val="none"/>
          <w:lang w:eastAsia="zh-CN"/>
        </w:rPr>
        <w:t>。</w:t>
      </w:r>
      <w:r>
        <w:rPr>
          <w:rFonts w:hint="eastAsia" w:ascii="仿宋_GB2312" w:hAnsi="仿宋_GB2312" w:eastAsia="仿宋_GB2312" w:cs="仿宋_GB2312"/>
          <w:b w:val="0"/>
          <w:i w:val="0"/>
          <w:caps w:val="0"/>
          <w:color w:val="000000"/>
          <w:spacing w:val="0"/>
          <w:sz w:val="32"/>
          <w:szCs w:val="32"/>
          <w:highlight w:val="none"/>
          <w:u w:val="none"/>
        </w:rPr>
        <w:t>安排创业担保贷款贴息资金，为政策提供资金保障。符合重点群体条件或登记注册3年内的个体工商户经营者，按规定可申请最高不超过50万元的创业担保贷款及贴息。对因疫情导致经营困难的个体工商户在2022年底前到期的创业担保贷款，可向经办银行申请贷款展期1次，展期期限原则上不超过1年。</w:t>
      </w:r>
      <w:r>
        <w:rPr>
          <w:rFonts w:hint="eastAsia" w:ascii="黑体" w:hAnsi="黑体" w:eastAsia="黑体" w:cs="黑体"/>
          <w:b w:val="0"/>
          <w:i w:val="0"/>
          <w:caps w:val="0"/>
          <w:color w:val="000000"/>
          <w:spacing w:val="0"/>
          <w:sz w:val="32"/>
          <w:szCs w:val="32"/>
          <w:highlight w:val="none"/>
          <w:u w:val="none"/>
        </w:rPr>
        <w:t>（责任单位：各县（市、区）人民政府，市财政局、市人力资源社会保障局、市金融局、人民银行</w:t>
      </w:r>
      <w:r>
        <w:rPr>
          <w:rFonts w:hint="eastAsia" w:ascii="黑体" w:hAnsi="黑体" w:eastAsia="黑体" w:cs="黑体"/>
          <w:b w:val="0"/>
          <w:i w:val="0"/>
          <w:caps w:val="0"/>
          <w:color w:val="000000"/>
          <w:spacing w:val="0"/>
          <w:sz w:val="32"/>
          <w:szCs w:val="32"/>
          <w:highlight w:val="none"/>
          <w:u w:val="none"/>
          <w:lang w:eastAsia="zh-CN"/>
        </w:rPr>
        <w:t>汕尾</w:t>
      </w:r>
      <w:r>
        <w:rPr>
          <w:rFonts w:hint="eastAsia" w:ascii="黑体" w:hAnsi="黑体" w:eastAsia="黑体" w:cs="黑体"/>
          <w:b w:val="0"/>
          <w:i w:val="0"/>
          <w:caps w:val="0"/>
          <w:color w:val="000000"/>
          <w:spacing w:val="0"/>
          <w:sz w:val="32"/>
          <w:szCs w:val="32"/>
          <w:highlight w:val="none"/>
          <w:u w:val="none"/>
        </w:rPr>
        <w:t>中支等按职责分工负责）</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leftChars="0" w:right="0" w:rightChars="0" w:firstLine="640" w:firstLineChars="200"/>
        <w:jc w:val="both"/>
        <w:textAlignment w:val="auto"/>
        <w:outlineLvl w:val="9"/>
        <w:rPr>
          <w:rFonts w:hint="eastAsia" w:ascii="黑体" w:hAnsi="黑体" w:eastAsia="黑体" w:cs="黑体"/>
          <w:b w:val="0"/>
          <w:i w:val="0"/>
          <w:caps w:val="0"/>
          <w:color w:val="000000"/>
          <w:spacing w:val="0"/>
          <w:sz w:val="32"/>
          <w:szCs w:val="32"/>
          <w:highlight w:val="none"/>
          <w:u w:val="none"/>
        </w:rPr>
      </w:pPr>
      <w:r>
        <w:rPr>
          <w:rFonts w:hint="eastAsia" w:ascii="仿宋_GB2312" w:hAnsi="仿宋_GB2312" w:eastAsia="仿宋_GB2312" w:cs="仿宋_GB2312"/>
          <w:b w:val="0"/>
          <w:i w:val="0"/>
          <w:caps w:val="0"/>
          <w:color w:val="000000"/>
          <w:spacing w:val="0"/>
          <w:sz w:val="32"/>
          <w:szCs w:val="32"/>
          <w:highlight w:val="none"/>
          <w:u w:val="none"/>
        </w:rPr>
        <w:t>9.加强征信权益保障</w:t>
      </w:r>
      <w:r>
        <w:rPr>
          <w:rFonts w:hint="eastAsia" w:ascii="仿宋_GB2312" w:hAnsi="仿宋_GB2312" w:eastAsia="仿宋_GB2312" w:cs="仿宋_GB2312"/>
          <w:b w:val="0"/>
          <w:i w:val="0"/>
          <w:caps w:val="0"/>
          <w:color w:val="000000"/>
          <w:spacing w:val="0"/>
          <w:sz w:val="32"/>
          <w:szCs w:val="32"/>
          <w:highlight w:val="none"/>
          <w:u w:val="none"/>
          <w:lang w:eastAsia="zh-CN"/>
        </w:rPr>
        <w:t>。</w:t>
      </w:r>
      <w:r>
        <w:rPr>
          <w:rFonts w:hint="eastAsia" w:ascii="仿宋_GB2312" w:hAnsi="仿宋_GB2312" w:eastAsia="仿宋_GB2312" w:cs="仿宋_GB2312"/>
          <w:b w:val="0"/>
          <w:i w:val="0"/>
          <w:caps w:val="0"/>
          <w:color w:val="000000"/>
          <w:spacing w:val="0"/>
          <w:sz w:val="32"/>
          <w:szCs w:val="32"/>
          <w:highlight w:val="none"/>
          <w:u w:val="none"/>
        </w:rPr>
        <w:t>指导金融机构落实好相关征信管理服务</w:t>
      </w:r>
      <w:r>
        <w:rPr>
          <w:rFonts w:hint="eastAsia" w:ascii="仿宋_GB2312" w:hAnsi="仿宋_GB2312" w:eastAsia="仿宋_GB2312" w:cs="仿宋_GB2312"/>
          <w:b w:val="0"/>
          <w:i w:val="0"/>
          <w:caps w:val="0"/>
          <w:color w:val="000000"/>
          <w:spacing w:val="0"/>
          <w:sz w:val="32"/>
          <w:szCs w:val="32"/>
          <w:highlight w:val="none"/>
          <w:u w:val="none"/>
          <w:lang w:eastAsia="zh-CN"/>
        </w:rPr>
        <w:t>，</w:t>
      </w:r>
      <w:r>
        <w:rPr>
          <w:rFonts w:hint="eastAsia" w:ascii="仿宋_GB2312" w:hAnsi="仿宋_GB2312" w:eastAsia="仿宋_GB2312" w:cs="仿宋_GB2312"/>
          <w:b w:val="0"/>
          <w:i w:val="0"/>
          <w:caps w:val="0"/>
          <w:color w:val="000000"/>
          <w:spacing w:val="0"/>
          <w:sz w:val="32"/>
          <w:szCs w:val="32"/>
          <w:highlight w:val="none"/>
          <w:u w:val="none"/>
        </w:rPr>
        <w:t>对个体工商户因受疫情影响未能及时还款的逾期信贷业务，经金融机构根据疫情期间相关要求认定后，可不作为逾期记录报送；已经报送的，按征信纠错程序予以调整。</w:t>
      </w:r>
      <w:r>
        <w:rPr>
          <w:rFonts w:hint="eastAsia" w:ascii="黑体" w:hAnsi="黑体" w:eastAsia="黑体" w:cs="黑体"/>
          <w:b w:val="0"/>
          <w:i w:val="0"/>
          <w:caps w:val="0"/>
          <w:color w:val="000000"/>
          <w:spacing w:val="0"/>
          <w:sz w:val="32"/>
          <w:szCs w:val="32"/>
          <w:highlight w:val="none"/>
          <w:u w:val="none"/>
        </w:rPr>
        <w:t>（责任单位：</w:t>
      </w:r>
      <w:r>
        <w:rPr>
          <w:rFonts w:hint="eastAsia" w:ascii="黑体" w:hAnsi="黑体" w:eastAsia="黑体" w:cs="黑体"/>
          <w:b w:val="0"/>
          <w:i w:val="0"/>
          <w:caps w:val="0"/>
          <w:color w:val="000000"/>
          <w:spacing w:val="0"/>
          <w:sz w:val="32"/>
          <w:szCs w:val="32"/>
          <w:highlight w:val="none"/>
          <w:u w:val="none"/>
          <w:lang w:eastAsia="zh-CN"/>
        </w:rPr>
        <w:t>市发展改革局、</w:t>
      </w:r>
      <w:r>
        <w:rPr>
          <w:rFonts w:hint="eastAsia" w:ascii="黑体" w:hAnsi="黑体" w:eastAsia="黑体" w:cs="黑体"/>
          <w:b w:val="0"/>
          <w:i w:val="0"/>
          <w:caps w:val="0"/>
          <w:color w:val="000000"/>
          <w:spacing w:val="0"/>
          <w:sz w:val="32"/>
          <w:szCs w:val="32"/>
          <w:highlight w:val="none"/>
          <w:u w:val="none"/>
        </w:rPr>
        <w:t>人民银行</w:t>
      </w:r>
      <w:r>
        <w:rPr>
          <w:rFonts w:hint="eastAsia" w:ascii="黑体" w:hAnsi="黑体" w:eastAsia="黑体" w:cs="黑体"/>
          <w:b w:val="0"/>
          <w:i w:val="0"/>
          <w:caps w:val="0"/>
          <w:color w:val="000000"/>
          <w:spacing w:val="0"/>
          <w:sz w:val="32"/>
          <w:szCs w:val="32"/>
          <w:highlight w:val="none"/>
          <w:u w:val="none"/>
          <w:lang w:eastAsia="zh-CN"/>
        </w:rPr>
        <w:t>汕尾</w:t>
      </w:r>
      <w:r>
        <w:rPr>
          <w:rFonts w:hint="eastAsia" w:ascii="黑体" w:hAnsi="黑体" w:eastAsia="黑体" w:cs="黑体"/>
          <w:b w:val="0"/>
          <w:i w:val="0"/>
          <w:caps w:val="0"/>
          <w:color w:val="000000"/>
          <w:spacing w:val="0"/>
          <w:sz w:val="32"/>
          <w:szCs w:val="32"/>
          <w:highlight w:val="none"/>
          <w:u w:val="none"/>
        </w:rPr>
        <w:t>中支、</w:t>
      </w:r>
      <w:r>
        <w:rPr>
          <w:rFonts w:hint="eastAsia" w:ascii="黑体" w:hAnsi="黑体" w:eastAsia="黑体" w:cs="黑体"/>
          <w:b w:val="0"/>
          <w:i w:val="0"/>
          <w:caps w:val="0"/>
          <w:color w:val="000000"/>
          <w:spacing w:val="0"/>
          <w:sz w:val="32"/>
          <w:szCs w:val="32"/>
          <w:highlight w:val="none"/>
          <w:u w:val="none"/>
          <w:lang w:eastAsia="zh-CN"/>
        </w:rPr>
        <w:t>汕尾</w:t>
      </w:r>
      <w:r>
        <w:rPr>
          <w:rFonts w:hint="eastAsia" w:ascii="黑体" w:hAnsi="黑体" w:eastAsia="黑体" w:cs="黑体"/>
          <w:b w:val="0"/>
          <w:i w:val="0"/>
          <w:caps w:val="0"/>
          <w:color w:val="000000"/>
          <w:spacing w:val="0"/>
          <w:sz w:val="32"/>
          <w:szCs w:val="32"/>
          <w:highlight w:val="none"/>
          <w:u w:val="none"/>
        </w:rPr>
        <w:t>银保监分局</w:t>
      </w:r>
      <w:r>
        <w:rPr>
          <w:rFonts w:hint="eastAsia" w:ascii="黑体" w:hAnsi="黑体" w:eastAsia="黑体" w:cs="黑体"/>
          <w:b w:val="0"/>
          <w:i w:val="0"/>
          <w:caps w:val="0"/>
          <w:color w:val="000000"/>
          <w:spacing w:val="0"/>
          <w:sz w:val="32"/>
          <w:szCs w:val="32"/>
          <w:highlight w:val="none"/>
          <w:u w:val="none"/>
          <w:lang w:eastAsia="zh-CN"/>
        </w:rPr>
        <w:t>等</w:t>
      </w:r>
      <w:r>
        <w:rPr>
          <w:rFonts w:hint="eastAsia" w:ascii="黑体" w:hAnsi="黑体" w:eastAsia="黑体" w:cs="黑体"/>
          <w:b w:val="0"/>
          <w:i w:val="0"/>
          <w:caps w:val="0"/>
          <w:color w:val="000000"/>
          <w:spacing w:val="0"/>
          <w:sz w:val="32"/>
          <w:szCs w:val="32"/>
          <w:highlight w:val="none"/>
          <w:u w:val="none"/>
        </w:rPr>
        <w:t>按职责分工负责）</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i w:val="0"/>
          <w:caps w:val="0"/>
          <w:color w:val="000000"/>
          <w:spacing w:val="0"/>
          <w:sz w:val="32"/>
          <w:szCs w:val="32"/>
          <w:highlight w:val="none"/>
          <w:u w:val="none"/>
        </w:rPr>
      </w:pPr>
      <w:r>
        <w:rPr>
          <w:rFonts w:hint="eastAsia" w:ascii="仿宋_GB2312" w:hAnsi="仿宋_GB2312" w:eastAsia="仿宋_GB2312" w:cs="仿宋_GB2312"/>
          <w:b w:val="0"/>
          <w:i w:val="0"/>
          <w:caps w:val="0"/>
          <w:color w:val="000000"/>
          <w:spacing w:val="0"/>
          <w:sz w:val="32"/>
          <w:szCs w:val="32"/>
          <w:highlight w:val="none"/>
          <w:u w:val="none"/>
        </w:rPr>
        <w:t>　　10.便利外汇业务线上办理</w:t>
      </w:r>
      <w:r>
        <w:rPr>
          <w:rFonts w:hint="eastAsia" w:ascii="仿宋_GB2312" w:hAnsi="仿宋_GB2312" w:eastAsia="仿宋_GB2312" w:cs="仿宋_GB2312"/>
          <w:b w:val="0"/>
          <w:i w:val="0"/>
          <w:caps w:val="0"/>
          <w:color w:val="000000"/>
          <w:spacing w:val="0"/>
          <w:sz w:val="32"/>
          <w:szCs w:val="32"/>
          <w:highlight w:val="none"/>
          <w:u w:val="none"/>
          <w:lang w:eastAsia="zh-CN"/>
        </w:rPr>
        <w:t>。</w:t>
      </w:r>
      <w:r>
        <w:rPr>
          <w:rFonts w:hint="eastAsia" w:ascii="仿宋_GB2312" w:hAnsi="仿宋_GB2312" w:eastAsia="仿宋_GB2312" w:cs="仿宋_GB2312"/>
          <w:b w:val="0"/>
          <w:i w:val="0"/>
          <w:caps w:val="0"/>
          <w:color w:val="000000"/>
          <w:spacing w:val="0"/>
          <w:sz w:val="32"/>
          <w:szCs w:val="32"/>
          <w:highlight w:val="none"/>
          <w:u w:val="none"/>
        </w:rPr>
        <w:t>指导金融机构落实好相关相关政策</w:t>
      </w:r>
      <w:r>
        <w:rPr>
          <w:rFonts w:hint="eastAsia" w:ascii="仿宋_GB2312" w:hAnsi="仿宋_GB2312" w:eastAsia="仿宋_GB2312" w:cs="仿宋_GB2312"/>
          <w:b w:val="0"/>
          <w:i w:val="0"/>
          <w:caps w:val="0"/>
          <w:color w:val="000000"/>
          <w:spacing w:val="0"/>
          <w:sz w:val="32"/>
          <w:szCs w:val="32"/>
          <w:highlight w:val="none"/>
          <w:u w:val="none"/>
          <w:lang w:eastAsia="zh-CN"/>
        </w:rPr>
        <w:t>，</w:t>
      </w:r>
      <w:r>
        <w:rPr>
          <w:rFonts w:hint="eastAsia" w:ascii="仿宋_GB2312" w:hAnsi="仿宋_GB2312" w:eastAsia="仿宋_GB2312" w:cs="仿宋_GB2312"/>
          <w:b w:val="0"/>
          <w:i w:val="0"/>
          <w:caps w:val="0"/>
          <w:color w:val="000000"/>
          <w:spacing w:val="0"/>
          <w:sz w:val="32"/>
          <w:szCs w:val="32"/>
          <w:highlight w:val="none"/>
          <w:u w:val="none"/>
        </w:rPr>
        <w:t>从事跨境电子商务的境内个人，可通过个人外汇账户办理跨境电子商务外汇结算。境内个人办理跨境电子商务项下结售汇，提供有交易额的证明材料或交易电子信息的，不占用个人年度便利化额度。</w:t>
      </w:r>
      <w:r>
        <w:rPr>
          <w:rFonts w:hint="eastAsia" w:ascii="黑体" w:hAnsi="黑体" w:eastAsia="黑体" w:cs="黑体"/>
          <w:b w:val="0"/>
          <w:i w:val="0"/>
          <w:caps w:val="0"/>
          <w:color w:val="000000"/>
          <w:spacing w:val="0"/>
          <w:sz w:val="32"/>
          <w:szCs w:val="32"/>
          <w:highlight w:val="none"/>
          <w:u w:val="none"/>
        </w:rPr>
        <w:t>（责任单位：人民银行</w:t>
      </w:r>
      <w:r>
        <w:rPr>
          <w:rFonts w:hint="eastAsia" w:ascii="黑体" w:hAnsi="黑体" w:eastAsia="黑体" w:cs="黑体"/>
          <w:b w:val="0"/>
          <w:i w:val="0"/>
          <w:caps w:val="0"/>
          <w:color w:val="000000"/>
          <w:spacing w:val="0"/>
          <w:sz w:val="32"/>
          <w:szCs w:val="32"/>
          <w:highlight w:val="none"/>
          <w:u w:val="none"/>
          <w:lang w:eastAsia="zh-CN"/>
        </w:rPr>
        <w:t>汕尾</w:t>
      </w:r>
      <w:r>
        <w:rPr>
          <w:rFonts w:hint="eastAsia" w:ascii="黑体" w:hAnsi="黑体" w:eastAsia="黑体" w:cs="黑体"/>
          <w:b w:val="0"/>
          <w:i w:val="0"/>
          <w:caps w:val="0"/>
          <w:color w:val="000000"/>
          <w:spacing w:val="0"/>
          <w:sz w:val="32"/>
          <w:szCs w:val="32"/>
          <w:highlight w:val="none"/>
          <w:u w:val="none"/>
        </w:rPr>
        <w:t>中支）</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leftChars="0" w:right="0" w:rightChars="0" w:firstLine="0" w:firstLineChars="0"/>
        <w:jc w:val="both"/>
        <w:textAlignment w:val="auto"/>
        <w:outlineLvl w:val="9"/>
        <w:rPr>
          <w:rFonts w:hint="eastAsia" w:ascii="黑体" w:hAnsi="黑体" w:eastAsia="黑体" w:cs="黑体"/>
          <w:b w:val="0"/>
          <w:i w:val="0"/>
          <w:caps w:val="0"/>
          <w:color w:val="000000"/>
          <w:spacing w:val="0"/>
          <w:sz w:val="32"/>
          <w:szCs w:val="32"/>
          <w:highlight w:val="none"/>
          <w:u w:val="none"/>
        </w:rPr>
      </w:pPr>
      <w:r>
        <w:rPr>
          <w:rFonts w:hint="eastAsia" w:ascii="黑体" w:hAnsi="黑体" w:eastAsia="黑体" w:cs="黑体"/>
          <w:b w:val="0"/>
          <w:i w:val="0"/>
          <w:caps w:val="0"/>
          <w:color w:val="000000"/>
          <w:spacing w:val="0"/>
          <w:sz w:val="32"/>
          <w:szCs w:val="32"/>
          <w:highlight w:val="none"/>
          <w:u w:val="none"/>
        </w:rPr>
        <w:t>　　三、减轻个体工商户税费负担</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leftChars="0" w:right="0" w:rightChars="0" w:firstLine="640" w:firstLineChars="200"/>
        <w:jc w:val="both"/>
        <w:textAlignment w:val="auto"/>
        <w:outlineLvl w:val="9"/>
        <w:rPr>
          <w:rFonts w:hint="eastAsia" w:ascii="黑体" w:hAnsi="黑体" w:eastAsia="黑体" w:cs="黑体"/>
          <w:b w:val="0"/>
          <w:i w:val="0"/>
          <w:caps w:val="0"/>
          <w:color w:val="000000"/>
          <w:spacing w:val="0"/>
          <w:sz w:val="32"/>
          <w:szCs w:val="32"/>
          <w:highlight w:val="none"/>
          <w:u w:val="none"/>
        </w:rPr>
      </w:pPr>
      <w:r>
        <w:rPr>
          <w:rFonts w:hint="eastAsia" w:ascii="仿宋_GB2312" w:hAnsi="仿宋_GB2312" w:eastAsia="仿宋_GB2312" w:cs="仿宋_GB2312"/>
          <w:b w:val="0"/>
          <w:i w:val="0"/>
          <w:caps w:val="0"/>
          <w:color w:val="000000"/>
          <w:spacing w:val="0"/>
          <w:sz w:val="32"/>
          <w:szCs w:val="32"/>
          <w:highlight w:val="none"/>
          <w:u w:val="none"/>
        </w:rPr>
        <w:t>11.加大增值税留抵税额退税力度</w:t>
      </w:r>
      <w:r>
        <w:rPr>
          <w:rFonts w:hint="eastAsia" w:ascii="仿宋_GB2312" w:hAnsi="仿宋_GB2312" w:eastAsia="仿宋_GB2312" w:cs="仿宋_GB2312"/>
          <w:b w:val="0"/>
          <w:i w:val="0"/>
          <w:caps w:val="0"/>
          <w:color w:val="000000"/>
          <w:spacing w:val="0"/>
          <w:sz w:val="32"/>
          <w:szCs w:val="32"/>
          <w:highlight w:val="none"/>
          <w:u w:val="none"/>
          <w:lang w:eastAsia="zh-CN"/>
        </w:rPr>
        <w:t>。</w:t>
      </w:r>
      <w:r>
        <w:rPr>
          <w:rFonts w:hint="eastAsia" w:ascii="仿宋_GB2312" w:hAnsi="仿宋_GB2312" w:eastAsia="仿宋_GB2312" w:cs="仿宋_GB2312"/>
          <w:b w:val="0"/>
          <w:i w:val="0"/>
          <w:caps w:val="0"/>
          <w:color w:val="000000"/>
          <w:spacing w:val="0"/>
          <w:sz w:val="32"/>
          <w:szCs w:val="32"/>
          <w:highlight w:val="none"/>
          <w:u w:val="none"/>
        </w:rPr>
        <w:t>动态摸清留抵退税底数，依托税收大数据对可能符合条件的纳税人进行风险排查，分类政策开展评估分析，加强事前、事中、事后风险防范。加快退税办理速度，压缩办理时限，提高纳税人的获得感。对“制造业”“科学研究和技术服务业”“电力、热力、燃气及水生产和供应业”“软件和信息技术服务业”“生态保护和环境治理业”“交通运输、仓储和邮政业”“批发和零售业”“农、林、牧、渔业”“住宿和餐饮业”“居民服务、修理和其他服务业”“教育”“卫生和社会工作”和“文化、体育和娱乐业”等13个重点行业及其他行业符合退税条件的个体工商户，继续大力落实留抵退税政策。执行期限按国家统一规定执行。</w:t>
      </w:r>
      <w:r>
        <w:rPr>
          <w:rFonts w:hint="eastAsia" w:ascii="黑体" w:hAnsi="黑体" w:eastAsia="黑体" w:cs="黑体"/>
          <w:b w:val="0"/>
          <w:i w:val="0"/>
          <w:caps w:val="0"/>
          <w:color w:val="000000"/>
          <w:spacing w:val="0"/>
          <w:sz w:val="32"/>
          <w:szCs w:val="32"/>
          <w:highlight w:val="none"/>
          <w:u w:val="none"/>
        </w:rPr>
        <w:t>（责任单位：国家税务总局汕尾市税务局）</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leftChars="0" w:right="0" w:rightChars="0" w:firstLine="640" w:firstLineChars="200"/>
        <w:jc w:val="both"/>
        <w:textAlignment w:val="auto"/>
        <w:outlineLvl w:val="9"/>
        <w:rPr>
          <w:rFonts w:hint="eastAsia" w:ascii="黑体" w:hAnsi="黑体" w:eastAsia="黑体" w:cs="黑体"/>
          <w:b w:val="0"/>
          <w:i w:val="0"/>
          <w:caps w:val="0"/>
          <w:color w:val="000000"/>
          <w:spacing w:val="0"/>
          <w:sz w:val="32"/>
          <w:szCs w:val="32"/>
          <w:highlight w:val="none"/>
          <w:u w:val="none"/>
        </w:rPr>
      </w:pPr>
      <w:r>
        <w:rPr>
          <w:rFonts w:hint="eastAsia" w:ascii="仿宋_GB2312" w:hAnsi="仿宋_GB2312" w:eastAsia="仿宋_GB2312" w:cs="仿宋_GB2312"/>
          <w:b w:val="0"/>
          <w:i w:val="0"/>
          <w:caps w:val="0"/>
          <w:color w:val="000000"/>
          <w:spacing w:val="0"/>
          <w:sz w:val="32"/>
          <w:szCs w:val="32"/>
          <w:highlight w:val="none"/>
          <w:u w:val="none"/>
        </w:rPr>
        <w:t>12.</w:t>
      </w:r>
      <w:r>
        <w:rPr>
          <w:rFonts w:hint="eastAsia" w:ascii="仿宋_GB2312" w:hAnsi="仿宋_GB2312" w:eastAsia="仿宋_GB2312" w:cs="仿宋_GB2312"/>
          <w:b w:val="0"/>
          <w:i w:val="0"/>
          <w:caps w:val="0"/>
          <w:color w:val="000000"/>
          <w:spacing w:val="0"/>
          <w:sz w:val="32"/>
          <w:szCs w:val="32"/>
          <w:highlight w:val="none"/>
          <w:u w:val="none"/>
          <w:lang w:eastAsia="zh-CN"/>
        </w:rPr>
        <w:t>落实</w:t>
      </w:r>
      <w:r>
        <w:rPr>
          <w:rFonts w:hint="eastAsia" w:ascii="仿宋_GB2312" w:hAnsi="仿宋_GB2312" w:eastAsia="仿宋_GB2312" w:cs="仿宋_GB2312"/>
          <w:b w:val="0"/>
          <w:i w:val="0"/>
          <w:caps w:val="0"/>
          <w:color w:val="000000"/>
          <w:spacing w:val="0"/>
          <w:sz w:val="32"/>
          <w:szCs w:val="32"/>
          <w:highlight w:val="none"/>
          <w:u w:val="none"/>
        </w:rPr>
        <w:t>增值税小规模纳税人减免增值税政策</w:t>
      </w:r>
      <w:r>
        <w:rPr>
          <w:rFonts w:hint="eastAsia" w:ascii="仿宋_GB2312" w:hAnsi="仿宋_GB2312" w:eastAsia="仿宋_GB2312" w:cs="仿宋_GB2312"/>
          <w:b w:val="0"/>
          <w:i w:val="0"/>
          <w:caps w:val="0"/>
          <w:color w:val="000000"/>
          <w:spacing w:val="0"/>
          <w:sz w:val="32"/>
          <w:szCs w:val="32"/>
          <w:highlight w:val="none"/>
          <w:u w:val="none"/>
          <w:lang w:eastAsia="zh-CN"/>
        </w:rPr>
        <w:t>。</w:t>
      </w:r>
      <w:r>
        <w:rPr>
          <w:rFonts w:hint="eastAsia" w:ascii="仿宋_GB2312" w:hAnsi="仿宋_GB2312" w:eastAsia="仿宋_GB2312" w:cs="仿宋_GB2312"/>
          <w:b w:val="0"/>
          <w:i w:val="0"/>
          <w:caps w:val="0"/>
          <w:color w:val="000000"/>
          <w:spacing w:val="0"/>
          <w:sz w:val="32"/>
          <w:szCs w:val="32"/>
          <w:highlight w:val="none"/>
          <w:u w:val="none"/>
        </w:rPr>
        <w:t>点对点地对纳税人进行政策辅导，建立政策疑点语句，及时下发可能存在开错发票的疑点数据，对税收优惠应享未享、不应享而享的情况进行纠正，确保纳税人正确享受税收优惠。属于小规模纳税人的个体工商户发生增值税应税销售行为，合计月销售额未超过10万元（以1个季度为1个纳税期的，季度销售额未超过30万元）的，免征增值税。属于小规模纳税人的个体工商户适用3%征收率的应税销售收入，减按1%征收率征收增值税；适用3%预征率的预缴增值税项目，减按1%预征率预缴增值税。执行期限为2023年1月1日至2023年12月31日。</w:t>
      </w:r>
      <w:r>
        <w:rPr>
          <w:rFonts w:hint="eastAsia" w:ascii="黑体" w:hAnsi="黑体" w:eastAsia="黑体" w:cs="黑体"/>
          <w:b w:val="0"/>
          <w:i w:val="0"/>
          <w:caps w:val="0"/>
          <w:color w:val="000000"/>
          <w:spacing w:val="0"/>
          <w:sz w:val="32"/>
          <w:szCs w:val="32"/>
          <w:highlight w:val="none"/>
          <w:u w:val="none"/>
        </w:rPr>
        <w:t>（责任单位：国家税务总局汕尾市税务局）</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leftChars="0" w:right="0" w:rightChars="0" w:firstLine="640" w:firstLineChars="200"/>
        <w:jc w:val="both"/>
        <w:textAlignment w:val="auto"/>
        <w:outlineLvl w:val="9"/>
        <w:rPr>
          <w:rFonts w:hint="eastAsia" w:ascii="黑体" w:hAnsi="黑体" w:eastAsia="黑体" w:cs="黑体"/>
          <w:b w:val="0"/>
          <w:i w:val="0"/>
          <w:caps w:val="0"/>
          <w:color w:val="000000"/>
          <w:spacing w:val="0"/>
          <w:sz w:val="32"/>
          <w:szCs w:val="32"/>
          <w:highlight w:val="none"/>
          <w:u w:val="none"/>
        </w:rPr>
      </w:pPr>
      <w:r>
        <w:rPr>
          <w:rFonts w:hint="eastAsia" w:ascii="仿宋_GB2312" w:hAnsi="仿宋_GB2312" w:eastAsia="仿宋_GB2312" w:cs="仿宋_GB2312"/>
          <w:b w:val="0"/>
          <w:i w:val="0"/>
          <w:caps w:val="0"/>
          <w:color w:val="000000"/>
          <w:spacing w:val="0"/>
          <w:sz w:val="32"/>
          <w:szCs w:val="32"/>
          <w:highlight w:val="none"/>
          <w:u w:val="none"/>
        </w:rPr>
        <w:t>13.</w:t>
      </w:r>
      <w:r>
        <w:rPr>
          <w:rFonts w:hint="eastAsia" w:ascii="仿宋_GB2312" w:hAnsi="仿宋_GB2312" w:eastAsia="仿宋_GB2312" w:cs="仿宋_GB2312"/>
          <w:b w:val="0"/>
          <w:i w:val="0"/>
          <w:caps w:val="0"/>
          <w:color w:val="000000"/>
          <w:spacing w:val="0"/>
          <w:sz w:val="32"/>
          <w:szCs w:val="32"/>
          <w:highlight w:val="none"/>
          <w:u w:val="none"/>
          <w:lang w:eastAsia="zh-CN"/>
        </w:rPr>
        <w:t>实施</w:t>
      </w:r>
      <w:r>
        <w:rPr>
          <w:rFonts w:hint="eastAsia" w:ascii="仿宋_GB2312" w:hAnsi="仿宋_GB2312" w:eastAsia="仿宋_GB2312" w:cs="仿宋_GB2312"/>
          <w:b w:val="0"/>
          <w:i w:val="0"/>
          <w:caps w:val="0"/>
          <w:color w:val="000000"/>
          <w:spacing w:val="0"/>
          <w:sz w:val="32"/>
          <w:szCs w:val="32"/>
          <w:highlight w:val="none"/>
          <w:u w:val="none"/>
        </w:rPr>
        <w:t>其他增值税政策</w:t>
      </w:r>
      <w:r>
        <w:rPr>
          <w:rFonts w:hint="eastAsia" w:ascii="仿宋_GB2312" w:hAnsi="仿宋_GB2312" w:eastAsia="仿宋_GB2312" w:cs="仿宋_GB2312"/>
          <w:b w:val="0"/>
          <w:i w:val="0"/>
          <w:caps w:val="0"/>
          <w:color w:val="000000"/>
          <w:spacing w:val="0"/>
          <w:sz w:val="32"/>
          <w:szCs w:val="32"/>
          <w:highlight w:val="none"/>
          <w:u w:val="none"/>
          <w:lang w:eastAsia="zh-CN"/>
        </w:rPr>
        <w:t>。</w:t>
      </w:r>
      <w:r>
        <w:rPr>
          <w:rFonts w:hint="eastAsia" w:ascii="仿宋_GB2312" w:hAnsi="仿宋_GB2312" w:eastAsia="仿宋_GB2312" w:cs="仿宋_GB2312"/>
          <w:b w:val="0"/>
          <w:i w:val="0"/>
          <w:caps w:val="0"/>
          <w:color w:val="000000"/>
          <w:spacing w:val="0"/>
          <w:sz w:val="32"/>
          <w:szCs w:val="32"/>
          <w:highlight w:val="none"/>
          <w:u w:val="none"/>
        </w:rPr>
        <w:t>充分利用“</w:t>
      </w:r>
      <w:r>
        <w:rPr>
          <w:rFonts w:hint="eastAsia" w:ascii="仿宋_GB2312" w:hAnsi="仿宋_GB2312" w:eastAsia="仿宋_GB2312" w:cs="仿宋_GB2312"/>
          <w:b w:val="0"/>
          <w:i w:val="0"/>
          <w:caps w:val="0"/>
          <w:color w:val="000000"/>
          <w:spacing w:val="0"/>
          <w:sz w:val="32"/>
          <w:szCs w:val="32"/>
          <w:highlight w:val="none"/>
          <w:u w:val="none"/>
          <w:lang w:eastAsia="zh-CN"/>
        </w:rPr>
        <w:t>粤税通</w:t>
      </w:r>
      <w:r>
        <w:rPr>
          <w:rFonts w:hint="eastAsia" w:ascii="仿宋_GB2312" w:hAnsi="仿宋_GB2312" w:eastAsia="仿宋_GB2312" w:cs="仿宋_GB2312"/>
          <w:b w:val="0"/>
          <w:i w:val="0"/>
          <w:caps w:val="0"/>
          <w:color w:val="000000"/>
          <w:spacing w:val="0"/>
          <w:sz w:val="32"/>
          <w:szCs w:val="32"/>
          <w:highlight w:val="none"/>
          <w:u w:val="none"/>
        </w:rPr>
        <w:t>”平台，向全市小规模纳税人发送政策短信提醒，扩大宣传面。通过税收大数据，筛选出可能会享受新税收优惠的纳税人名单，并做好税收测算。个体工商户销售自产农产品，从事蔬菜、部分鲜活肉蛋产品批发、零售，销售农药、农膜、农机等农业生产资料，从事图书批发、零售，转让著作权，销售自建自用住房，从事金融商品转让业务等，可以按规定享受免征增值税优惠政策。执行期限按国家统一规定执行。</w:t>
      </w:r>
      <w:r>
        <w:rPr>
          <w:rFonts w:hint="eastAsia" w:ascii="黑体" w:hAnsi="黑体" w:eastAsia="黑体" w:cs="黑体"/>
          <w:b w:val="0"/>
          <w:i w:val="0"/>
          <w:caps w:val="0"/>
          <w:color w:val="000000"/>
          <w:spacing w:val="0"/>
          <w:sz w:val="32"/>
          <w:szCs w:val="32"/>
          <w:highlight w:val="none"/>
          <w:u w:val="none"/>
        </w:rPr>
        <w:t>（责任单位：国家税务总局汕尾市税务局）</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leftChars="0" w:right="0" w:rightChars="0" w:firstLine="640" w:firstLineChars="200"/>
        <w:jc w:val="both"/>
        <w:textAlignment w:val="auto"/>
        <w:outlineLvl w:val="9"/>
        <w:rPr>
          <w:rFonts w:hint="eastAsia" w:ascii="黑体" w:hAnsi="黑体" w:eastAsia="黑体" w:cs="黑体"/>
          <w:b w:val="0"/>
          <w:i w:val="0"/>
          <w:caps w:val="0"/>
          <w:color w:val="000000"/>
          <w:spacing w:val="0"/>
          <w:sz w:val="32"/>
          <w:szCs w:val="32"/>
          <w:highlight w:val="none"/>
          <w:u w:val="none"/>
        </w:rPr>
      </w:pPr>
      <w:r>
        <w:rPr>
          <w:rFonts w:hint="eastAsia" w:ascii="仿宋_GB2312" w:hAnsi="仿宋_GB2312" w:eastAsia="仿宋_GB2312" w:cs="仿宋_GB2312"/>
          <w:b w:val="0"/>
          <w:i w:val="0"/>
          <w:caps w:val="0"/>
          <w:color w:val="000000"/>
          <w:spacing w:val="0"/>
          <w:sz w:val="32"/>
          <w:szCs w:val="32"/>
          <w:highlight w:val="none"/>
          <w:u w:val="none"/>
        </w:rPr>
        <w:t>14.</w:t>
      </w:r>
      <w:r>
        <w:rPr>
          <w:rFonts w:hint="eastAsia" w:ascii="仿宋_GB2312" w:hAnsi="仿宋_GB2312" w:eastAsia="仿宋_GB2312" w:cs="仿宋_GB2312"/>
          <w:b w:val="0"/>
          <w:i w:val="0"/>
          <w:caps w:val="0"/>
          <w:color w:val="000000"/>
          <w:spacing w:val="0"/>
          <w:sz w:val="32"/>
          <w:szCs w:val="32"/>
          <w:highlight w:val="none"/>
          <w:u w:val="none"/>
          <w:lang w:eastAsia="zh-CN"/>
        </w:rPr>
        <w:t>实施</w:t>
      </w:r>
      <w:r>
        <w:rPr>
          <w:rFonts w:hint="eastAsia" w:ascii="仿宋_GB2312" w:hAnsi="仿宋_GB2312" w:eastAsia="仿宋_GB2312" w:cs="仿宋_GB2312"/>
          <w:b w:val="0"/>
          <w:i w:val="0"/>
          <w:caps w:val="0"/>
          <w:color w:val="000000"/>
          <w:spacing w:val="0"/>
          <w:sz w:val="32"/>
          <w:szCs w:val="32"/>
          <w:highlight w:val="none"/>
          <w:u w:val="none"/>
        </w:rPr>
        <w:t>契税优惠政策</w:t>
      </w:r>
      <w:r>
        <w:rPr>
          <w:rFonts w:hint="eastAsia" w:ascii="仿宋_GB2312" w:hAnsi="仿宋_GB2312" w:eastAsia="仿宋_GB2312" w:cs="仿宋_GB2312"/>
          <w:b w:val="0"/>
          <w:i w:val="0"/>
          <w:caps w:val="0"/>
          <w:color w:val="000000"/>
          <w:spacing w:val="0"/>
          <w:sz w:val="32"/>
          <w:szCs w:val="32"/>
          <w:highlight w:val="none"/>
          <w:u w:val="none"/>
          <w:lang w:eastAsia="zh-CN"/>
        </w:rPr>
        <w:t>。</w:t>
      </w:r>
      <w:r>
        <w:rPr>
          <w:rFonts w:hint="eastAsia" w:ascii="仿宋_GB2312" w:hAnsi="仿宋_GB2312" w:eastAsia="仿宋_GB2312" w:cs="仿宋_GB2312"/>
          <w:b w:val="0"/>
          <w:i w:val="0"/>
          <w:caps w:val="0"/>
          <w:color w:val="000000"/>
          <w:spacing w:val="0"/>
          <w:sz w:val="32"/>
          <w:szCs w:val="32"/>
          <w:highlight w:val="none"/>
          <w:u w:val="none"/>
        </w:rPr>
        <w:t>充分利用网站、微信公众号等渠道开展政策宣传辅导，做好政策跟踪落实工作，确保应享尽享。个体工商户的经营者将其个人名下的房屋、土地权属转移至个体工商户名下，或个体工商户将其名下的房屋、土地权属转回原经营者个人名下，免征契税。</w:t>
      </w:r>
      <w:r>
        <w:rPr>
          <w:rFonts w:hint="eastAsia" w:ascii="黑体" w:hAnsi="黑体" w:eastAsia="黑体" w:cs="黑体"/>
          <w:b w:val="0"/>
          <w:i w:val="0"/>
          <w:caps w:val="0"/>
          <w:color w:val="000000"/>
          <w:spacing w:val="0"/>
          <w:sz w:val="32"/>
          <w:szCs w:val="32"/>
          <w:highlight w:val="none"/>
          <w:u w:val="none"/>
        </w:rPr>
        <w:t>（责任单位：市自然资源局、国家税务总局汕尾市税务局等按职责分工负责）</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leftChars="0" w:right="0" w:rightChars="0" w:firstLine="640" w:firstLineChars="200"/>
        <w:jc w:val="both"/>
        <w:textAlignment w:val="auto"/>
        <w:outlineLvl w:val="9"/>
        <w:rPr>
          <w:rFonts w:hint="eastAsia" w:ascii="黑体" w:hAnsi="黑体" w:eastAsia="黑体" w:cs="黑体"/>
          <w:b w:val="0"/>
          <w:i w:val="0"/>
          <w:caps w:val="0"/>
          <w:color w:val="000000"/>
          <w:spacing w:val="0"/>
          <w:sz w:val="32"/>
          <w:szCs w:val="32"/>
          <w:highlight w:val="none"/>
          <w:u w:val="none"/>
        </w:rPr>
      </w:pPr>
      <w:r>
        <w:rPr>
          <w:rFonts w:hint="eastAsia" w:ascii="仿宋_GB2312" w:hAnsi="仿宋_GB2312" w:eastAsia="仿宋_GB2312" w:cs="仿宋_GB2312"/>
          <w:b w:val="0"/>
          <w:i w:val="0"/>
          <w:caps w:val="0"/>
          <w:color w:val="000000"/>
          <w:spacing w:val="0"/>
          <w:sz w:val="32"/>
          <w:szCs w:val="32"/>
          <w:highlight w:val="none"/>
          <w:u w:val="none"/>
        </w:rPr>
        <w:t>15.实施“六税两费”减免政策</w:t>
      </w:r>
      <w:r>
        <w:rPr>
          <w:rFonts w:hint="eastAsia" w:ascii="仿宋_GB2312" w:hAnsi="仿宋_GB2312" w:eastAsia="仿宋_GB2312" w:cs="仿宋_GB2312"/>
          <w:b w:val="0"/>
          <w:i w:val="0"/>
          <w:caps w:val="0"/>
          <w:color w:val="000000"/>
          <w:spacing w:val="0"/>
          <w:sz w:val="32"/>
          <w:szCs w:val="32"/>
          <w:highlight w:val="none"/>
          <w:u w:val="none"/>
          <w:lang w:eastAsia="zh-CN"/>
        </w:rPr>
        <w:t>。</w:t>
      </w:r>
      <w:r>
        <w:rPr>
          <w:rFonts w:hint="eastAsia" w:ascii="仿宋_GB2312" w:hAnsi="仿宋_GB2312" w:eastAsia="仿宋_GB2312" w:cs="仿宋_GB2312"/>
          <w:b w:val="0"/>
          <w:i w:val="0"/>
          <w:caps w:val="0"/>
          <w:color w:val="000000"/>
          <w:spacing w:val="0"/>
          <w:sz w:val="32"/>
          <w:szCs w:val="32"/>
          <w:highlight w:val="none"/>
          <w:u w:val="none"/>
        </w:rPr>
        <w:t>全面宣传“六税两费”减免政策，持续开展申报数据分析，主动识别疑点数据，及时对税收优惠应享未享、不应享而享的情况进行纠正，确保纳税人正确享受税收优惠。将个体工商户纳入资源税、城市维护建设税、房产税、城镇土地使用税、印花税（不含证券交易印花税）、耕地占用税和教育费附加、地方教育附加等“六税两费”减免政策适用主体范围，并在国家规定减免幅度内按照顶格50%幅度减征。执行期限至2024年12月31日。</w:t>
      </w:r>
      <w:r>
        <w:rPr>
          <w:rFonts w:hint="eastAsia" w:ascii="黑体" w:hAnsi="黑体" w:eastAsia="黑体" w:cs="黑体"/>
          <w:b w:val="0"/>
          <w:i w:val="0"/>
          <w:caps w:val="0"/>
          <w:color w:val="000000"/>
          <w:spacing w:val="0"/>
          <w:sz w:val="32"/>
          <w:szCs w:val="32"/>
          <w:highlight w:val="none"/>
          <w:u w:val="none"/>
        </w:rPr>
        <w:t>（责任单位：国家税务总局汕尾市税务局）</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leftChars="0" w:right="0" w:rightChars="0" w:firstLine="640" w:firstLineChars="200"/>
        <w:jc w:val="both"/>
        <w:textAlignment w:val="auto"/>
        <w:outlineLvl w:val="9"/>
        <w:rPr>
          <w:rFonts w:hint="eastAsia" w:ascii="黑体" w:hAnsi="黑体" w:eastAsia="黑体" w:cs="黑体"/>
          <w:b w:val="0"/>
          <w:i w:val="0"/>
          <w:caps w:val="0"/>
          <w:color w:val="000000"/>
          <w:spacing w:val="0"/>
          <w:sz w:val="32"/>
          <w:szCs w:val="32"/>
          <w:highlight w:val="none"/>
          <w:u w:val="none"/>
          <w:lang w:eastAsia="zh-CN"/>
        </w:rPr>
      </w:pPr>
      <w:r>
        <w:rPr>
          <w:rFonts w:hint="eastAsia" w:ascii="仿宋_GB2312" w:hAnsi="仿宋_GB2312" w:eastAsia="仿宋_GB2312" w:cs="仿宋_GB2312"/>
          <w:b w:val="0"/>
          <w:i w:val="0"/>
          <w:caps w:val="0"/>
          <w:color w:val="000000"/>
          <w:spacing w:val="0"/>
          <w:sz w:val="32"/>
          <w:szCs w:val="32"/>
          <w:highlight w:val="none"/>
          <w:u w:val="none"/>
        </w:rPr>
        <w:t>16.优化纳税服务</w:t>
      </w:r>
      <w:r>
        <w:rPr>
          <w:rFonts w:hint="eastAsia" w:ascii="仿宋_GB2312" w:hAnsi="仿宋_GB2312" w:eastAsia="仿宋_GB2312" w:cs="仿宋_GB2312"/>
          <w:b w:val="0"/>
          <w:i w:val="0"/>
          <w:caps w:val="0"/>
          <w:color w:val="000000"/>
          <w:spacing w:val="0"/>
          <w:sz w:val="32"/>
          <w:szCs w:val="32"/>
          <w:highlight w:val="none"/>
          <w:u w:val="none"/>
          <w:lang w:eastAsia="zh-CN"/>
        </w:rPr>
        <w:t>。</w:t>
      </w:r>
      <w:r>
        <w:rPr>
          <w:rFonts w:hint="eastAsia" w:ascii="仿宋_GB2312" w:hAnsi="仿宋_GB2312" w:eastAsia="仿宋_GB2312" w:cs="仿宋_GB2312"/>
          <w:b w:val="0"/>
          <w:i w:val="0"/>
          <w:caps w:val="0"/>
          <w:color w:val="000000"/>
          <w:spacing w:val="0"/>
          <w:sz w:val="32"/>
          <w:szCs w:val="32"/>
          <w:highlight w:val="none"/>
          <w:u w:val="none"/>
        </w:rPr>
        <w:t>通过“</w:t>
      </w:r>
      <w:r>
        <w:rPr>
          <w:rFonts w:hint="eastAsia" w:ascii="仿宋_GB2312" w:hAnsi="仿宋_GB2312" w:eastAsia="仿宋_GB2312" w:cs="仿宋_GB2312"/>
          <w:b w:val="0"/>
          <w:i w:val="0"/>
          <w:caps w:val="0"/>
          <w:color w:val="000000"/>
          <w:spacing w:val="0"/>
          <w:sz w:val="32"/>
          <w:szCs w:val="32"/>
          <w:highlight w:val="none"/>
          <w:u w:val="none"/>
          <w:lang w:eastAsia="zh-CN"/>
        </w:rPr>
        <w:t>粤税通</w:t>
      </w:r>
      <w:r>
        <w:rPr>
          <w:rFonts w:hint="eastAsia" w:ascii="仿宋_GB2312" w:hAnsi="仿宋_GB2312" w:eastAsia="仿宋_GB2312" w:cs="仿宋_GB2312"/>
          <w:b w:val="0"/>
          <w:i w:val="0"/>
          <w:caps w:val="0"/>
          <w:color w:val="000000"/>
          <w:spacing w:val="0"/>
          <w:sz w:val="32"/>
          <w:szCs w:val="32"/>
          <w:highlight w:val="none"/>
          <w:u w:val="none"/>
        </w:rPr>
        <w:t>”</w:t>
      </w:r>
      <w:r>
        <w:rPr>
          <w:rFonts w:hint="eastAsia" w:ascii="仿宋_GB2312" w:hAnsi="仿宋_GB2312" w:eastAsia="仿宋_GB2312" w:cs="仿宋_GB2312"/>
          <w:b w:val="0"/>
          <w:i w:val="0"/>
          <w:caps w:val="0"/>
          <w:color w:val="000000"/>
          <w:spacing w:val="0"/>
          <w:sz w:val="32"/>
          <w:szCs w:val="32"/>
          <w:highlight w:val="none"/>
          <w:u w:val="none"/>
          <w:lang w:eastAsia="zh-CN"/>
        </w:rPr>
        <w:t>“善美店小二”等</w:t>
      </w:r>
      <w:r>
        <w:rPr>
          <w:rFonts w:hint="eastAsia" w:ascii="仿宋_GB2312" w:hAnsi="仿宋_GB2312" w:eastAsia="仿宋_GB2312" w:cs="仿宋_GB2312"/>
          <w:b w:val="0"/>
          <w:i w:val="0"/>
          <w:caps w:val="0"/>
          <w:color w:val="000000"/>
          <w:spacing w:val="0"/>
          <w:sz w:val="32"/>
          <w:szCs w:val="32"/>
          <w:highlight w:val="none"/>
          <w:u w:val="none"/>
        </w:rPr>
        <w:t>服务平台点对点发送优惠政策内容以及申报享受税收优惠政策的操作指引，力争做到应享尽享。脱贫人口、在人力资源社会保障部门公共就业服务机构登记失业半年以上的人员、零就业家庭和享受城市居民最低生活保障家庭劳动年龄内的登记失业人员、毕业年度内高校毕业生，从事个体经营的，自办理个体工商户登记当月起，在3年（36个月）内按每户每年14400元为限额依次扣减其当年实际应缴纳的增值税、城市维护建设税、教育费附加、地方教育附加和个人所得税。执行期限至2025年12月31日。</w:t>
      </w:r>
      <w:r>
        <w:rPr>
          <w:rFonts w:hint="eastAsia" w:ascii="黑体" w:hAnsi="黑体" w:eastAsia="黑体" w:cs="黑体"/>
          <w:b w:val="0"/>
          <w:i w:val="0"/>
          <w:caps w:val="0"/>
          <w:color w:val="000000"/>
          <w:spacing w:val="0"/>
          <w:sz w:val="32"/>
          <w:szCs w:val="32"/>
          <w:highlight w:val="none"/>
          <w:u w:val="none"/>
          <w:lang w:eastAsia="zh-CN"/>
        </w:rPr>
        <w:t>（</w:t>
      </w:r>
      <w:r>
        <w:rPr>
          <w:rFonts w:hint="eastAsia" w:ascii="黑体" w:hAnsi="黑体" w:eastAsia="黑体" w:cs="黑体"/>
          <w:b w:val="0"/>
          <w:i w:val="0"/>
          <w:caps w:val="0"/>
          <w:color w:val="000000"/>
          <w:spacing w:val="0"/>
          <w:sz w:val="32"/>
          <w:szCs w:val="32"/>
          <w:highlight w:val="none"/>
          <w:u w:val="none"/>
        </w:rPr>
        <w:t>责任单位：市人力资源社会保障局、市农业农村局、国家税务总局汕尾市税务局等按职责分工负责</w:t>
      </w:r>
      <w:r>
        <w:rPr>
          <w:rFonts w:hint="eastAsia" w:ascii="黑体" w:hAnsi="黑体" w:eastAsia="黑体" w:cs="黑体"/>
          <w:b w:val="0"/>
          <w:i w:val="0"/>
          <w:caps w:val="0"/>
          <w:color w:val="000000"/>
          <w:spacing w:val="0"/>
          <w:sz w:val="32"/>
          <w:szCs w:val="32"/>
          <w:highlight w:val="none"/>
          <w:u w:val="none"/>
          <w:lang w:eastAsia="zh-CN"/>
        </w:rPr>
        <w:t>）</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leftChars="0" w:right="0" w:rightChars="0" w:firstLine="0" w:firstLineChars="0"/>
        <w:jc w:val="both"/>
        <w:textAlignment w:val="auto"/>
        <w:outlineLvl w:val="9"/>
        <w:rPr>
          <w:rFonts w:hint="eastAsia" w:ascii="黑体" w:hAnsi="黑体" w:eastAsia="黑体" w:cs="黑体"/>
          <w:b w:val="0"/>
          <w:i w:val="0"/>
          <w:caps w:val="0"/>
          <w:color w:val="000000"/>
          <w:spacing w:val="0"/>
          <w:sz w:val="32"/>
          <w:szCs w:val="32"/>
          <w:highlight w:val="none"/>
          <w:u w:val="none"/>
        </w:rPr>
      </w:pPr>
      <w:r>
        <w:rPr>
          <w:rFonts w:hint="eastAsia" w:ascii="黑体" w:hAnsi="黑体" w:eastAsia="黑体" w:cs="黑体"/>
          <w:b w:val="0"/>
          <w:i w:val="0"/>
          <w:caps w:val="0"/>
          <w:color w:val="000000"/>
          <w:spacing w:val="0"/>
          <w:sz w:val="32"/>
          <w:szCs w:val="32"/>
          <w:highlight w:val="none"/>
          <w:u w:val="none"/>
        </w:rPr>
        <w:t>　　四、优化个体工商户营商环境</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leftChars="0" w:right="0" w:rightChars="0" w:firstLine="640" w:firstLineChars="200"/>
        <w:jc w:val="both"/>
        <w:textAlignment w:val="auto"/>
        <w:outlineLvl w:val="9"/>
        <w:rPr>
          <w:rFonts w:hint="eastAsia" w:ascii="黑体" w:hAnsi="黑体" w:eastAsia="黑体" w:cs="黑体"/>
          <w:b w:val="0"/>
          <w:i w:val="0"/>
          <w:caps w:val="0"/>
          <w:color w:val="000000"/>
          <w:spacing w:val="0"/>
          <w:sz w:val="32"/>
          <w:szCs w:val="32"/>
          <w:highlight w:val="none"/>
          <w:u w:val="none"/>
        </w:rPr>
      </w:pPr>
      <w:r>
        <w:rPr>
          <w:rFonts w:hint="eastAsia" w:ascii="仿宋_GB2312" w:hAnsi="仿宋_GB2312" w:eastAsia="仿宋_GB2312" w:cs="仿宋_GB2312"/>
          <w:b w:val="0"/>
          <w:i w:val="0"/>
          <w:caps w:val="0"/>
          <w:color w:val="000000"/>
          <w:spacing w:val="0"/>
          <w:sz w:val="32"/>
          <w:szCs w:val="32"/>
          <w:highlight w:val="none"/>
          <w:u w:val="none"/>
        </w:rPr>
        <w:t>17.支持个体工商户经营者变更</w:t>
      </w:r>
      <w:r>
        <w:rPr>
          <w:rFonts w:hint="eastAsia" w:ascii="仿宋_GB2312" w:hAnsi="仿宋_GB2312" w:eastAsia="仿宋_GB2312" w:cs="仿宋_GB2312"/>
          <w:b w:val="0"/>
          <w:i w:val="0"/>
          <w:caps w:val="0"/>
          <w:color w:val="000000"/>
          <w:spacing w:val="0"/>
          <w:sz w:val="32"/>
          <w:szCs w:val="32"/>
          <w:highlight w:val="none"/>
          <w:u w:val="none"/>
          <w:lang w:eastAsia="zh-CN"/>
        </w:rPr>
        <w:t>。</w:t>
      </w:r>
      <w:r>
        <w:rPr>
          <w:rFonts w:hint="eastAsia" w:ascii="仿宋_GB2312" w:hAnsi="仿宋_GB2312" w:eastAsia="仿宋_GB2312" w:cs="仿宋_GB2312"/>
          <w:b w:val="0"/>
          <w:i w:val="0"/>
          <w:caps w:val="0"/>
          <w:color w:val="000000"/>
          <w:spacing w:val="0"/>
          <w:sz w:val="32"/>
          <w:szCs w:val="32"/>
          <w:highlight w:val="none"/>
          <w:u w:val="none"/>
        </w:rPr>
        <w:t>个体工商户可采取“先注销、再设立”的方式实现经营者变更或直接向市场主体登记机关申请变更登记，允许延续原成立时间、字号等。个体工商户变更经营者后，涉及食品经营许可、食品生产许可、特种设备使用登记等行政许可相应的许可（登记）事项变更，</w:t>
      </w:r>
      <w:r>
        <w:rPr>
          <w:rFonts w:hint="eastAsia" w:ascii="仿宋_GB2312" w:hAnsi="仿宋_GB2312" w:eastAsia="仿宋_GB2312" w:cs="仿宋_GB2312"/>
          <w:b w:val="0"/>
          <w:i w:val="0"/>
          <w:caps w:val="0"/>
          <w:color w:val="000000"/>
          <w:spacing w:val="0"/>
          <w:sz w:val="32"/>
          <w:szCs w:val="32"/>
          <w:highlight w:val="none"/>
          <w:u w:val="none"/>
          <w:lang w:eastAsia="zh-CN"/>
        </w:rPr>
        <w:t>优化</w:t>
      </w:r>
      <w:r>
        <w:rPr>
          <w:rFonts w:hint="eastAsia" w:ascii="仿宋_GB2312" w:hAnsi="仿宋_GB2312" w:eastAsia="仿宋_GB2312" w:cs="仿宋_GB2312"/>
          <w:b w:val="0"/>
          <w:i w:val="0"/>
          <w:caps w:val="0"/>
          <w:color w:val="000000"/>
          <w:spacing w:val="0"/>
          <w:sz w:val="32"/>
          <w:szCs w:val="32"/>
          <w:highlight w:val="none"/>
          <w:u w:val="none"/>
        </w:rPr>
        <w:t>审批</w:t>
      </w:r>
      <w:r>
        <w:rPr>
          <w:rFonts w:hint="eastAsia" w:ascii="仿宋_GB2312" w:hAnsi="仿宋_GB2312" w:eastAsia="仿宋_GB2312" w:cs="仿宋_GB2312"/>
          <w:b w:val="0"/>
          <w:i w:val="0"/>
          <w:caps w:val="0"/>
          <w:color w:val="000000"/>
          <w:spacing w:val="0"/>
          <w:sz w:val="32"/>
          <w:szCs w:val="32"/>
          <w:highlight w:val="none"/>
          <w:u w:val="none"/>
          <w:lang w:eastAsia="zh-CN"/>
        </w:rPr>
        <w:t>服务</w:t>
      </w:r>
      <w:r>
        <w:rPr>
          <w:rFonts w:hint="eastAsia" w:ascii="仿宋_GB2312" w:hAnsi="仿宋_GB2312" w:eastAsia="仿宋_GB2312" w:cs="仿宋_GB2312"/>
          <w:b w:val="0"/>
          <w:i w:val="0"/>
          <w:caps w:val="0"/>
          <w:color w:val="000000"/>
          <w:spacing w:val="0"/>
          <w:sz w:val="32"/>
          <w:szCs w:val="32"/>
          <w:highlight w:val="none"/>
          <w:u w:val="none"/>
        </w:rPr>
        <w:t>。</w:t>
      </w:r>
      <w:r>
        <w:rPr>
          <w:rFonts w:hint="eastAsia" w:ascii="仿宋_GB2312" w:hAnsi="仿宋_GB2312" w:eastAsia="仿宋_GB2312" w:cs="仿宋_GB2312"/>
          <w:b w:val="0"/>
          <w:i w:val="0"/>
          <w:caps w:val="0"/>
          <w:color w:val="000000"/>
          <w:spacing w:val="0"/>
          <w:sz w:val="32"/>
          <w:szCs w:val="32"/>
          <w:highlight w:val="none"/>
          <w:u w:val="none"/>
          <w:lang w:eastAsia="zh-CN"/>
        </w:rPr>
        <w:t>按照</w:t>
      </w:r>
      <w:r>
        <w:rPr>
          <w:rFonts w:hint="eastAsia" w:ascii="仿宋_GB2312" w:hAnsi="仿宋_GB2312" w:eastAsia="仿宋_GB2312" w:cs="仿宋_GB2312"/>
          <w:b w:val="0"/>
          <w:i w:val="0"/>
          <w:caps w:val="0"/>
          <w:color w:val="000000"/>
          <w:spacing w:val="0"/>
          <w:sz w:val="32"/>
          <w:szCs w:val="32"/>
          <w:highlight w:val="none"/>
          <w:u w:val="none"/>
        </w:rPr>
        <w:t>《关于个体工商户变更经营者有关涉税事项的通知》及相关系统操作指引，对个体工商户变更经营者进行分类处理，规范纳税服务和税务管理。</w:t>
      </w:r>
      <w:r>
        <w:rPr>
          <w:rFonts w:hint="eastAsia" w:ascii="黑体" w:hAnsi="黑体" w:eastAsia="黑体" w:cs="黑体"/>
          <w:b w:val="0"/>
          <w:i w:val="0"/>
          <w:caps w:val="0"/>
          <w:color w:val="000000"/>
          <w:spacing w:val="0"/>
          <w:sz w:val="32"/>
          <w:szCs w:val="32"/>
          <w:highlight w:val="none"/>
          <w:u w:val="none"/>
        </w:rPr>
        <w:t>（责任单位：各县（市、区）人民政府，市市场监管局、国家税务总局汕尾市税务局等按职责分工负责）</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leftChars="0" w:right="0" w:rightChars="0" w:firstLine="640" w:firstLineChars="200"/>
        <w:jc w:val="both"/>
        <w:textAlignment w:val="auto"/>
        <w:outlineLvl w:val="9"/>
        <w:rPr>
          <w:rFonts w:hint="eastAsia" w:ascii="黑体" w:hAnsi="黑体" w:eastAsia="黑体" w:cs="黑体"/>
          <w:b w:val="0"/>
          <w:i w:val="0"/>
          <w:caps w:val="0"/>
          <w:color w:val="000000"/>
          <w:spacing w:val="0"/>
          <w:sz w:val="32"/>
          <w:szCs w:val="32"/>
          <w:highlight w:val="none"/>
          <w:u w:val="none"/>
        </w:rPr>
      </w:pPr>
      <w:r>
        <w:rPr>
          <w:rFonts w:hint="eastAsia" w:ascii="仿宋_GB2312" w:hAnsi="仿宋_GB2312" w:eastAsia="仿宋_GB2312" w:cs="仿宋_GB2312"/>
          <w:b w:val="0"/>
          <w:i w:val="0"/>
          <w:caps w:val="0"/>
          <w:color w:val="000000"/>
          <w:spacing w:val="0"/>
          <w:sz w:val="32"/>
          <w:szCs w:val="32"/>
          <w:highlight w:val="none"/>
          <w:u w:val="none"/>
        </w:rPr>
        <w:t>18.</w:t>
      </w:r>
      <w:r>
        <w:rPr>
          <w:rFonts w:hint="eastAsia" w:ascii="仿宋_GB2312" w:hAnsi="仿宋_GB2312" w:eastAsia="仿宋_GB2312" w:cs="仿宋_GB2312"/>
          <w:b w:val="0"/>
          <w:i w:val="0"/>
          <w:caps w:val="0"/>
          <w:color w:val="000000"/>
          <w:spacing w:val="0"/>
          <w:sz w:val="32"/>
          <w:szCs w:val="32"/>
          <w:highlight w:val="none"/>
          <w:u w:val="none"/>
          <w:lang w:eastAsia="zh-CN"/>
        </w:rPr>
        <w:t>落实港、澳、台居民申办个体工商户政策。按照CEPA及补充协议的有关要求，优化服务措施，为港、澳、台居民来汕创办个体工商户提供便捷条件，鼓励和支持台湾、香港、澳门同胞，特别是基层民众、青年群体到内地就业创业。各县（市、区）人民政府及有关部门要及时向港澳</w:t>
      </w:r>
      <w:r>
        <w:rPr>
          <w:rFonts w:hint="eastAsia" w:ascii="仿宋_GB2312" w:hAnsi="仿宋_GB2312" w:eastAsia="仿宋_GB2312" w:cs="仿宋_GB2312"/>
          <w:b w:val="0"/>
          <w:i w:val="0"/>
          <w:caps w:val="0"/>
          <w:color w:val="000000"/>
          <w:spacing w:val="0"/>
          <w:sz w:val="32"/>
          <w:szCs w:val="32"/>
          <w:highlight w:val="none"/>
          <w:u w:val="none"/>
          <w:lang w:val="en-US" w:eastAsia="zh-CN"/>
        </w:rPr>
        <w:t>台</w:t>
      </w:r>
      <w:r>
        <w:rPr>
          <w:rFonts w:hint="eastAsia" w:ascii="仿宋_GB2312" w:hAnsi="仿宋_GB2312" w:eastAsia="仿宋_GB2312" w:cs="仿宋_GB2312"/>
          <w:b w:val="0"/>
          <w:i w:val="0"/>
          <w:caps w:val="0"/>
          <w:color w:val="000000"/>
          <w:spacing w:val="0"/>
          <w:sz w:val="32"/>
          <w:szCs w:val="32"/>
          <w:highlight w:val="none"/>
          <w:u w:val="none"/>
          <w:lang w:eastAsia="zh-CN"/>
        </w:rPr>
        <w:t>个体工商户和经营者宣传政策，加强教育管理。</w:t>
      </w:r>
      <w:r>
        <w:rPr>
          <w:rFonts w:hint="eastAsia" w:ascii="黑体" w:hAnsi="黑体" w:eastAsia="黑体" w:cs="黑体"/>
          <w:b w:val="0"/>
          <w:i w:val="0"/>
          <w:caps w:val="0"/>
          <w:color w:val="000000"/>
          <w:spacing w:val="0"/>
          <w:sz w:val="32"/>
          <w:szCs w:val="32"/>
          <w:highlight w:val="none"/>
          <w:u w:val="none"/>
        </w:rPr>
        <w:t>（责任单位：</w:t>
      </w:r>
      <w:r>
        <w:rPr>
          <w:rFonts w:hint="eastAsia" w:ascii="黑体" w:hAnsi="黑体" w:eastAsia="黑体" w:cs="黑体"/>
          <w:b w:val="0"/>
          <w:i w:val="0"/>
          <w:caps w:val="0"/>
          <w:color w:val="000000"/>
          <w:spacing w:val="0"/>
          <w:sz w:val="32"/>
          <w:szCs w:val="32"/>
          <w:highlight w:val="none"/>
          <w:u w:val="none"/>
          <w:lang w:eastAsia="zh-CN"/>
        </w:rPr>
        <w:t>市委统战部（市港澳事务局）、市委台办</w:t>
      </w:r>
      <w:r>
        <w:rPr>
          <w:rFonts w:hint="eastAsia" w:ascii="黑体" w:hAnsi="黑体" w:eastAsia="黑体" w:cs="黑体"/>
          <w:b w:val="0"/>
          <w:i w:val="0"/>
          <w:caps w:val="0"/>
          <w:color w:val="000000"/>
          <w:spacing w:val="0"/>
          <w:sz w:val="32"/>
          <w:szCs w:val="32"/>
          <w:highlight w:val="none"/>
          <w:u w:val="none"/>
        </w:rPr>
        <w:t>、市商务局、市市场监管局等按职责分工落实）</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leftChars="0" w:right="0" w:rightChars="0" w:firstLine="640" w:firstLineChars="200"/>
        <w:jc w:val="both"/>
        <w:textAlignment w:val="auto"/>
        <w:outlineLvl w:val="9"/>
        <w:rPr>
          <w:rFonts w:hint="eastAsia" w:ascii="黑体" w:hAnsi="黑体" w:eastAsia="黑体" w:cs="黑体"/>
          <w:b w:val="0"/>
          <w:i w:val="0"/>
          <w:caps w:val="0"/>
          <w:color w:val="000000"/>
          <w:spacing w:val="0"/>
          <w:sz w:val="32"/>
          <w:szCs w:val="32"/>
          <w:highlight w:val="none"/>
          <w:u w:val="none"/>
        </w:rPr>
      </w:pPr>
      <w:r>
        <w:rPr>
          <w:rFonts w:hint="eastAsia" w:ascii="仿宋_GB2312" w:hAnsi="仿宋_GB2312" w:eastAsia="仿宋_GB2312" w:cs="仿宋_GB2312"/>
          <w:b w:val="0"/>
          <w:i w:val="0"/>
          <w:caps w:val="0"/>
          <w:color w:val="000000"/>
          <w:spacing w:val="0"/>
          <w:sz w:val="32"/>
          <w:szCs w:val="32"/>
          <w:highlight w:val="none"/>
          <w:u w:val="none"/>
        </w:rPr>
        <w:t>19.实施“双随机＋信用”监管</w:t>
      </w:r>
      <w:r>
        <w:rPr>
          <w:rFonts w:hint="eastAsia" w:ascii="仿宋_GB2312" w:hAnsi="仿宋_GB2312" w:eastAsia="仿宋_GB2312" w:cs="仿宋_GB2312"/>
          <w:b w:val="0"/>
          <w:i w:val="0"/>
          <w:caps w:val="0"/>
          <w:color w:val="000000"/>
          <w:spacing w:val="0"/>
          <w:sz w:val="32"/>
          <w:szCs w:val="32"/>
          <w:highlight w:val="none"/>
          <w:u w:val="none"/>
          <w:lang w:eastAsia="zh-CN"/>
        </w:rPr>
        <w:t>。</w:t>
      </w:r>
      <w:r>
        <w:rPr>
          <w:rFonts w:hint="eastAsia" w:ascii="仿宋_GB2312" w:hAnsi="仿宋_GB2312" w:eastAsia="仿宋_GB2312" w:cs="仿宋_GB2312"/>
          <w:b w:val="0"/>
          <w:i w:val="0"/>
          <w:caps w:val="0"/>
          <w:color w:val="000000"/>
          <w:spacing w:val="0"/>
          <w:sz w:val="32"/>
          <w:szCs w:val="32"/>
          <w:highlight w:val="none"/>
          <w:u w:val="none"/>
        </w:rPr>
        <w:t>进一步精简个体工商户的年报内容，加大宣传力度，拓宽宣传渠道，鼓励指导个体工商户自主完成信息公示。实施个体工商户信用监管，对存在标为经营异常状态、列入严重违法失信名单等失信风险的个体工商户，主动预警提示，及时规范主体行为，规避信用风险。推进个体工商户信用风险分类管理，结合“双随机、一公开”监管工作，随机抽查的比例频次与检查对象的信用风险等级挂钩，对信用较好、信用风险较低的企业降低抽查比例、减少抽查频次，对违法失信、风险较高的企业提高抽查比例、加大抽查频次，同时列入专项整治重点监管对象，提升智慧监管能力。</w:t>
      </w:r>
      <w:r>
        <w:rPr>
          <w:rFonts w:hint="eastAsia" w:ascii="黑体" w:hAnsi="黑体" w:eastAsia="黑体" w:cs="黑体"/>
          <w:b w:val="0"/>
          <w:i w:val="0"/>
          <w:caps w:val="0"/>
          <w:color w:val="000000"/>
          <w:spacing w:val="0"/>
          <w:sz w:val="32"/>
          <w:szCs w:val="32"/>
          <w:highlight w:val="none"/>
          <w:u w:val="none"/>
        </w:rPr>
        <w:t>（责任单位：各县（市、区）人民政府，市市场监管局等按职责分工负责）</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leftChars="0" w:right="0" w:rightChars="0" w:firstLine="640" w:firstLineChars="200"/>
        <w:jc w:val="both"/>
        <w:textAlignment w:val="auto"/>
        <w:outlineLvl w:val="9"/>
        <w:rPr>
          <w:rFonts w:hint="eastAsia" w:ascii="黑体" w:hAnsi="黑体" w:eastAsia="黑体" w:cs="黑体"/>
          <w:b w:val="0"/>
          <w:i w:val="0"/>
          <w:caps w:val="0"/>
          <w:color w:val="000000"/>
          <w:spacing w:val="0"/>
          <w:sz w:val="32"/>
          <w:szCs w:val="32"/>
          <w:highlight w:val="none"/>
          <w:u w:val="none"/>
        </w:rPr>
      </w:pPr>
      <w:r>
        <w:rPr>
          <w:rFonts w:hint="eastAsia" w:ascii="仿宋_GB2312" w:hAnsi="仿宋_GB2312" w:eastAsia="仿宋_GB2312" w:cs="仿宋_GB2312"/>
          <w:b w:val="0"/>
          <w:i w:val="0"/>
          <w:caps w:val="0"/>
          <w:color w:val="000000"/>
          <w:spacing w:val="0"/>
          <w:sz w:val="32"/>
          <w:szCs w:val="32"/>
          <w:highlight w:val="none"/>
          <w:u w:val="none"/>
        </w:rPr>
        <w:t>20.营造公平有序的市场环境</w:t>
      </w:r>
      <w:r>
        <w:rPr>
          <w:rFonts w:hint="eastAsia" w:ascii="仿宋_GB2312" w:hAnsi="仿宋_GB2312" w:eastAsia="仿宋_GB2312" w:cs="仿宋_GB2312"/>
          <w:b w:val="0"/>
          <w:i w:val="0"/>
          <w:caps w:val="0"/>
          <w:color w:val="000000"/>
          <w:spacing w:val="0"/>
          <w:sz w:val="32"/>
          <w:szCs w:val="32"/>
          <w:highlight w:val="none"/>
          <w:u w:val="none"/>
          <w:lang w:eastAsia="zh-CN"/>
        </w:rPr>
        <w:t>。</w:t>
      </w:r>
      <w:r>
        <w:rPr>
          <w:rFonts w:hint="eastAsia" w:ascii="仿宋_GB2312" w:hAnsi="仿宋_GB2312" w:eastAsia="仿宋_GB2312" w:cs="仿宋_GB2312"/>
          <w:b w:val="0"/>
          <w:i w:val="0"/>
          <w:caps w:val="0"/>
          <w:color w:val="000000"/>
          <w:spacing w:val="0"/>
          <w:sz w:val="32"/>
          <w:szCs w:val="32"/>
          <w:highlight w:val="none"/>
          <w:u w:val="none"/>
        </w:rPr>
        <w:t>各地各部门在制定相关政策措施时，不得违反规定在资质许可、项目申报、政府采购、招标投标等方面对个体工商户制定或者实施歧视性政策措施。全面落实公平竞争审查制度，破除地方保护和市场分割，保障个体工商户一视同仁享受政策支持。加强重点领域收费监督检查，严肃查处不落实涉及个体工商户的收费优惠减免政策等违规收费问题，坚决制止各种加重个体工商户负担的行为，依法查处平台经济领域垄断和不正当竞争行为。</w:t>
      </w:r>
      <w:r>
        <w:rPr>
          <w:rFonts w:hint="eastAsia" w:ascii="黑体" w:hAnsi="黑体" w:eastAsia="黑体" w:cs="黑体"/>
          <w:b w:val="0"/>
          <w:i w:val="0"/>
          <w:caps w:val="0"/>
          <w:color w:val="000000"/>
          <w:spacing w:val="0"/>
          <w:sz w:val="32"/>
          <w:szCs w:val="32"/>
          <w:highlight w:val="none"/>
          <w:u w:val="none"/>
        </w:rPr>
        <w:t>（责任单位：各县（市、区）人民政府，市市场监管局</w:t>
      </w:r>
      <w:r>
        <w:rPr>
          <w:rFonts w:hint="eastAsia" w:ascii="黑体" w:hAnsi="黑体" w:eastAsia="黑体" w:cs="黑体"/>
          <w:b w:val="0"/>
          <w:i w:val="0"/>
          <w:caps w:val="0"/>
          <w:color w:val="000000"/>
          <w:spacing w:val="0"/>
          <w:sz w:val="32"/>
          <w:szCs w:val="32"/>
          <w:highlight w:val="none"/>
          <w:u w:val="none"/>
          <w:lang w:eastAsia="zh-CN"/>
        </w:rPr>
        <w:t>等</w:t>
      </w:r>
      <w:r>
        <w:rPr>
          <w:rFonts w:hint="eastAsia" w:ascii="黑体" w:hAnsi="黑体" w:eastAsia="黑体" w:cs="黑体"/>
          <w:b w:val="0"/>
          <w:i w:val="0"/>
          <w:caps w:val="0"/>
          <w:color w:val="000000"/>
          <w:spacing w:val="0"/>
          <w:sz w:val="32"/>
          <w:szCs w:val="32"/>
          <w:highlight w:val="none"/>
          <w:u w:val="none"/>
        </w:rPr>
        <w:t>按职责分工负责）</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leftChars="0" w:right="0" w:rightChars="0" w:firstLine="0" w:firstLineChars="0"/>
        <w:jc w:val="both"/>
        <w:textAlignment w:val="auto"/>
        <w:outlineLvl w:val="9"/>
        <w:rPr>
          <w:rFonts w:hint="eastAsia" w:ascii="黑体" w:hAnsi="黑体" w:eastAsia="黑体" w:cs="黑体"/>
          <w:b w:val="0"/>
          <w:i w:val="0"/>
          <w:caps w:val="0"/>
          <w:color w:val="000000"/>
          <w:spacing w:val="0"/>
          <w:sz w:val="32"/>
          <w:szCs w:val="32"/>
          <w:highlight w:val="none"/>
          <w:u w:val="none"/>
        </w:rPr>
      </w:pPr>
      <w:r>
        <w:rPr>
          <w:rFonts w:hint="eastAsia" w:ascii="黑体" w:hAnsi="黑体" w:eastAsia="黑体" w:cs="黑体"/>
          <w:b w:val="0"/>
          <w:i w:val="0"/>
          <w:caps w:val="0"/>
          <w:color w:val="000000"/>
          <w:spacing w:val="0"/>
          <w:sz w:val="32"/>
          <w:szCs w:val="32"/>
          <w:highlight w:val="none"/>
          <w:u w:val="none"/>
        </w:rPr>
        <w:t>　　五、拓展个体工商户发展空间</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leftChars="0" w:right="0" w:rightChars="0" w:firstLine="640" w:firstLineChars="200"/>
        <w:jc w:val="both"/>
        <w:textAlignment w:val="auto"/>
        <w:outlineLvl w:val="9"/>
        <w:rPr>
          <w:rFonts w:hint="eastAsia" w:ascii="黑体" w:hAnsi="黑体" w:eastAsia="黑体" w:cs="黑体"/>
          <w:b w:val="0"/>
          <w:i w:val="0"/>
          <w:caps w:val="0"/>
          <w:color w:val="000000"/>
          <w:spacing w:val="0"/>
          <w:sz w:val="32"/>
          <w:szCs w:val="32"/>
          <w:highlight w:val="none"/>
          <w:u w:val="none"/>
        </w:rPr>
      </w:pPr>
      <w:r>
        <w:rPr>
          <w:rFonts w:hint="eastAsia" w:ascii="仿宋_GB2312" w:hAnsi="仿宋_GB2312" w:eastAsia="仿宋_GB2312" w:cs="仿宋_GB2312"/>
          <w:b w:val="0"/>
          <w:i w:val="0"/>
          <w:caps w:val="0"/>
          <w:color w:val="000000"/>
          <w:spacing w:val="0"/>
          <w:sz w:val="32"/>
          <w:szCs w:val="32"/>
          <w:highlight w:val="none"/>
          <w:u w:val="none"/>
        </w:rPr>
        <w:t>21.</w:t>
      </w:r>
      <w:r>
        <w:rPr>
          <w:rFonts w:hint="eastAsia" w:ascii="仿宋_GB2312" w:hAnsi="仿宋_GB2312" w:eastAsia="仿宋_GB2312" w:cs="仿宋_GB2312"/>
          <w:b w:val="0"/>
          <w:i w:val="0"/>
          <w:caps w:val="0"/>
          <w:color w:val="000000"/>
          <w:spacing w:val="0"/>
          <w:sz w:val="32"/>
          <w:szCs w:val="32"/>
          <w:highlight w:val="none"/>
          <w:u w:val="none"/>
          <w:lang w:eastAsia="zh-CN"/>
        </w:rPr>
        <w:t>支持个体工商户转型升级为企业。</w:t>
      </w:r>
      <w:r>
        <w:rPr>
          <w:rFonts w:hint="eastAsia" w:ascii="仿宋_GB2312" w:hAnsi="仿宋_GB2312" w:eastAsia="仿宋_GB2312" w:cs="仿宋_GB2312"/>
          <w:b w:val="0"/>
          <w:i w:val="0"/>
          <w:caps w:val="0"/>
          <w:color w:val="000000"/>
          <w:spacing w:val="0"/>
          <w:sz w:val="32"/>
          <w:szCs w:val="32"/>
          <w:highlight w:val="none"/>
          <w:u w:val="none"/>
        </w:rPr>
        <w:t>各</w:t>
      </w:r>
      <w:r>
        <w:rPr>
          <w:rFonts w:hint="eastAsia" w:ascii="仿宋_GB2312" w:hAnsi="仿宋_GB2312" w:eastAsia="仿宋_GB2312" w:cs="仿宋_GB2312"/>
          <w:b w:val="0"/>
          <w:i w:val="0"/>
          <w:caps w:val="0"/>
          <w:color w:val="000000"/>
          <w:spacing w:val="0"/>
          <w:sz w:val="32"/>
          <w:szCs w:val="32"/>
          <w:highlight w:val="none"/>
          <w:u w:val="none"/>
          <w:lang w:eastAsia="zh-CN"/>
        </w:rPr>
        <w:t>县（市、区）</w:t>
      </w:r>
      <w:r>
        <w:rPr>
          <w:rFonts w:hint="eastAsia" w:ascii="仿宋_GB2312" w:hAnsi="仿宋_GB2312" w:eastAsia="仿宋_GB2312" w:cs="仿宋_GB2312"/>
          <w:b w:val="0"/>
          <w:i w:val="0"/>
          <w:caps w:val="0"/>
          <w:color w:val="000000"/>
          <w:spacing w:val="0"/>
          <w:sz w:val="32"/>
          <w:szCs w:val="32"/>
          <w:highlight w:val="none"/>
          <w:u w:val="none"/>
        </w:rPr>
        <w:t>政府</w:t>
      </w:r>
      <w:r>
        <w:rPr>
          <w:rFonts w:hint="eastAsia" w:ascii="仿宋_GB2312" w:hAnsi="仿宋_GB2312" w:eastAsia="仿宋_GB2312" w:cs="仿宋_GB2312"/>
          <w:b w:val="0"/>
          <w:i w:val="0"/>
          <w:caps w:val="0"/>
          <w:color w:val="000000"/>
          <w:spacing w:val="0"/>
          <w:sz w:val="32"/>
          <w:szCs w:val="32"/>
          <w:highlight w:val="none"/>
          <w:u w:val="none"/>
          <w:lang w:eastAsia="zh-CN"/>
        </w:rPr>
        <w:t>（管委会）</w:t>
      </w:r>
      <w:r>
        <w:rPr>
          <w:rFonts w:hint="eastAsia" w:ascii="仿宋_GB2312" w:hAnsi="仿宋_GB2312" w:eastAsia="仿宋_GB2312" w:cs="仿宋_GB2312"/>
          <w:b w:val="0"/>
          <w:i w:val="0"/>
          <w:caps w:val="0"/>
          <w:color w:val="000000"/>
          <w:spacing w:val="0"/>
          <w:sz w:val="32"/>
          <w:szCs w:val="32"/>
          <w:highlight w:val="none"/>
          <w:u w:val="none"/>
        </w:rPr>
        <w:t>可结合辖区实际和财力情况，对“个转企”予以财政资金支持</w:t>
      </w:r>
      <w:r>
        <w:rPr>
          <w:rFonts w:hint="eastAsia" w:ascii="仿宋_GB2312" w:hAnsi="仿宋_GB2312" w:eastAsia="仿宋_GB2312" w:cs="仿宋_GB2312"/>
          <w:b w:val="0"/>
          <w:i w:val="0"/>
          <w:caps w:val="0"/>
          <w:color w:val="000000"/>
          <w:spacing w:val="0"/>
          <w:sz w:val="32"/>
          <w:szCs w:val="32"/>
          <w:highlight w:val="none"/>
          <w:u w:val="none"/>
          <w:lang w:eastAsia="zh-CN"/>
        </w:rPr>
        <w:t>或</w:t>
      </w:r>
      <w:r>
        <w:rPr>
          <w:rFonts w:hint="eastAsia" w:ascii="仿宋_GB2312" w:hAnsi="仿宋_GB2312" w:eastAsia="仿宋_GB2312" w:cs="仿宋_GB2312"/>
          <w:b w:val="0"/>
          <w:i w:val="0"/>
          <w:caps w:val="0"/>
          <w:color w:val="000000"/>
          <w:spacing w:val="0"/>
          <w:sz w:val="32"/>
          <w:szCs w:val="32"/>
          <w:highlight w:val="none"/>
          <w:u w:val="none"/>
          <w:lang w:val="en-US" w:eastAsia="zh-CN"/>
        </w:rPr>
        <w:t>通过委托第三方记账专业机构的方式为“个转企”企业提供为期1年以上的代账服务</w:t>
      </w:r>
      <w:r>
        <w:rPr>
          <w:rFonts w:hint="eastAsia" w:ascii="仿宋_GB2312" w:hAnsi="仿宋_GB2312" w:eastAsia="仿宋_GB2312" w:cs="仿宋_GB2312"/>
          <w:b w:val="0"/>
          <w:i w:val="0"/>
          <w:caps w:val="0"/>
          <w:color w:val="000000"/>
          <w:spacing w:val="0"/>
          <w:sz w:val="32"/>
          <w:szCs w:val="32"/>
          <w:highlight w:val="none"/>
          <w:u w:val="none"/>
        </w:rPr>
        <w:t>。做好“个转企”的税收宣传和辅导，确保用足用好税收政策，让纳税人应享尽享税收红利，促进企业发展壮大。在不影响其他企业名称权、符合法律法规的前提下，保留原个体工商户名称中的字号和行业特点。支持个体工商户将拥有的专利权、商标权等权益保护转移至“个转企”企业名下。个体工商户转型升级为企业，原个体工商户各类许可证件在有效期内继续有效，依法使用；需换发许可证件的，且转企后股东和原个体工商户经营者相同的，转型</w:t>
      </w:r>
      <w:r>
        <w:rPr>
          <w:rFonts w:hint="eastAsia" w:ascii="仿宋_GB2312" w:hAnsi="仿宋_GB2312" w:eastAsia="仿宋_GB2312" w:cs="仿宋_GB2312"/>
          <w:b w:val="0"/>
          <w:i w:val="0"/>
          <w:caps w:val="0"/>
          <w:color w:val="000000"/>
          <w:spacing w:val="0"/>
          <w:sz w:val="32"/>
          <w:szCs w:val="32"/>
          <w:highlight w:val="none"/>
          <w:u w:val="none"/>
          <w:lang w:eastAsia="zh-CN"/>
        </w:rPr>
        <w:t>升级</w:t>
      </w:r>
      <w:r>
        <w:rPr>
          <w:rFonts w:hint="eastAsia" w:ascii="仿宋_GB2312" w:hAnsi="仿宋_GB2312" w:eastAsia="仿宋_GB2312" w:cs="仿宋_GB2312"/>
          <w:b w:val="0"/>
          <w:i w:val="0"/>
          <w:caps w:val="0"/>
          <w:color w:val="000000"/>
          <w:spacing w:val="0"/>
          <w:sz w:val="32"/>
          <w:szCs w:val="32"/>
          <w:highlight w:val="none"/>
          <w:u w:val="none"/>
        </w:rPr>
        <w:t>的企业持登记机关开具的《个体工商户转型为企业证明》办理相关手续。商业银行为个体工商户转型为企业同时办理账户撤销、变更和开立等多项业务</w:t>
      </w:r>
      <w:r>
        <w:rPr>
          <w:rFonts w:hint="eastAsia" w:ascii="仿宋_GB2312" w:hAnsi="仿宋_GB2312" w:eastAsia="仿宋_GB2312" w:cs="仿宋_GB2312"/>
          <w:b w:val="0"/>
          <w:i w:val="0"/>
          <w:caps w:val="0"/>
          <w:color w:val="000000"/>
          <w:spacing w:val="0"/>
          <w:sz w:val="32"/>
          <w:szCs w:val="32"/>
          <w:highlight w:val="none"/>
          <w:u w:val="none"/>
          <w:lang w:eastAsia="zh-CN"/>
        </w:rPr>
        <w:t>。</w:t>
      </w:r>
      <w:r>
        <w:rPr>
          <w:rFonts w:hint="eastAsia" w:ascii="黑体" w:hAnsi="黑体" w:eastAsia="黑体" w:cs="黑体"/>
          <w:b w:val="0"/>
          <w:i w:val="0"/>
          <w:caps w:val="0"/>
          <w:color w:val="000000"/>
          <w:spacing w:val="0"/>
          <w:sz w:val="32"/>
          <w:szCs w:val="32"/>
          <w:highlight w:val="none"/>
          <w:u w:val="none"/>
        </w:rPr>
        <w:t>（责任单位：各县（市、区）人民政府，市市场监管局、国家税务总局汕尾市税务局</w:t>
      </w:r>
      <w:r>
        <w:rPr>
          <w:rFonts w:hint="eastAsia" w:ascii="黑体" w:hAnsi="黑体" w:eastAsia="黑体" w:cs="黑体"/>
          <w:b w:val="0"/>
          <w:i w:val="0"/>
          <w:caps w:val="0"/>
          <w:color w:val="000000"/>
          <w:spacing w:val="0"/>
          <w:sz w:val="32"/>
          <w:szCs w:val="32"/>
          <w:highlight w:val="none"/>
          <w:u w:val="none"/>
          <w:lang w:eastAsia="zh-CN"/>
        </w:rPr>
        <w:t>、市财政局、市烟草专卖局、</w:t>
      </w:r>
      <w:r>
        <w:rPr>
          <w:rFonts w:hint="eastAsia" w:ascii="黑体" w:hAnsi="黑体" w:eastAsia="黑体" w:cs="黑体"/>
          <w:b w:val="0"/>
          <w:i w:val="0"/>
          <w:caps w:val="0"/>
          <w:color w:val="000000"/>
          <w:spacing w:val="0"/>
          <w:sz w:val="32"/>
          <w:szCs w:val="32"/>
          <w:highlight w:val="none"/>
          <w:u w:val="none"/>
        </w:rPr>
        <w:t>人民银行汕尾</w:t>
      </w:r>
      <w:r>
        <w:rPr>
          <w:rFonts w:hint="eastAsia" w:ascii="黑体" w:hAnsi="黑体" w:eastAsia="黑体" w:cs="黑体"/>
          <w:b w:val="0"/>
          <w:i w:val="0"/>
          <w:caps w:val="0"/>
          <w:color w:val="000000"/>
          <w:spacing w:val="0"/>
          <w:sz w:val="32"/>
          <w:szCs w:val="32"/>
          <w:highlight w:val="none"/>
          <w:u w:val="none"/>
          <w:lang w:eastAsia="zh-CN"/>
        </w:rPr>
        <w:t>中支及</w:t>
      </w:r>
      <w:r>
        <w:rPr>
          <w:rFonts w:hint="eastAsia" w:ascii="黑体" w:hAnsi="黑体" w:eastAsia="黑体" w:cs="黑体"/>
          <w:b w:val="0"/>
          <w:i w:val="0"/>
          <w:caps w:val="0"/>
          <w:color w:val="000000"/>
          <w:spacing w:val="0"/>
          <w:sz w:val="32"/>
          <w:szCs w:val="32"/>
          <w:highlight w:val="none"/>
          <w:u w:val="none"/>
        </w:rPr>
        <w:t>各行政</w:t>
      </w:r>
      <w:r>
        <w:rPr>
          <w:rFonts w:hint="default" w:ascii="黑体" w:hAnsi="黑体" w:eastAsia="黑体" w:cs="黑体"/>
          <w:b w:val="0"/>
          <w:i w:val="0"/>
          <w:caps w:val="0"/>
          <w:color w:val="000000"/>
          <w:spacing w:val="0"/>
          <w:sz w:val="32"/>
          <w:szCs w:val="32"/>
          <w:highlight w:val="none"/>
          <w:u w:val="none"/>
        </w:rPr>
        <w:t>许可审批部门</w:t>
      </w:r>
      <w:r>
        <w:rPr>
          <w:rFonts w:hint="eastAsia" w:ascii="黑体" w:hAnsi="黑体" w:eastAsia="黑体" w:cs="黑体"/>
          <w:b w:val="0"/>
          <w:i w:val="0"/>
          <w:caps w:val="0"/>
          <w:color w:val="000000"/>
          <w:spacing w:val="0"/>
          <w:sz w:val="32"/>
          <w:szCs w:val="32"/>
          <w:highlight w:val="none"/>
          <w:u w:val="none"/>
        </w:rPr>
        <w:t>等按职责分工负责）</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highlight w:val="none"/>
          <w:u w:val="none"/>
        </w:rPr>
      </w:pPr>
      <w:r>
        <w:rPr>
          <w:rFonts w:hint="eastAsia" w:ascii="仿宋_GB2312" w:hAnsi="仿宋_GB2312" w:eastAsia="仿宋_GB2312" w:cs="仿宋_GB2312"/>
          <w:b w:val="0"/>
          <w:i w:val="0"/>
          <w:caps w:val="0"/>
          <w:color w:val="000000"/>
          <w:spacing w:val="0"/>
          <w:sz w:val="32"/>
          <w:szCs w:val="32"/>
          <w:highlight w:val="none"/>
          <w:u w:val="none"/>
        </w:rPr>
        <w:t>22.持续引导电商平台企业合法合规经营</w:t>
      </w:r>
      <w:r>
        <w:rPr>
          <w:rFonts w:hint="eastAsia" w:ascii="仿宋_GB2312" w:hAnsi="仿宋_GB2312" w:eastAsia="仿宋_GB2312" w:cs="仿宋_GB2312"/>
          <w:b w:val="0"/>
          <w:i w:val="0"/>
          <w:caps w:val="0"/>
          <w:color w:val="000000"/>
          <w:spacing w:val="0"/>
          <w:sz w:val="32"/>
          <w:szCs w:val="32"/>
          <w:highlight w:val="none"/>
          <w:u w:val="none"/>
          <w:lang w:eastAsia="zh-CN"/>
        </w:rPr>
        <w:t>。</w:t>
      </w:r>
      <w:r>
        <w:rPr>
          <w:rFonts w:hint="eastAsia" w:ascii="仿宋_GB2312" w:hAnsi="仿宋_GB2312" w:eastAsia="仿宋_GB2312" w:cs="仿宋_GB2312"/>
          <w:b w:val="0"/>
          <w:i w:val="0"/>
          <w:caps w:val="0"/>
          <w:color w:val="000000"/>
          <w:spacing w:val="0"/>
          <w:sz w:val="32"/>
          <w:szCs w:val="32"/>
          <w:highlight w:val="none"/>
          <w:u w:val="none"/>
        </w:rPr>
        <w:t>压实平台企业主体责任，要求平台企业加强对入驻平台企业的个体工商户法律法规政策宣讲，引导平台内个体工商户依法依规经营。鼓励个体工商户积极对接</w:t>
      </w:r>
      <w:r>
        <w:rPr>
          <w:rFonts w:hint="eastAsia" w:ascii="仿宋_GB2312" w:hAnsi="仿宋_GB2312" w:eastAsia="仿宋_GB2312" w:cs="仿宋_GB2312"/>
          <w:b w:val="0"/>
          <w:i w:val="0"/>
          <w:caps w:val="0"/>
          <w:color w:val="000000"/>
          <w:spacing w:val="0"/>
          <w:sz w:val="32"/>
          <w:szCs w:val="32"/>
          <w:highlight w:val="none"/>
          <w:u w:val="none"/>
          <w:lang w:val="en-US" w:eastAsia="zh-CN"/>
        </w:rPr>
        <w:t>本地的直播基地</w:t>
      </w:r>
      <w:r>
        <w:rPr>
          <w:rFonts w:hint="eastAsia" w:ascii="仿宋_GB2312" w:hAnsi="仿宋_GB2312" w:eastAsia="仿宋_GB2312" w:cs="仿宋_GB2312"/>
          <w:b w:val="0"/>
          <w:i w:val="0"/>
          <w:caps w:val="0"/>
          <w:color w:val="000000"/>
          <w:spacing w:val="0"/>
          <w:sz w:val="32"/>
          <w:szCs w:val="32"/>
          <w:highlight w:val="none"/>
          <w:u w:val="none"/>
        </w:rPr>
        <w:t>，应用直播电商、社区电商、社交电商等模式，实现线上线下一体化经营。</w:t>
      </w:r>
      <w:r>
        <w:rPr>
          <w:rFonts w:hint="eastAsia" w:ascii="黑体" w:hAnsi="黑体" w:eastAsia="黑体" w:cs="黑体"/>
          <w:b w:val="0"/>
          <w:i w:val="0"/>
          <w:caps w:val="0"/>
          <w:color w:val="000000"/>
          <w:spacing w:val="0"/>
          <w:sz w:val="32"/>
          <w:szCs w:val="32"/>
          <w:highlight w:val="none"/>
          <w:u w:val="none"/>
        </w:rPr>
        <w:t>（责任单位：各县（市、区）人民政府，市市场监管局、市商务局等按职责分工负责）</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highlight w:val="none"/>
          <w:u w:val="none"/>
        </w:rPr>
      </w:pPr>
      <w:r>
        <w:rPr>
          <w:rFonts w:hint="eastAsia" w:ascii="仿宋_GB2312" w:hAnsi="仿宋_GB2312" w:eastAsia="仿宋_GB2312" w:cs="仿宋_GB2312"/>
          <w:b w:val="0"/>
          <w:i w:val="0"/>
          <w:caps w:val="0"/>
          <w:color w:val="000000"/>
          <w:spacing w:val="0"/>
          <w:sz w:val="32"/>
          <w:szCs w:val="32"/>
          <w:highlight w:val="none"/>
          <w:u w:val="none"/>
        </w:rPr>
        <w:t>23.提升</w:t>
      </w:r>
      <w:r>
        <w:rPr>
          <w:rFonts w:hint="default" w:ascii="仿宋_GB2312" w:hAnsi="仿宋_GB2312" w:eastAsia="仿宋_GB2312" w:cs="仿宋_GB2312"/>
          <w:b w:val="0"/>
          <w:i w:val="0"/>
          <w:caps w:val="0"/>
          <w:color w:val="000000"/>
          <w:spacing w:val="0"/>
          <w:sz w:val="32"/>
          <w:szCs w:val="32"/>
          <w:highlight w:val="none"/>
          <w:u w:val="none"/>
        </w:rPr>
        <w:t>个体工商户质量管理水平</w:t>
      </w:r>
      <w:r>
        <w:rPr>
          <w:rFonts w:hint="eastAsia" w:ascii="仿宋_GB2312" w:hAnsi="仿宋_GB2312" w:eastAsia="仿宋_GB2312" w:cs="仿宋_GB2312"/>
          <w:b w:val="0"/>
          <w:i w:val="0"/>
          <w:caps w:val="0"/>
          <w:color w:val="000000"/>
          <w:spacing w:val="0"/>
          <w:sz w:val="32"/>
          <w:szCs w:val="32"/>
          <w:highlight w:val="none"/>
          <w:u w:val="none"/>
          <w:lang w:eastAsia="zh-CN"/>
        </w:rPr>
        <w:t>。</w:t>
      </w:r>
      <w:r>
        <w:rPr>
          <w:rFonts w:hint="eastAsia" w:ascii="仿宋_GB2312" w:hAnsi="仿宋_GB2312" w:eastAsia="仿宋_GB2312" w:cs="仿宋_GB2312"/>
          <w:b w:val="0"/>
          <w:i w:val="0"/>
          <w:caps w:val="0"/>
          <w:color w:val="000000"/>
          <w:spacing w:val="0"/>
          <w:sz w:val="32"/>
          <w:szCs w:val="32"/>
          <w:highlight w:val="none"/>
          <w:u w:val="none"/>
        </w:rPr>
        <w:t>聚焦个体工商户质量管理需求，深入开展质量基础设施助力纾困中小微企业和个体工商户专项行动。组织开展“计量服务个体工商户行”活动，主动对接眼镜制配、加油站等行业个体工商户的计量需求，提供精准的计量服务。加强与省级“产品医院”的沟通对接和协同配合，通过线上、线下双向发力，巩固质量技术帮扶“提质强企”成果。对在各级监督抽查中多次反复出现质量问题的</w:t>
      </w:r>
      <w:r>
        <w:rPr>
          <w:rFonts w:hint="eastAsia" w:ascii="仿宋_GB2312" w:hAnsi="仿宋_GB2312" w:eastAsia="仿宋_GB2312" w:cs="仿宋_GB2312"/>
          <w:b w:val="0"/>
          <w:i w:val="0"/>
          <w:caps w:val="0"/>
          <w:color w:val="000000"/>
          <w:spacing w:val="0"/>
          <w:sz w:val="32"/>
          <w:szCs w:val="32"/>
          <w:highlight w:val="none"/>
          <w:u w:val="none"/>
          <w:lang w:eastAsia="zh-CN"/>
        </w:rPr>
        <w:t>个体工商户</w:t>
      </w:r>
      <w:r>
        <w:rPr>
          <w:rFonts w:hint="eastAsia" w:ascii="仿宋_GB2312" w:hAnsi="仿宋_GB2312" w:eastAsia="仿宋_GB2312" w:cs="仿宋_GB2312"/>
          <w:b w:val="0"/>
          <w:i w:val="0"/>
          <w:caps w:val="0"/>
          <w:color w:val="000000"/>
          <w:spacing w:val="0"/>
          <w:sz w:val="32"/>
          <w:szCs w:val="32"/>
          <w:highlight w:val="none"/>
          <w:u w:val="none"/>
        </w:rPr>
        <w:t>，列为质量技术帮扶重点。</w:t>
      </w:r>
      <w:r>
        <w:rPr>
          <w:rFonts w:hint="eastAsia" w:ascii="黑体" w:hAnsi="黑体" w:eastAsia="黑体" w:cs="黑体"/>
          <w:b w:val="0"/>
          <w:i w:val="0"/>
          <w:caps w:val="0"/>
          <w:color w:val="000000"/>
          <w:spacing w:val="0"/>
          <w:sz w:val="32"/>
          <w:szCs w:val="32"/>
          <w:highlight w:val="none"/>
          <w:u w:val="none"/>
        </w:rPr>
        <w:t>（责任单位：</w:t>
      </w:r>
      <w:r>
        <w:rPr>
          <w:rFonts w:hint="eastAsia" w:ascii="黑体" w:hAnsi="黑体" w:eastAsia="黑体" w:cs="黑体"/>
          <w:b w:val="0"/>
          <w:i w:val="0"/>
          <w:caps w:val="0"/>
          <w:color w:val="000000"/>
          <w:spacing w:val="0"/>
          <w:sz w:val="32"/>
          <w:szCs w:val="32"/>
          <w:highlight w:val="none"/>
          <w:u w:val="none"/>
          <w:lang w:eastAsia="zh-CN"/>
        </w:rPr>
        <w:t>市</w:t>
      </w:r>
      <w:r>
        <w:rPr>
          <w:rFonts w:hint="eastAsia" w:ascii="黑体" w:hAnsi="黑体" w:eastAsia="黑体" w:cs="黑体"/>
          <w:b w:val="0"/>
          <w:i w:val="0"/>
          <w:caps w:val="0"/>
          <w:color w:val="000000"/>
          <w:spacing w:val="0"/>
          <w:sz w:val="32"/>
          <w:szCs w:val="32"/>
          <w:highlight w:val="none"/>
          <w:u w:val="none"/>
        </w:rPr>
        <w:t>市场监管局）</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leftChars="0" w:right="0" w:rightChars="0" w:firstLine="640" w:firstLineChars="200"/>
        <w:jc w:val="both"/>
        <w:textAlignment w:val="auto"/>
        <w:outlineLvl w:val="9"/>
        <w:rPr>
          <w:rFonts w:hint="eastAsia" w:ascii="黑体" w:hAnsi="黑体" w:eastAsia="黑体" w:cs="黑体"/>
          <w:b w:val="0"/>
          <w:i w:val="0"/>
          <w:caps w:val="0"/>
          <w:color w:val="000000"/>
          <w:spacing w:val="0"/>
          <w:sz w:val="32"/>
          <w:szCs w:val="32"/>
          <w:highlight w:val="none"/>
          <w:u w:val="none"/>
        </w:rPr>
      </w:pPr>
      <w:r>
        <w:rPr>
          <w:rFonts w:hint="eastAsia" w:ascii="仿宋_GB2312" w:hAnsi="仿宋_GB2312" w:eastAsia="仿宋_GB2312" w:cs="仿宋_GB2312"/>
          <w:b w:val="0"/>
          <w:i w:val="0"/>
          <w:caps w:val="0"/>
          <w:color w:val="000000"/>
          <w:spacing w:val="0"/>
          <w:sz w:val="32"/>
          <w:szCs w:val="32"/>
          <w:highlight w:val="none"/>
          <w:u w:val="none"/>
        </w:rPr>
        <w:t>24.</w:t>
      </w:r>
      <w:r>
        <w:rPr>
          <w:rFonts w:hint="eastAsia" w:ascii="仿宋_GB2312" w:hAnsi="仿宋_GB2312" w:eastAsia="仿宋_GB2312" w:cs="仿宋_GB2312"/>
          <w:b w:val="0"/>
          <w:i w:val="0"/>
          <w:caps w:val="0"/>
          <w:color w:val="000000"/>
          <w:spacing w:val="0"/>
          <w:sz w:val="32"/>
          <w:szCs w:val="32"/>
          <w:highlight w:val="none"/>
          <w:u w:val="none"/>
          <w:lang w:val="en-US" w:eastAsia="zh-CN"/>
        </w:rPr>
        <w:t>加强</w:t>
      </w:r>
      <w:r>
        <w:rPr>
          <w:rFonts w:hint="eastAsia" w:ascii="仿宋_GB2312" w:hAnsi="仿宋_GB2312" w:eastAsia="仿宋_GB2312" w:cs="仿宋_GB2312"/>
          <w:b w:val="0"/>
          <w:i w:val="0"/>
          <w:caps w:val="0"/>
          <w:color w:val="000000"/>
          <w:spacing w:val="0"/>
          <w:sz w:val="32"/>
          <w:szCs w:val="32"/>
          <w:highlight w:val="none"/>
          <w:u w:val="none"/>
        </w:rPr>
        <w:t>知识产权</w:t>
      </w:r>
      <w:r>
        <w:rPr>
          <w:rFonts w:hint="eastAsia" w:ascii="仿宋_GB2312" w:hAnsi="仿宋_GB2312" w:eastAsia="仿宋_GB2312" w:cs="仿宋_GB2312"/>
          <w:b w:val="0"/>
          <w:i w:val="0"/>
          <w:caps w:val="0"/>
          <w:color w:val="000000"/>
          <w:spacing w:val="0"/>
          <w:sz w:val="32"/>
          <w:szCs w:val="32"/>
          <w:highlight w:val="none"/>
          <w:u w:val="none"/>
          <w:lang w:val="en-US" w:eastAsia="zh-CN"/>
        </w:rPr>
        <w:t>和标准化</w:t>
      </w:r>
      <w:r>
        <w:rPr>
          <w:rFonts w:hint="eastAsia" w:ascii="仿宋_GB2312" w:hAnsi="仿宋_GB2312" w:eastAsia="仿宋_GB2312" w:cs="仿宋_GB2312"/>
          <w:b w:val="0"/>
          <w:i w:val="0"/>
          <w:caps w:val="0"/>
          <w:color w:val="000000"/>
          <w:spacing w:val="0"/>
          <w:sz w:val="32"/>
          <w:szCs w:val="32"/>
          <w:highlight w:val="none"/>
          <w:u w:val="none"/>
        </w:rPr>
        <w:t>服务</w:t>
      </w:r>
      <w:r>
        <w:rPr>
          <w:rFonts w:hint="eastAsia" w:ascii="仿宋_GB2312" w:hAnsi="仿宋_GB2312" w:eastAsia="仿宋_GB2312" w:cs="仿宋_GB2312"/>
          <w:b w:val="0"/>
          <w:i w:val="0"/>
          <w:caps w:val="0"/>
          <w:color w:val="000000"/>
          <w:spacing w:val="0"/>
          <w:sz w:val="32"/>
          <w:szCs w:val="32"/>
          <w:highlight w:val="none"/>
          <w:u w:val="none"/>
          <w:lang w:eastAsia="zh-CN"/>
        </w:rPr>
        <w:t>。依托</w:t>
      </w:r>
      <w:r>
        <w:rPr>
          <w:rFonts w:hint="eastAsia" w:ascii="Times New Roman" w:hAnsi="Times New Roman" w:eastAsia="仿宋_GB2312" w:cs="仿宋_GB2312"/>
          <w:b w:val="0"/>
          <w:bCs w:val="0"/>
          <w:color w:val="000000"/>
          <w:kern w:val="2"/>
          <w:sz w:val="32"/>
          <w:szCs w:val="32"/>
          <w:highlight w:val="none"/>
          <w:lang w:val="en-US" w:eastAsia="zh-CN" w:bidi="ar-SA"/>
        </w:rPr>
        <w:t>知识产权运营中心及商标品牌培育指导站，</w:t>
      </w:r>
      <w:r>
        <w:rPr>
          <w:rFonts w:hint="eastAsia" w:ascii="仿宋_GB2312" w:hAnsi="仿宋_GB2312" w:eastAsia="仿宋_GB2312" w:cs="仿宋_GB2312"/>
          <w:b w:val="0"/>
          <w:i w:val="0"/>
          <w:caps w:val="0"/>
          <w:color w:val="000000"/>
          <w:spacing w:val="0"/>
          <w:sz w:val="32"/>
          <w:szCs w:val="32"/>
          <w:highlight w:val="none"/>
          <w:u w:val="none"/>
        </w:rPr>
        <w:t>向个体工商户提供知识产权政策咨询，并面向个体工商户开展知识产权政策专题宣讲，普及知识产权各方面扶持政策及办理流程，提高个体工商户知识产权的创造和运用能力。加大对个体工商户的字号、商标、专利、商业秘密等权利的保护力度，鼓励和支持个体工商户提高知识产权的创造、保护和运用能力。引导汕尾市标准化技术机构为个体工商户提供标准分析、标准信息查询、标准咨询等服务</w:t>
      </w:r>
      <w:r>
        <w:rPr>
          <w:rFonts w:hint="eastAsia" w:ascii="仿宋_GB2312" w:hAnsi="仿宋_GB2312" w:eastAsia="仿宋_GB2312" w:cs="仿宋_GB2312"/>
          <w:b w:val="0"/>
          <w:i w:val="0"/>
          <w:caps w:val="0"/>
          <w:color w:val="000000"/>
          <w:spacing w:val="0"/>
          <w:sz w:val="32"/>
          <w:szCs w:val="32"/>
          <w:highlight w:val="none"/>
          <w:u w:val="none"/>
          <w:lang w:eastAsia="zh-CN"/>
        </w:rPr>
        <w:t>，加大对国家标准、行业标准、地方标准的宣传解读</w:t>
      </w:r>
      <w:r>
        <w:rPr>
          <w:rFonts w:hint="eastAsia" w:ascii="仿宋_GB2312" w:hAnsi="仿宋_GB2312" w:eastAsia="仿宋_GB2312" w:cs="仿宋_GB2312"/>
          <w:b w:val="0"/>
          <w:i w:val="0"/>
          <w:caps w:val="0"/>
          <w:color w:val="000000"/>
          <w:spacing w:val="0"/>
          <w:sz w:val="32"/>
          <w:szCs w:val="32"/>
          <w:highlight w:val="none"/>
          <w:u w:val="none"/>
        </w:rPr>
        <w:t>。大力支持鼓励个体工商户参与标准制修订工作。</w:t>
      </w:r>
      <w:r>
        <w:rPr>
          <w:rFonts w:hint="eastAsia" w:ascii="黑体" w:hAnsi="黑体" w:eastAsia="黑体" w:cs="黑体"/>
          <w:b w:val="0"/>
          <w:i w:val="0"/>
          <w:caps w:val="0"/>
          <w:color w:val="000000"/>
          <w:spacing w:val="0"/>
          <w:sz w:val="32"/>
          <w:szCs w:val="32"/>
          <w:highlight w:val="none"/>
          <w:u w:val="none"/>
        </w:rPr>
        <w:t>（责任单位：</w:t>
      </w:r>
      <w:r>
        <w:rPr>
          <w:rFonts w:hint="eastAsia" w:ascii="黑体" w:hAnsi="黑体" w:eastAsia="黑体" w:cs="黑体"/>
          <w:b w:val="0"/>
          <w:i w:val="0"/>
          <w:caps w:val="0"/>
          <w:color w:val="000000"/>
          <w:spacing w:val="0"/>
          <w:sz w:val="32"/>
          <w:szCs w:val="32"/>
          <w:highlight w:val="none"/>
          <w:u w:val="none"/>
          <w:lang w:eastAsia="zh-CN"/>
        </w:rPr>
        <w:t>市</w:t>
      </w:r>
      <w:r>
        <w:rPr>
          <w:rFonts w:hint="eastAsia" w:ascii="黑体" w:hAnsi="黑体" w:eastAsia="黑体" w:cs="黑体"/>
          <w:b w:val="0"/>
          <w:i w:val="0"/>
          <w:caps w:val="0"/>
          <w:color w:val="000000"/>
          <w:spacing w:val="0"/>
          <w:sz w:val="32"/>
          <w:szCs w:val="32"/>
          <w:highlight w:val="none"/>
          <w:u w:val="none"/>
        </w:rPr>
        <w:t>市场监管局）</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leftChars="0" w:right="0" w:rightChars="0" w:firstLine="0" w:firstLineChars="0"/>
        <w:jc w:val="both"/>
        <w:textAlignment w:val="auto"/>
        <w:outlineLvl w:val="9"/>
        <w:rPr>
          <w:rFonts w:hint="eastAsia" w:ascii="黑体" w:hAnsi="黑体" w:eastAsia="黑体" w:cs="黑体"/>
          <w:b w:val="0"/>
          <w:i w:val="0"/>
          <w:caps w:val="0"/>
          <w:color w:val="000000"/>
          <w:spacing w:val="0"/>
          <w:sz w:val="32"/>
          <w:szCs w:val="32"/>
          <w:highlight w:val="none"/>
          <w:u w:val="none"/>
        </w:rPr>
      </w:pPr>
      <w:r>
        <w:rPr>
          <w:rFonts w:hint="eastAsia" w:ascii="黑体" w:hAnsi="黑体" w:eastAsia="黑体" w:cs="黑体"/>
          <w:b w:val="0"/>
          <w:i w:val="0"/>
          <w:caps w:val="0"/>
          <w:color w:val="000000"/>
          <w:spacing w:val="0"/>
          <w:sz w:val="32"/>
          <w:szCs w:val="32"/>
          <w:highlight w:val="none"/>
          <w:u w:val="none"/>
        </w:rPr>
        <w:t>　　六、</w:t>
      </w:r>
      <w:r>
        <w:rPr>
          <w:rFonts w:hint="eastAsia" w:ascii="黑体" w:hAnsi="黑体" w:eastAsia="黑体" w:cs="黑体"/>
          <w:b w:val="0"/>
          <w:i w:val="0"/>
          <w:caps w:val="0"/>
          <w:color w:val="000000"/>
          <w:spacing w:val="0"/>
          <w:sz w:val="32"/>
          <w:szCs w:val="32"/>
          <w:highlight w:val="none"/>
          <w:u w:val="none"/>
          <w:lang w:val="en-US" w:eastAsia="zh-CN"/>
        </w:rPr>
        <w:t>提升个体工商户发展质量</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leftChars="0" w:right="0" w:rightChars="0" w:firstLine="640" w:firstLineChars="200"/>
        <w:jc w:val="both"/>
        <w:textAlignment w:val="auto"/>
        <w:outlineLvl w:val="9"/>
        <w:rPr>
          <w:rFonts w:hint="eastAsia" w:ascii="黑体" w:hAnsi="黑体" w:eastAsia="黑体" w:cs="黑体"/>
          <w:b w:val="0"/>
          <w:i w:val="0"/>
          <w:caps w:val="0"/>
          <w:color w:val="000000"/>
          <w:spacing w:val="0"/>
          <w:sz w:val="32"/>
          <w:szCs w:val="32"/>
          <w:highlight w:val="none"/>
          <w:u w:val="none"/>
        </w:rPr>
      </w:pPr>
      <w:r>
        <w:rPr>
          <w:rFonts w:hint="eastAsia" w:ascii="仿宋_GB2312" w:hAnsi="仿宋_GB2312" w:eastAsia="仿宋_GB2312" w:cs="仿宋_GB2312"/>
          <w:b w:val="0"/>
          <w:i w:val="0"/>
          <w:caps w:val="0"/>
          <w:color w:val="000000"/>
          <w:spacing w:val="0"/>
          <w:sz w:val="32"/>
          <w:szCs w:val="32"/>
          <w:highlight w:val="none"/>
          <w:u w:val="none"/>
        </w:rPr>
        <w:t>2</w:t>
      </w:r>
      <w:r>
        <w:rPr>
          <w:rFonts w:hint="eastAsia" w:ascii="仿宋_GB2312" w:hAnsi="仿宋_GB2312" w:eastAsia="仿宋_GB2312" w:cs="仿宋_GB2312"/>
          <w:b w:val="0"/>
          <w:i w:val="0"/>
          <w:caps w:val="0"/>
          <w:color w:val="000000"/>
          <w:spacing w:val="0"/>
          <w:sz w:val="32"/>
          <w:szCs w:val="32"/>
          <w:highlight w:val="none"/>
          <w:u w:val="none"/>
          <w:lang w:val="en-US" w:eastAsia="zh-CN"/>
        </w:rPr>
        <w:t>5</w:t>
      </w:r>
      <w:r>
        <w:rPr>
          <w:rFonts w:hint="eastAsia" w:ascii="仿宋_GB2312" w:hAnsi="仿宋_GB2312" w:eastAsia="仿宋_GB2312" w:cs="仿宋_GB2312"/>
          <w:b w:val="0"/>
          <w:i w:val="0"/>
          <w:caps w:val="0"/>
          <w:color w:val="000000"/>
          <w:spacing w:val="0"/>
          <w:sz w:val="32"/>
          <w:szCs w:val="32"/>
          <w:highlight w:val="none"/>
          <w:u w:val="none"/>
        </w:rPr>
        <w:t>.开展职业技能培训</w:t>
      </w:r>
      <w:r>
        <w:rPr>
          <w:rFonts w:hint="eastAsia" w:ascii="仿宋_GB2312" w:hAnsi="仿宋_GB2312" w:eastAsia="仿宋_GB2312" w:cs="仿宋_GB2312"/>
          <w:b w:val="0"/>
          <w:i w:val="0"/>
          <w:caps w:val="0"/>
          <w:color w:val="000000"/>
          <w:spacing w:val="0"/>
          <w:sz w:val="32"/>
          <w:szCs w:val="32"/>
          <w:highlight w:val="none"/>
          <w:u w:val="none"/>
          <w:lang w:eastAsia="zh-CN"/>
        </w:rPr>
        <w:t>。</w:t>
      </w:r>
      <w:r>
        <w:rPr>
          <w:rFonts w:hint="eastAsia" w:ascii="仿宋_GB2312" w:hAnsi="仿宋_GB2312" w:eastAsia="仿宋_GB2312" w:cs="仿宋_GB2312"/>
          <w:b w:val="0"/>
          <w:i w:val="0"/>
          <w:caps w:val="0"/>
          <w:color w:val="000000"/>
          <w:spacing w:val="0"/>
          <w:sz w:val="32"/>
          <w:szCs w:val="32"/>
          <w:highlight w:val="none"/>
          <w:u w:val="none"/>
        </w:rPr>
        <w:t>对有培训意愿且符合条件的个体工商户从业人员，开展相应的技能等级证书、专项能力证书等免费技能培训。深化产教融合，推动中职学校（含技工学校）根据我市经济、产业发展趋势，主动对接个体工商户技能人才需求，与个体工商户联合开展岗位实践性教学和岗位实习，切实提高学校人才培养质量。</w:t>
      </w:r>
      <w:r>
        <w:rPr>
          <w:rFonts w:hint="eastAsia" w:ascii="黑体" w:hAnsi="黑体" w:eastAsia="黑体" w:cs="黑体"/>
          <w:b w:val="0"/>
          <w:i w:val="0"/>
          <w:caps w:val="0"/>
          <w:color w:val="000000"/>
          <w:spacing w:val="0"/>
          <w:sz w:val="32"/>
          <w:szCs w:val="32"/>
          <w:highlight w:val="none"/>
          <w:u w:val="none"/>
        </w:rPr>
        <w:t>（责任单位：市教育局、市财政局、市人力资源社会保障局等按职责分工负责）</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leftChars="0" w:right="0" w:rightChars="0" w:firstLine="640" w:firstLineChars="200"/>
        <w:jc w:val="both"/>
        <w:textAlignment w:val="auto"/>
        <w:outlineLvl w:val="9"/>
        <w:rPr>
          <w:rFonts w:hint="eastAsia" w:ascii="黑体" w:hAnsi="黑体" w:eastAsia="黑体" w:cs="黑体"/>
          <w:b w:val="0"/>
          <w:i w:val="0"/>
          <w:caps w:val="0"/>
          <w:color w:val="000000"/>
          <w:spacing w:val="0"/>
          <w:sz w:val="32"/>
          <w:szCs w:val="32"/>
          <w:highlight w:val="none"/>
          <w:u w:val="none"/>
        </w:rPr>
      </w:pPr>
      <w:r>
        <w:rPr>
          <w:rFonts w:hint="eastAsia" w:ascii="仿宋_GB2312" w:hAnsi="仿宋_GB2312" w:eastAsia="仿宋_GB2312" w:cs="仿宋_GB2312"/>
          <w:b w:val="0"/>
          <w:i w:val="0"/>
          <w:caps w:val="0"/>
          <w:color w:val="000000"/>
          <w:spacing w:val="0"/>
          <w:sz w:val="32"/>
          <w:szCs w:val="32"/>
          <w:highlight w:val="none"/>
          <w:u w:val="none"/>
        </w:rPr>
        <w:t>2</w:t>
      </w:r>
      <w:r>
        <w:rPr>
          <w:rFonts w:hint="eastAsia" w:ascii="仿宋_GB2312" w:hAnsi="仿宋_GB2312" w:eastAsia="仿宋_GB2312" w:cs="仿宋_GB2312"/>
          <w:b w:val="0"/>
          <w:i w:val="0"/>
          <w:caps w:val="0"/>
          <w:color w:val="000000"/>
          <w:spacing w:val="0"/>
          <w:sz w:val="32"/>
          <w:szCs w:val="32"/>
          <w:highlight w:val="none"/>
          <w:u w:val="none"/>
          <w:lang w:val="en-US" w:eastAsia="zh-CN"/>
        </w:rPr>
        <w:t>6</w:t>
      </w:r>
      <w:r>
        <w:rPr>
          <w:rFonts w:hint="eastAsia" w:ascii="仿宋_GB2312" w:hAnsi="仿宋_GB2312" w:eastAsia="仿宋_GB2312" w:cs="仿宋_GB2312"/>
          <w:b w:val="0"/>
          <w:i w:val="0"/>
          <w:caps w:val="0"/>
          <w:color w:val="000000"/>
          <w:spacing w:val="0"/>
          <w:sz w:val="32"/>
          <w:szCs w:val="32"/>
          <w:highlight w:val="none"/>
          <w:u w:val="none"/>
        </w:rPr>
        <w:t>.</w:t>
      </w:r>
      <w:r>
        <w:rPr>
          <w:rFonts w:hint="eastAsia" w:ascii="仿宋_GB2312" w:hAnsi="仿宋_GB2312" w:eastAsia="仿宋_GB2312" w:cs="仿宋_GB2312"/>
          <w:b w:val="0"/>
          <w:i w:val="0"/>
          <w:caps w:val="0"/>
          <w:color w:val="000000"/>
          <w:spacing w:val="0"/>
          <w:sz w:val="32"/>
          <w:szCs w:val="32"/>
          <w:highlight w:val="none"/>
          <w:u w:val="none"/>
          <w:lang w:eastAsia="zh-CN"/>
        </w:rPr>
        <w:t>支持创新创业。通过开展</w:t>
      </w:r>
      <w:r>
        <w:rPr>
          <w:rFonts w:hint="eastAsia" w:ascii="仿宋_GB2312" w:hAnsi="仿宋_GB2312" w:eastAsia="仿宋_GB2312" w:cs="仿宋_GB2312"/>
          <w:b w:val="0"/>
          <w:i w:val="0"/>
          <w:caps w:val="0"/>
          <w:color w:val="000000"/>
          <w:spacing w:val="0"/>
          <w:sz w:val="32"/>
          <w:szCs w:val="32"/>
          <w:highlight w:val="none"/>
          <w:u w:val="none"/>
        </w:rPr>
        <w:t>大众创新万众创业宣传展示活动</w:t>
      </w:r>
      <w:r>
        <w:rPr>
          <w:rFonts w:hint="eastAsia" w:ascii="仿宋_GB2312" w:hAnsi="仿宋_GB2312" w:eastAsia="仿宋_GB2312" w:cs="仿宋_GB2312"/>
          <w:b w:val="0"/>
          <w:i w:val="0"/>
          <w:caps w:val="0"/>
          <w:color w:val="000000"/>
          <w:spacing w:val="0"/>
          <w:sz w:val="32"/>
          <w:szCs w:val="32"/>
          <w:highlight w:val="none"/>
          <w:u w:val="none"/>
          <w:lang w:eastAsia="zh-CN"/>
        </w:rPr>
        <w:t>，</w:t>
      </w:r>
      <w:r>
        <w:rPr>
          <w:rFonts w:hint="eastAsia" w:ascii="仿宋_GB2312" w:hAnsi="仿宋_GB2312" w:eastAsia="仿宋_GB2312" w:cs="仿宋_GB2312"/>
          <w:b w:val="0"/>
          <w:i w:val="0"/>
          <w:caps w:val="0"/>
          <w:color w:val="000000"/>
          <w:spacing w:val="0"/>
          <w:sz w:val="32"/>
          <w:szCs w:val="32"/>
          <w:highlight w:val="none"/>
          <w:u w:val="none"/>
        </w:rPr>
        <w:t>引导、鼓励和支持更多的劳动者自主创业</w:t>
      </w:r>
      <w:r>
        <w:rPr>
          <w:rFonts w:hint="eastAsia" w:ascii="仿宋_GB2312" w:hAnsi="仿宋_GB2312" w:eastAsia="仿宋_GB2312" w:cs="仿宋_GB2312"/>
          <w:b w:val="0"/>
          <w:i w:val="0"/>
          <w:caps w:val="0"/>
          <w:color w:val="000000"/>
          <w:spacing w:val="0"/>
          <w:sz w:val="32"/>
          <w:szCs w:val="32"/>
          <w:highlight w:val="none"/>
          <w:u w:val="none"/>
          <w:lang w:eastAsia="zh-CN"/>
        </w:rPr>
        <w:t>。</w:t>
      </w:r>
      <w:r>
        <w:rPr>
          <w:rFonts w:hint="eastAsia" w:ascii="仿宋_GB2312" w:hAnsi="仿宋_GB2312" w:eastAsia="仿宋_GB2312" w:cs="仿宋_GB2312"/>
          <w:b w:val="0"/>
          <w:i w:val="0"/>
          <w:caps w:val="0"/>
          <w:color w:val="000000"/>
          <w:spacing w:val="0"/>
          <w:sz w:val="32"/>
          <w:szCs w:val="32"/>
          <w:highlight w:val="none"/>
          <w:u w:val="none"/>
        </w:rPr>
        <w:t>鼓励众创空间为个体工商户提供工作空间、共享资源等低成本、便利化、高质量</w:t>
      </w:r>
      <w:r>
        <w:rPr>
          <w:rFonts w:hint="eastAsia" w:ascii="仿宋_GB2312" w:hAnsi="仿宋_GB2312" w:eastAsia="仿宋_GB2312" w:cs="仿宋_GB2312"/>
          <w:b w:val="0"/>
          <w:i w:val="0"/>
          <w:caps w:val="0"/>
          <w:color w:val="000000"/>
          <w:spacing w:val="0"/>
          <w:sz w:val="32"/>
          <w:szCs w:val="32"/>
          <w:highlight w:val="none"/>
          <w:u w:val="none"/>
          <w:lang w:eastAsia="zh-CN"/>
        </w:rPr>
        <w:t>服务。</w:t>
      </w:r>
      <w:r>
        <w:rPr>
          <w:rFonts w:hint="eastAsia" w:ascii="仿宋_GB2312" w:hAnsi="仿宋_GB2312" w:eastAsia="仿宋_GB2312" w:cs="仿宋_GB2312"/>
          <w:b w:val="0"/>
          <w:i w:val="0"/>
          <w:caps w:val="0"/>
          <w:color w:val="000000"/>
          <w:spacing w:val="0"/>
          <w:sz w:val="32"/>
          <w:szCs w:val="32"/>
          <w:highlight w:val="none"/>
          <w:u w:val="none"/>
        </w:rPr>
        <w:t>强化对重点群体组织创业和初创企业、小微企业创业发展的支持力度，强化一次性创业资助、租金补贴、创业担保贷款支持力度。</w:t>
      </w:r>
      <w:r>
        <w:rPr>
          <w:rFonts w:hint="eastAsia" w:ascii="黑体" w:hAnsi="黑体" w:eastAsia="黑体" w:cs="黑体"/>
          <w:b w:val="0"/>
          <w:i w:val="0"/>
          <w:caps w:val="0"/>
          <w:color w:val="000000"/>
          <w:spacing w:val="0"/>
          <w:sz w:val="32"/>
          <w:szCs w:val="32"/>
          <w:highlight w:val="none"/>
          <w:u w:val="none"/>
        </w:rPr>
        <w:t>（责任单位：市发展改革局、市科技局、市人力资源社会保障局等按职责分工负责）</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leftChars="0" w:right="0" w:rightChars="0" w:firstLine="640" w:firstLineChars="200"/>
        <w:jc w:val="both"/>
        <w:textAlignment w:val="auto"/>
        <w:outlineLvl w:val="9"/>
        <w:rPr>
          <w:rFonts w:hint="eastAsia" w:ascii="黑体" w:hAnsi="黑体" w:eastAsia="黑体" w:cs="黑体"/>
          <w:b w:val="0"/>
          <w:i w:val="0"/>
          <w:caps w:val="0"/>
          <w:color w:val="000000"/>
          <w:spacing w:val="0"/>
          <w:sz w:val="32"/>
          <w:szCs w:val="32"/>
          <w:highlight w:val="none"/>
          <w:u w:val="none"/>
        </w:rPr>
      </w:pPr>
      <w:r>
        <w:rPr>
          <w:rFonts w:hint="eastAsia" w:ascii="仿宋_GB2312" w:hAnsi="仿宋_GB2312" w:eastAsia="仿宋_GB2312" w:cs="仿宋_GB2312"/>
          <w:b w:val="0"/>
          <w:i w:val="0"/>
          <w:caps w:val="0"/>
          <w:color w:val="000000"/>
          <w:spacing w:val="0"/>
          <w:sz w:val="32"/>
          <w:szCs w:val="32"/>
          <w:highlight w:val="none"/>
          <w:u w:val="none"/>
        </w:rPr>
        <w:t>2</w:t>
      </w:r>
      <w:r>
        <w:rPr>
          <w:rFonts w:hint="eastAsia" w:ascii="仿宋_GB2312" w:hAnsi="仿宋_GB2312" w:eastAsia="仿宋_GB2312" w:cs="仿宋_GB2312"/>
          <w:b w:val="0"/>
          <w:i w:val="0"/>
          <w:caps w:val="0"/>
          <w:color w:val="000000"/>
          <w:spacing w:val="0"/>
          <w:sz w:val="32"/>
          <w:szCs w:val="32"/>
          <w:highlight w:val="none"/>
          <w:u w:val="none"/>
          <w:lang w:val="en-US" w:eastAsia="zh-CN"/>
        </w:rPr>
        <w:t>7</w:t>
      </w:r>
      <w:r>
        <w:rPr>
          <w:rFonts w:hint="eastAsia" w:ascii="仿宋_GB2312" w:hAnsi="仿宋_GB2312" w:eastAsia="仿宋_GB2312" w:cs="仿宋_GB2312"/>
          <w:b w:val="0"/>
          <w:i w:val="0"/>
          <w:caps w:val="0"/>
          <w:color w:val="000000"/>
          <w:spacing w:val="0"/>
          <w:sz w:val="32"/>
          <w:szCs w:val="32"/>
          <w:highlight w:val="none"/>
          <w:u w:val="none"/>
        </w:rPr>
        <w:t>.</w:t>
      </w:r>
      <w:r>
        <w:rPr>
          <w:rFonts w:hint="eastAsia" w:ascii="仿宋_GB2312" w:hAnsi="仿宋_GB2312" w:eastAsia="仿宋_GB2312" w:cs="仿宋_GB2312"/>
          <w:b w:val="0"/>
          <w:i w:val="0"/>
          <w:caps w:val="0"/>
          <w:color w:val="000000"/>
          <w:spacing w:val="0"/>
          <w:sz w:val="32"/>
          <w:szCs w:val="32"/>
          <w:highlight w:val="none"/>
          <w:u w:val="none"/>
          <w:lang w:eastAsia="zh-CN"/>
        </w:rPr>
        <w:t>支持退役军人创业。</w:t>
      </w:r>
      <w:r>
        <w:rPr>
          <w:rFonts w:hint="eastAsia" w:ascii="仿宋_GB2312" w:hAnsi="仿宋_GB2312" w:eastAsia="仿宋_GB2312" w:cs="仿宋_GB2312"/>
          <w:b w:val="0"/>
          <w:i w:val="0"/>
          <w:caps w:val="0"/>
          <w:color w:val="000000"/>
          <w:spacing w:val="0"/>
          <w:sz w:val="32"/>
          <w:szCs w:val="32"/>
          <w:highlight w:val="none"/>
          <w:u w:val="none"/>
        </w:rPr>
        <w:t>基于现行税费政策执行口径，精准识别享受退役军人税收优惠的纳税人，推送减免税优惠最新政策。退役军人创办个体工商户可按规定享受一次性创业资助、创业租金补贴等创业扶持政策，吸纳重点群体就业的可按规定享受最长3年内的社保补贴、岗位补贴。推动由政府投资或社会共建的创业孵化基地和创业园区结合实际需要适当设立退役军人专区或建立退役军人创业孵化基地，对经营场地、水电、投融资等方面给予政策倾斜。建立完善退役军人就业创业导师团，向退役军人提供政策、法律、财务等咨询指导，鼓励退役军人从事个体经营。在国家规定时间内，自主就业退役士兵从事个体经营的，自办理个体工商户登记当月起，在3年（36个月）内以每户每年14400元为限额依次扣减其当年实际应缴纳的增值税、城市维护建设税、教育费附加、地方教育附加和个人所得税，执行期限至2023年12月31日。从事个体经营的军队转业干部（必须持有师以上部队颁发的转业证件），自领取营业执照之日起，3年内免征应税服务的增值税和个人所得税。</w:t>
      </w:r>
      <w:r>
        <w:rPr>
          <w:rFonts w:hint="eastAsia" w:ascii="黑体" w:hAnsi="黑体" w:eastAsia="黑体" w:cs="黑体"/>
          <w:b w:val="0"/>
          <w:i w:val="0"/>
          <w:caps w:val="0"/>
          <w:color w:val="000000"/>
          <w:spacing w:val="0"/>
          <w:sz w:val="32"/>
          <w:szCs w:val="32"/>
          <w:highlight w:val="none"/>
          <w:u w:val="none"/>
        </w:rPr>
        <w:t>（责任单位：市人力资源社会保障局、市退役军人事务局、国家税务总局汕尾市税务局等按职责分工负责）</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leftChars="0" w:right="0" w:rightChars="0" w:firstLine="640" w:firstLineChars="200"/>
        <w:jc w:val="both"/>
        <w:textAlignment w:val="auto"/>
        <w:outlineLvl w:val="9"/>
        <w:rPr>
          <w:rFonts w:hint="eastAsia" w:ascii="黑体" w:hAnsi="黑体" w:eastAsia="黑体" w:cs="黑体"/>
          <w:b w:val="0"/>
          <w:i w:val="0"/>
          <w:caps w:val="0"/>
          <w:color w:val="000000"/>
          <w:spacing w:val="0"/>
          <w:sz w:val="32"/>
          <w:szCs w:val="32"/>
          <w:highlight w:val="none"/>
          <w:u w:val="none"/>
        </w:rPr>
      </w:pPr>
      <w:r>
        <w:rPr>
          <w:rFonts w:hint="eastAsia" w:ascii="仿宋_GB2312" w:hAnsi="仿宋_GB2312" w:eastAsia="仿宋_GB2312" w:cs="仿宋_GB2312"/>
          <w:b w:val="0"/>
          <w:i w:val="0"/>
          <w:caps w:val="0"/>
          <w:color w:val="000000"/>
          <w:spacing w:val="0"/>
          <w:sz w:val="32"/>
          <w:szCs w:val="32"/>
          <w:highlight w:val="none"/>
          <w:u w:val="none"/>
        </w:rPr>
        <w:t>2</w:t>
      </w:r>
      <w:r>
        <w:rPr>
          <w:rFonts w:hint="eastAsia" w:ascii="仿宋_GB2312" w:hAnsi="仿宋_GB2312" w:eastAsia="仿宋_GB2312" w:cs="仿宋_GB2312"/>
          <w:b w:val="0"/>
          <w:i w:val="0"/>
          <w:caps w:val="0"/>
          <w:color w:val="000000"/>
          <w:spacing w:val="0"/>
          <w:sz w:val="32"/>
          <w:szCs w:val="32"/>
          <w:highlight w:val="none"/>
          <w:u w:val="none"/>
          <w:lang w:val="en-US" w:eastAsia="zh-CN"/>
        </w:rPr>
        <w:t>8</w:t>
      </w:r>
      <w:r>
        <w:rPr>
          <w:rFonts w:hint="eastAsia" w:ascii="仿宋_GB2312" w:hAnsi="仿宋_GB2312" w:eastAsia="仿宋_GB2312" w:cs="仿宋_GB2312"/>
          <w:b w:val="0"/>
          <w:i w:val="0"/>
          <w:caps w:val="0"/>
          <w:color w:val="000000"/>
          <w:spacing w:val="0"/>
          <w:sz w:val="32"/>
          <w:szCs w:val="32"/>
          <w:highlight w:val="none"/>
          <w:u w:val="none"/>
        </w:rPr>
        <w:t>.开展公益法律服务</w:t>
      </w:r>
      <w:r>
        <w:rPr>
          <w:rFonts w:hint="eastAsia" w:ascii="仿宋_GB2312" w:hAnsi="仿宋_GB2312" w:eastAsia="仿宋_GB2312" w:cs="仿宋_GB2312"/>
          <w:b w:val="0"/>
          <w:i w:val="0"/>
          <w:caps w:val="0"/>
          <w:color w:val="000000"/>
          <w:spacing w:val="0"/>
          <w:sz w:val="32"/>
          <w:szCs w:val="32"/>
          <w:highlight w:val="none"/>
          <w:u w:val="none"/>
          <w:lang w:eastAsia="zh-CN"/>
        </w:rPr>
        <w:t>。</w:t>
      </w:r>
      <w:r>
        <w:rPr>
          <w:rFonts w:hint="eastAsia" w:ascii="仿宋_GB2312" w:hAnsi="仿宋_GB2312" w:eastAsia="仿宋_GB2312" w:cs="仿宋_GB2312"/>
          <w:b w:val="0"/>
          <w:i w:val="0"/>
          <w:caps w:val="0"/>
          <w:color w:val="000000"/>
          <w:spacing w:val="0"/>
          <w:sz w:val="32"/>
          <w:szCs w:val="32"/>
          <w:highlight w:val="none"/>
          <w:u w:val="none"/>
        </w:rPr>
        <w:t>依托汕尾市民营企业律师服务团，常态化为个体工商户等非公经济组织开展“法治体检”活动。依托汕尾市公共法律服务中心，组织法律服务力量为个体工商户提供法律咨询服务。为需要维权救济的个体工商户提供法律服务，</w:t>
      </w:r>
      <w:r>
        <w:rPr>
          <w:rFonts w:hint="eastAsia" w:ascii="仿宋_GB2312" w:hAnsi="仿宋_GB2312" w:eastAsia="仿宋_GB2312" w:cs="仿宋_GB2312"/>
          <w:b w:val="0"/>
          <w:i w:val="0"/>
          <w:caps w:val="0"/>
          <w:color w:val="000000"/>
          <w:spacing w:val="0"/>
          <w:sz w:val="32"/>
          <w:szCs w:val="32"/>
          <w:highlight w:val="none"/>
          <w:u w:val="none"/>
          <w:lang w:eastAsia="zh-CN"/>
        </w:rPr>
        <w:t>引导个体工商户通过公证解决纠纷</w:t>
      </w:r>
      <w:r>
        <w:rPr>
          <w:rFonts w:hint="eastAsia" w:ascii="仿宋_GB2312" w:hAnsi="仿宋_GB2312" w:eastAsia="仿宋_GB2312" w:cs="仿宋_GB2312"/>
          <w:b w:val="0"/>
          <w:i w:val="0"/>
          <w:caps w:val="0"/>
          <w:color w:val="000000"/>
          <w:spacing w:val="0"/>
          <w:sz w:val="32"/>
          <w:szCs w:val="32"/>
          <w:highlight w:val="none"/>
          <w:u w:val="none"/>
        </w:rPr>
        <w:t>。将落实“谁执法谁普法”普法责任制纳入全市普法工作要点，加强对个体工商户等非公经济组织的法治宣传教育。鼓励和引导“百所联百会”签约律师事务所到结对商会开展法律服务。组织市工商联法律顾问为所属商会、会员开展公益法律服务。</w:t>
      </w:r>
      <w:r>
        <w:rPr>
          <w:rFonts w:hint="eastAsia" w:ascii="黑体" w:hAnsi="黑体" w:eastAsia="黑体" w:cs="黑体"/>
          <w:b w:val="0"/>
          <w:i w:val="0"/>
          <w:caps w:val="0"/>
          <w:color w:val="000000"/>
          <w:spacing w:val="0"/>
          <w:sz w:val="32"/>
          <w:szCs w:val="32"/>
          <w:highlight w:val="none"/>
          <w:u w:val="none"/>
        </w:rPr>
        <w:t>（责任单位：市司法局、市工商联等按职责分工负责）</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highlight w:val="none"/>
          <w:u w:val="none"/>
        </w:rPr>
      </w:pPr>
      <w:r>
        <w:rPr>
          <w:rFonts w:hint="eastAsia" w:ascii="仿宋_GB2312" w:hAnsi="仿宋_GB2312" w:eastAsia="仿宋_GB2312" w:cs="仿宋_GB2312"/>
          <w:b w:val="0"/>
          <w:i w:val="0"/>
          <w:caps w:val="0"/>
          <w:color w:val="000000"/>
          <w:spacing w:val="0"/>
          <w:sz w:val="32"/>
          <w:szCs w:val="32"/>
          <w:highlight w:val="none"/>
          <w:u w:val="none"/>
          <w:lang w:val="en-US" w:eastAsia="zh-CN"/>
        </w:rPr>
        <w:t>29</w:t>
      </w:r>
      <w:r>
        <w:rPr>
          <w:rFonts w:hint="eastAsia" w:ascii="仿宋_GB2312" w:hAnsi="仿宋_GB2312" w:eastAsia="仿宋_GB2312" w:cs="仿宋_GB2312"/>
          <w:b w:val="0"/>
          <w:i w:val="0"/>
          <w:caps w:val="0"/>
          <w:color w:val="000000"/>
          <w:spacing w:val="0"/>
          <w:sz w:val="32"/>
          <w:szCs w:val="32"/>
          <w:highlight w:val="none"/>
          <w:u w:val="none"/>
        </w:rPr>
        <w:t>.</w:t>
      </w:r>
      <w:r>
        <w:rPr>
          <w:rFonts w:hint="eastAsia" w:ascii="仿宋_GB2312" w:hAnsi="仿宋_GB2312" w:eastAsia="仿宋_GB2312" w:cs="仿宋_GB2312"/>
          <w:b w:val="0"/>
          <w:i w:val="0"/>
          <w:caps w:val="0"/>
          <w:color w:val="000000"/>
          <w:spacing w:val="0"/>
          <w:sz w:val="32"/>
          <w:szCs w:val="32"/>
          <w:highlight w:val="none"/>
          <w:u w:val="none"/>
          <w:lang w:eastAsia="zh-CN"/>
        </w:rPr>
        <w:t>加强党建引领。</w:t>
      </w:r>
      <w:r>
        <w:rPr>
          <w:rFonts w:hint="eastAsia" w:ascii="仿宋_GB2312" w:hAnsi="仿宋_GB2312" w:eastAsia="仿宋_GB2312" w:cs="仿宋_GB2312"/>
          <w:b w:val="0"/>
          <w:i w:val="0"/>
          <w:caps w:val="0"/>
          <w:color w:val="000000"/>
          <w:spacing w:val="0"/>
          <w:sz w:val="32"/>
          <w:szCs w:val="32"/>
          <w:highlight w:val="none"/>
          <w:u w:val="none"/>
        </w:rPr>
        <w:t>加强“小个专”党建工作，发挥个私协会紧密联系个体私营企业的优势,在市场监管部门指导下,推动扩大“小个专”党的组织和工作覆盖。发挥个私协会桥梁纽带作用，畅通个体工商户反映问题、政策诉求渠道，了解个体工商户经营形势变化，配合做好活跃度、经营状况和相关优惠政策享受情况调查，动态掌握个体工商户发展需求和生产经营困难问题，为研究完善个体工商户扶持政策提供决策参考。</w:t>
      </w:r>
      <w:r>
        <w:rPr>
          <w:rFonts w:hint="eastAsia" w:ascii="黑体" w:hAnsi="黑体" w:eastAsia="黑体" w:cs="黑体"/>
          <w:b w:val="0"/>
          <w:i w:val="0"/>
          <w:caps w:val="0"/>
          <w:color w:val="000000"/>
          <w:spacing w:val="0"/>
          <w:sz w:val="32"/>
          <w:szCs w:val="32"/>
          <w:highlight w:val="none"/>
          <w:u w:val="none"/>
        </w:rPr>
        <w:t>（责任单位：各县（市、区）人民政府，市市场监管局等按职责分工负责）</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leftChars="0" w:right="0" w:rightChars="0" w:firstLine="640" w:firstLineChars="200"/>
        <w:jc w:val="both"/>
        <w:textAlignment w:val="auto"/>
        <w:outlineLvl w:val="9"/>
        <w:rPr>
          <w:rFonts w:hint="eastAsia" w:ascii="黑体" w:hAnsi="黑体" w:eastAsia="黑体" w:cs="黑体"/>
          <w:b w:val="0"/>
          <w:i w:val="0"/>
          <w:caps w:val="0"/>
          <w:color w:val="000000"/>
          <w:spacing w:val="0"/>
          <w:sz w:val="32"/>
          <w:szCs w:val="32"/>
          <w:highlight w:val="none"/>
          <w:u w:val="none"/>
        </w:rPr>
      </w:pPr>
      <w:r>
        <w:rPr>
          <w:rFonts w:hint="eastAsia" w:ascii="仿宋_GB2312" w:hAnsi="仿宋_GB2312" w:eastAsia="仿宋_GB2312" w:cs="仿宋_GB2312"/>
          <w:b w:val="0"/>
          <w:i w:val="0"/>
          <w:caps w:val="0"/>
          <w:color w:val="000000"/>
          <w:spacing w:val="0"/>
          <w:sz w:val="32"/>
          <w:szCs w:val="32"/>
          <w:highlight w:val="none"/>
          <w:u w:val="none"/>
        </w:rPr>
        <w:t>3</w:t>
      </w:r>
      <w:r>
        <w:rPr>
          <w:rFonts w:hint="eastAsia" w:ascii="仿宋_GB2312" w:hAnsi="仿宋_GB2312" w:eastAsia="仿宋_GB2312" w:cs="仿宋_GB2312"/>
          <w:b w:val="0"/>
          <w:i w:val="0"/>
          <w:caps w:val="0"/>
          <w:color w:val="000000"/>
          <w:spacing w:val="0"/>
          <w:sz w:val="32"/>
          <w:szCs w:val="32"/>
          <w:highlight w:val="none"/>
          <w:u w:val="none"/>
          <w:lang w:val="en-US" w:eastAsia="zh-CN"/>
        </w:rPr>
        <w:t>0</w:t>
      </w:r>
      <w:r>
        <w:rPr>
          <w:rFonts w:hint="eastAsia" w:ascii="仿宋_GB2312" w:hAnsi="仿宋_GB2312" w:eastAsia="仿宋_GB2312" w:cs="仿宋_GB2312"/>
          <w:b w:val="0"/>
          <w:i w:val="0"/>
          <w:caps w:val="0"/>
          <w:color w:val="000000"/>
          <w:spacing w:val="0"/>
          <w:sz w:val="32"/>
          <w:szCs w:val="32"/>
          <w:highlight w:val="none"/>
          <w:u w:val="none"/>
        </w:rPr>
        <w:t>.</w:t>
      </w:r>
      <w:r>
        <w:rPr>
          <w:rFonts w:hint="eastAsia" w:ascii="仿宋_GB2312" w:hAnsi="仿宋_GB2312" w:eastAsia="仿宋_GB2312" w:cs="仿宋_GB2312"/>
          <w:b w:val="0"/>
          <w:i w:val="0"/>
          <w:caps w:val="0"/>
          <w:color w:val="000000"/>
          <w:spacing w:val="0"/>
          <w:sz w:val="32"/>
          <w:szCs w:val="32"/>
          <w:highlight w:val="none"/>
          <w:u w:val="none"/>
          <w:lang w:val="en-US" w:eastAsia="zh-CN"/>
        </w:rPr>
        <w:t>做好</w:t>
      </w:r>
      <w:r>
        <w:rPr>
          <w:rFonts w:hint="eastAsia" w:ascii="仿宋_GB2312" w:hAnsi="仿宋_GB2312" w:eastAsia="仿宋_GB2312" w:cs="仿宋_GB2312"/>
          <w:b w:val="0"/>
          <w:i w:val="0"/>
          <w:caps w:val="0"/>
          <w:color w:val="000000"/>
          <w:spacing w:val="0"/>
          <w:sz w:val="32"/>
          <w:szCs w:val="32"/>
          <w:highlight w:val="none"/>
          <w:u w:val="none"/>
        </w:rPr>
        <w:t>诉求</w:t>
      </w:r>
      <w:r>
        <w:rPr>
          <w:rFonts w:hint="eastAsia" w:ascii="仿宋_GB2312" w:hAnsi="仿宋_GB2312" w:eastAsia="仿宋_GB2312" w:cs="仿宋_GB2312"/>
          <w:b w:val="0"/>
          <w:i w:val="0"/>
          <w:caps w:val="0"/>
          <w:color w:val="000000"/>
          <w:spacing w:val="0"/>
          <w:sz w:val="32"/>
          <w:szCs w:val="32"/>
          <w:highlight w:val="none"/>
          <w:u w:val="none"/>
          <w:lang w:eastAsia="zh-CN"/>
        </w:rPr>
        <w:t>响应</w:t>
      </w:r>
      <w:r>
        <w:rPr>
          <w:rFonts w:hint="eastAsia" w:ascii="仿宋_GB2312" w:hAnsi="仿宋_GB2312" w:eastAsia="仿宋_GB2312" w:cs="仿宋_GB2312"/>
          <w:b w:val="0"/>
          <w:i w:val="0"/>
          <w:caps w:val="0"/>
          <w:color w:val="000000"/>
          <w:spacing w:val="0"/>
          <w:sz w:val="32"/>
          <w:szCs w:val="32"/>
          <w:highlight w:val="none"/>
          <w:u w:val="none"/>
          <w:lang w:val="en-US" w:eastAsia="zh-CN"/>
        </w:rPr>
        <w:t>服务</w:t>
      </w:r>
      <w:r>
        <w:rPr>
          <w:rFonts w:hint="eastAsia" w:ascii="仿宋_GB2312" w:hAnsi="仿宋_GB2312" w:eastAsia="仿宋_GB2312" w:cs="仿宋_GB2312"/>
          <w:b w:val="0"/>
          <w:i w:val="0"/>
          <w:caps w:val="0"/>
          <w:color w:val="000000"/>
          <w:spacing w:val="0"/>
          <w:sz w:val="32"/>
          <w:szCs w:val="32"/>
          <w:highlight w:val="none"/>
          <w:u w:val="none"/>
          <w:lang w:eastAsia="zh-CN"/>
        </w:rPr>
        <w:t>。</w:t>
      </w:r>
      <w:r>
        <w:rPr>
          <w:rStyle w:val="10"/>
          <w:rFonts w:hint="eastAsia" w:ascii="仿宋_GB2312" w:hAnsi="仿宋_GB2312" w:eastAsia="仿宋_GB2312" w:cs="仿宋_GB2312"/>
          <w:bCs/>
          <w:color w:val="000000"/>
          <w:sz w:val="32"/>
          <w:szCs w:val="32"/>
          <w:highlight w:val="none"/>
          <w:lang w:val="en-US" w:eastAsia="zh-CN"/>
        </w:rPr>
        <w:t>融合线上线下服务渠道，充分利用</w:t>
      </w:r>
      <w:r>
        <w:rPr>
          <w:rFonts w:hint="eastAsia" w:ascii="仿宋_GB2312" w:hAnsi="仿宋_GB2312" w:eastAsia="仿宋_GB2312" w:cs="仿宋_GB2312"/>
          <w:bCs/>
          <w:color w:val="000000"/>
          <w:kern w:val="2"/>
          <w:sz w:val="32"/>
          <w:szCs w:val="32"/>
          <w:highlight w:val="none"/>
          <w:lang w:val="en-US" w:eastAsia="zh-CN" w:bidi="ar-SA"/>
        </w:rPr>
        <w:t>广东政务服务网、市场主体诉求响应平台（粤商通）、粤省心、</w:t>
      </w:r>
      <w:r>
        <w:rPr>
          <w:rFonts w:hint="default" w:ascii="仿宋_GB2312" w:hAnsi="仿宋_GB2312" w:eastAsia="仿宋_GB2312" w:cs="仿宋_GB2312"/>
          <w:bCs/>
          <w:color w:val="000000"/>
          <w:kern w:val="2"/>
          <w:sz w:val="32"/>
          <w:szCs w:val="32"/>
          <w:highlight w:val="none"/>
          <w:lang w:val="en" w:eastAsia="zh-CN" w:bidi="ar-SA"/>
        </w:rPr>
        <w:t>粤省事、善美村居、</w:t>
      </w:r>
      <w:r>
        <w:rPr>
          <w:rFonts w:hint="eastAsia" w:ascii="仿宋_GB2312" w:hAnsi="仿宋_GB2312" w:eastAsia="仿宋_GB2312" w:cs="仿宋_GB2312"/>
          <w:bCs/>
          <w:color w:val="000000"/>
          <w:kern w:val="2"/>
          <w:sz w:val="32"/>
          <w:szCs w:val="32"/>
          <w:highlight w:val="none"/>
          <w:lang w:val="en-US" w:eastAsia="zh-CN" w:bidi="ar-SA"/>
        </w:rPr>
        <w:t>善美店小二、12345政务服务便民热线7个渠道，实行7×24小时诉求服务。</w:t>
      </w:r>
      <w:r>
        <w:rPr>
          <w:rFonts w:hint="eastAsia" w:ascii="仿宋_GB2312" w:hAnsi="仿宋_GB2312" w:eastAsia="仿宋_GB2312" w:cs="仿宋_GB2312"/>
          <w:bCs w:val="0"/>
          <w:color w:val="000000"/>
          <w:kern w:val="2"/>
          <w:sz w:val="32"/>
          <w:szCs w:val="32"/>
          <w:highlight w:val="none"/>
          <w:lang w:val="en-US" w:eastAsia="zh-CN" w:bidi="ar-SA"/>
        </w:rPr>
        <w:t>及时发现个体工商户诉求变化趋势和关注热点，</w:t>
      </w:r>
      <w:r>
        <w:rPr>
          <w:rFonts w:hint="eastAsia" w:ascii="仿宋_GB2312" w:hAnsi="仿宋_GB2312" w:eastAsia="仿宋_GB2312" w:cs="仿宋_GB2312"/>
          <w:b w:val="0"/>
          <w:i w:val="0"/>
          <w:caps w:val="0"/>
          <w:color w:val="000000"/>
          <w:spacing w:val="0"/>
          <w:sz w:val="32"/>
          <w:szCs w:val="32"/>
          <w:highlight w:val="none"/>
          <w:u w:val="none"/>
        </w:rPr>
        <w:t>及时依法查处侵害个体工商户合法权益的行为。</w:t>
      </w:r>
      <w:r>
        <w:rPr>
          <w:rFonts w:hint="eastAsia" w:ascii="仿宋_GB2312" w:hAnsi="仿宋_GB2312" w:eastAsia="仿宋_GB2312" w:cs="仿宋_GB2312"/>
          <w:bCs/>
          <w:color w:val="000000"/>
          <w:kern w:val="2"/>
          <w:sz w:val="32"/>
          <w:szCs w:val="32"/>
          <w:highlight w:val="none"/>
          <w:lang w:val="en-US" w:eastAsia="zh-CN" w:bidi="ar-SA"/>
        </w:rPr>
        <w:t>各级政务服务大厅（党群服务中心）设立办不成事帮办岗、政策兑现窗或服务之窗（专区）等，以“店小二”服务帮助个体工商户面对面协调解决有关诉求</w:t>
      </w:r>
      <w:r>
        <w:rPr>
          <w:rFonts w:hint="eastAsia" w:ascii="仿宋_GB2312" w:hAnsi="仿宋_GB2312" w:eastAsia="仿宋_GB2312" w:cs="仿宋_GB2312"/>
          <w:b w:val="0"/>
          <w:i w:val="0"/>
          <w:caps w:val="0"/>
          <w:color w:val="000000"/>
          <w:spacing w:val="0"/>
          <w:sz w:val="32"/>
          <w:szCs w:val="32"/>
          <w:highlight w:val="none"/>
          <w:u w:val="none"/>
        </w:rPr>
        <w:t>，提高诉求办理质效。</w:t>
      </w:r>
      <w:r>
        <w:rPr>
          <w:rFonts w:hint="eastAsia" w:ascii="黑体" w:hAnsi="黑体" w:eastAsia="黑体" w:cs="黑体"/>
          <w:b w:val="0"/>
          <w:i w:val="0"/>
          <w:caps w:val="0"/>
          <w:color w:val="000000"/>
          <w:spacing w:val="0"/>
          <w:sz w:val="32"/>
          <w:szCs w:val="32"/>
          <w:highlight w:val="none"/>
          <w:u w:val="none"/>
        </w:rPr>
        <w:t>（责任单位：市政务服务数据管理局、市工业和信息化局、</w:t>
      </w:r>
      <w:r>
        <w:rPr>
          <w:rFonts w:hint="eastAsia" w:ascii="黑体" w:hAnsi="黑体" w:eastAsia="黑体" w:cs="黑体"/>
          <w:b w:val="0"/>
          <w:i w:val="0"/>
          <w:caps w:val="0"/>
          <w:color w:val="000000"/>
          <w:spacing w:val="0"/>
          <w:sz w:val="32"/>
          <w:szCs w:val="32"/>
          <w:highlight w:val="none"/>
          <w:u w:val="none"/>
          <w:lang w:val="en-US" w:eastAsia="zh-CN"/>
        </w:rPr>
        <w:t>市农业农村局、市人力资源和社会保障局、市商务局、</w:t>
      </w:r>
      <w:r>
        <w:rPr>
          <w:rFonts w:hint="eastAsia" w:ascii="黑体" w:hAnsi="黑体" w:eastAsia="黑体" w:cs="黑体"/>
          <w:b w:val="0"/>
          <w:i w:val="0"/>
          <w:caps w:val="0"/>
          <w:color w:val="000000"/>
          <w:spacing w:val="0"/>
          <w:sz w:val="32"/>
          <w:szCs w:val="32"/>
          <w:highlight w:val="none"/>
          <w:u w:val="none"/>
        </w:rPr>
        <w:t>市市场监管局、国家税务总局汕尾</w:t>
      </w:r>
      <w:r>
        <w:rPr>
          <w:rFonts w:hint="eastAsia" w:ascii="黑体" w:hAnsi="黑体" w:eastAsia="黑体" w:cs="黑体"/>
          <w:b w:val="0"/>
          <w:i w:val="0"/>
          <w:caps w:val="0"/>
          <w:color w:val="000000"/>
          <w:spacing w:val="0"/>
          <w:sz w:val="32"/>
          <w:szCs w:val="32"/>
          <w:highlight w:val="none"/>
          <w:u w:val="none"/>
          <w:lang w:eastAsia="zh-CN"/>
        </w:rPr>
        <w:t>市税务局</w:t>
      </w:r>
      <w:r>
        <w:rPr>
          <w:rFonts w:hint="eastAsia" w:ascii="黑体" w:hAnsi="黑体" w:eastAsia="黑体" w:cs="黑体"/>
          <w:b w:val="0"/>
          <w:i w:val="0"/>
          <w:caps w:val="0"/>
          <w:color w:val="000000"/>
          <w:spacing w:val="0"/>
          <w:sz w:val="32"/>
          <w:szCs w:val="32"/>
          <w:highlight w:val="none"/>
          <w:u w:val="none"/>
        </w:rPr>
        <w:t>等按职责分工负责）</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highlight w:val="none"/>
          <w:u w:val="none"/>
          <w:lang w:val="en-US"/>
        </w:rPr>
      </w:pPr>
      <w:r>
        <w:rPr>
          <w:rFonts w:hint="eastAsia" w:ascii="仿宋_GB2312" w:hAnsi="仿宋_GB2312" w:eastAsia="仿宋_GB2312" w:cs="仿宋_GB2312"/>
          <w:b w:val="0"/>
          <w:i w:val="0"/>
          <w:caps w:val="0"/>
          <w:color w:val="000000"/>
          <w:spacing w:val="0"/>
          <w:sz w:val="32"/>
          <w:szCs w:val="32"/>
          <w:highlight w:val="none"/>
          <w:u w:val="none"/>
          <w:lang w:val="en-US"/>
        </w:rPr>
        <w:t>各</w:t>
      </w:r>
      <w:r>
        <w:rPr>
          <w:rFonts w:hint="eastAsia" w:ascii="仿宋_GB2312" w:hAnsi="仿宋_GB2312" w:eastAsia="仿宋_GB2312" w:cs="仿宋_GB2312"/>
          <w:b w:val="0"/>
          <w:i w:val="0"/>
          <w:caps w:val="0"/>
          <w:color w:val="000000"/>
          <w:spacing w:val="0"/>
          <w:sz w:val="32"/>
          <w:szCs w:val="32"/>
          <w:highlight w:val="none"/>
          <w:u w:val="none"/>
          <w:lang w:val="en-US" w:eastAsia="zh-CN"/>
        </w:rPr>
        <w:t>县（市、区）</w:t>
      </w:r>
      <w:r>
        <w:rPr>
          <w:rFonts w:hint="eastAsia" w:ascii="仿宋_GB2312" w:hAnsi="仿宋_GB2312" w:eastAsia="仿宋_GB2312" w:cs="仿宋_GB2312"/>
          <w:b w:val="0"/>
          <w:i w:val="0"/>
          <w:caps w:val="0"/>
          <w:color w:val="000000"/>
          <w:spacing w:val="0"/>
          <w:sz w:val="32"/>
          <w:szCs w:val="32"/>
          <w:highlight w:val="none"/>
          <w:u w:val="none"/>
          <w:lang w:val="en-US"/>
        </w:rPr>
        <w:t>、各有关部门要充分发挥扶持个体工商户发展部门间联席会议制度作用，结合工作实际，落实国家、省、市培育扶持个体工商户发展的各项政策措施，推动各项措施落地见效。</w:t>
      </w:r>
    </w:p>
    <w:p>
      <w:pPr>
        <w:keepNext w:val="0"/>
        <w:keepLines w:val="0"/>
        <w:pageBreakBefore w:val="0"/>
        <w:kinsoku/>
        <w:wordWrap/>
        <w:overflowPunct/>
        <w:topLinePunct w:val="0"/>
        <w:autoSpaceDE/>
        <w:autoSpaceDN/>
        <w:bidi w:val="0"/>
        <w:adjustRightInd/>
        <w:snapToGrid/>
        <w:textAlignment w:val="auto"/>
      </w:pPr>
      <w:r>
        <w:rPr>
          <w:rFonts w:hint="eastAsia" w:ascii="仿宋_GB2312" w:hAnsi="仿宋_GB2312" w:eastAsia="仿宋_GB2312" w:cs="仿宋_GB2312"/>
          <w:b w:val="0"/>
          <w:i w:val="0"/>
          <w:caps w:val="0"/>
          <w:color w:val="000000"/>
          <w:spacing w:val="0"/>
          <w:sz w:val="32"/>
          <w:szCs w:val="32"/>
          <w:highlight w:val="none"/>
          <w:u w:val="none"/>
          <w:lang w:val="en-US"/>
        </w:rPr>
        <w:t>本文件自</w:t>
      </w:r>
      <w:r>
        <w:rPr>
          <w:rFonts w:hint="eastAsia" w:ascii="仿宋_GB2312" w:hAnsi="仿宋_GB2312" w:eastAsia="仿宋_GB2312" w:cs="仿宋_GB2312"/>
          <w:b w:val="0"/>
          <w:i w:val="0"/>
          <w:caps w:val="0"/>
          <w:color w:val="000000"/>
          <w:spacing w:val="0"/>
          <w:sz w:val="32"/>
          <w:szCs w:val="32"/>
          <w:highlight w:val="none"/>
          <w:u w:val="none"/>
          <w:lang w:val="en-US" w:eastAsia="zh-CN"/>
        </w:rPr>
        <w:t>印发之日</w:t>
      </w:r>
      <w:r>
        <w:rPr>
          <w:rFonts w:hint="eastAsia" w:ascii="仿宋_GB2312" w:hAnsi="仿宋_GB2312" w:eastAsia="仿宋_GB2312" w:cs="仿宋_GB2312"/>
          <w:b w:val="0"/>
          <w:i w:val="0"/>
          <w:caps w:val="0"/>
          <w:color w:val="000000"/>
          <w:spacing w:val="0"/>
          <w:sz w:val="32"/>
          <w:szCs w:val="32"/>
          <w:highlight w:val="none"/>
          <w:u w:val="none"/>
          <w:lang w:val="en-US"/>
        </w:rPr>
        <w:t>起实施，有效期3年。各项政策措施有明确规定时限或国家、省另有规定的，从其规定。</w:t>
      </w:r>
    </w:p>
    <w:bookmarkEnd w:id="0"/>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script"/>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m/S8feAgAAJAYAAA4AAAAAAAAAAQAgAAAAHwEAAGRycy9lMm9Eb2MueG1sUEsF&#10;BgAAAAAGAAYAWQEAAG8GAAAAAA==&#10;">
              <v:fill on="f" focussize="0,0"/>
              <v:stroke on="f" weight="0.5pt"/>
              <v:imagedata o:title=""/>
              <o:lock v:ext="edit" aspectratio="f"/>
              <v:textbox inset="0mm,0mm,0mm,0mm" style="mso-fit-shape-to-text:t;">
                <w:txbxContent>
                  <w:p>
                    <w:pPr>
                      <w:pStyle w:val="4"/>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F90129"/>
    <w:rsid w:val="006A4BCD"/>
    <w:rsid w:val="00884650"/>
    <w:rsid w:val="00F71FA4"/>
    <w:rsid w:val="01285503"/>
    <w:rsid w:val="012E09C2"/>
    <w:rsid w:val="013A79AD"/>
    <w:rsid w:val="01A32E64"/>
    <w:rsid w:val="01BB6858"/>
    <w:rsid w:val="01C02C81"/>
    <w:rsid w:val="01CF7165"/>
    <w:rsid w:val="01DE2F99"/>
    <w:rsid w:val="01FC733E"/>
    <w:rsid w:val="0208406C"/>
    <w:rsid w:val="02215DC5"/>
    <w:rsid w:val="02490923"/>
    <w:rsid w:val="02710883"/>
    <w:rsid w:val="02D6637A"/>
    <w:rsid w:val="02FA735B"/>
    <w:rsid w:val="030F0D8E"/>
    <w:rsid w:val="03146A89"/>
    <w:rsid w:val="033C3838"/>
    <w:rsid w:val="03A21689"/>
    <w:rsid w:val="03EF6A0B"/>
    <w:rsid w:val="04241F18"/>
    <w:rsid w:val="04260BB1"/>
    <w:rsid w:val="04383EA5"/>
    <w:rsid w:val="048A3CB2"/>
    <w:rsid w:val="04B116C7"/>
    <w:rsid w:val="04BB1843"/>
    <w:rsid w:val="04BD7305"/>
    <w:rsid w:val="04C528E5"/>
    <w:rsid w:val="04C74F8E"/>
    <w:rsid w:val="04DE759E"/>
    <w:rsid w:val="050C1DD8"/>
    <w:rsid w:val="05145E2A"/>
    <w:rsid w:val="051C7F74"/>
    <w:rsid w:val="051E35DE"/>
    <w:rsid w:val="0547553F"/>
    <w:rsid w:val="054758C1"/>
    <w:rsid w:val="058757DE"/>
    <w:rsid w:val="05961EAB"/>
    <w:rsid w:val="05AE4909"/>
    <w:rsid w:val="05DE25AB"/>
    <w:rsid w:val="05F164CE"/>
    <w:rsid w:val="067124A0"/>
    <w:rsid w:val="0696099A"/>
    <w:rsid w:val="06C3454A"/>
    <w:rsid w:val="06C56F25"/>
    <w:rsid w:val="06D16D84"/>
    <w:rsid w:val="06D54CB1"/>
    <w:rsid w:val="072A6075"/>
    <w:rsid w:val="072C38C3"/>
    <w:rsid w:val="0731164A"/>
    <w:rsid w:val="073D591C"/>
    <w:rsid w:val="0753010C"/>
    <w:rsid w:val="07602BC1"/>
    <w:rsid w:val="078E1434"/>
    <w:rsid w:val="081E149E"/>
    <w:rsid w:val="08355D4B"/>
    <w:rsid w:val="083A19BD"/>
    <w:rsid w:val="084F3D7B"/>
    <w:rsid w:val="085502E1"/>
    <w:rsid w:val="085C77EA"/>
    <w:rsid w:val="087C5FA7"/>
    <w:rsid w:val="088427D0"/>
    <w:rsid w:val="08D505EB"/>
    <w:rsid w:val="08F23E9C"/>
    <w:rsid w:val="09452A6A"/>
    <w:rsid w:val="094A19EC"/>
    <w:rsid w:val="09647E34"/>
    <w:rsid w:val="09791291"/>
    <w:rsid w:val="098C4BB2"/>
    <w:rsid w:val="09905DD0"/>
    <w:rsid w:val="09916A7C"/>
    <w:rsid w:val="09A078BC"/>
    <w:rsid w:val="09B12130"/>
    <w:rsid w:val="09C21E01"/>
    <w:rsid w:val="09CE37DF"/>
    <w:rsid w:val="09D142CE"/>
    <w:rsid w:val="0A5B71EF"/>
    <w:rsid w:val="0A862038"/>
    <w:rsid w:val="0A9436AA"/>
    <w:rsid w:val="0A9D0056"/>
    <w:rsid w:val="0AAC5DBE"/>
    <w:rsid w:val="0AEA35C4"/>
    <w:rsid w:val="0AF6579E"/>
    <w:rsid w:val="0B386A46"/>
    <w:rsid w:val="0B691308"/>
    <w:rsid w:val="0B8132FB"/>
    <w:rsid w:val="0B9126E6"/>
    <w:rsid w:val="0B9C3CFD"/>
    <w:rsid w:val="0BA25144"/>
    <w:rsid w:val="0BB961FD"/>
    <w:rsid w:val="0BC64ED2"/>
    <w:rsid w:val="0BD34165"/>
    <w:rsid w:val="0BEE6A81"/>
    <w:rsid w:val="0BF66B66"/>
    <w:rsid w:val="0C176248"/>
    <w:rsid w:val="0C2A2EAF"/>
    <w:rsid w:val="0C2E1002"/>
    <w:rsid w:val="0C6E3E4D"/>
    <w:rsid w:val="0CA00CBE"/>
    <w:rsid w:val="0CAC5DCB"/>
    <w:rsid w:val="0CC00AB4"/>
    <w:rsid w:val="0CE85687"/>
    <w:rsid w:val="0D201024"/>
    <w:rsid w:val="0D265C60"/>
    <w:rsid w:val="0D4E063A"/>
    <w:rsid w:val="0D5B6634"/>
    <w:rsid w:val="0D64642C"/>
    <w:rsid w:val="0D943B65"/>
    <w:rsid w:val="0D9E26C7"/>
    <w:rsid w:val="0DF500F8"/>
    <w:rsid w:val="0E207B60"/>
    <w:rsid w:val="0E295B75"/>
    <w:rsid w:val="0E3653D2"/>
    <w:rsid w:val="0E4E083A"/>
    <w:rsid w:val="0E797184"/>
    <w:rsid w:val="0EEB7992"/>
    <w:rsid w:val="0F4C1AD2"/>
    <w:rsid w:val="0F8A686C"/>
    <w:rsid w:val="0F993161"/>
    <w:rsid w:val="0FC33384"/>
    <w:rsid w:val="0FCB2E9B"/>
    <w:rsid w:val="0FDE7F4E"/>
    <w:rsid w:val="0FF20E4F"/>
    <w:rsid w:val="0FF6225E"/>
    <w:rsid w:val="0FFE4C9E"/>
    <w:rsid w:val="102D1EE3"/>
    <w:rsid w:val="10521FDB"/>
    <w:rsid w:val="107A75D8"/>
    <w:rsid w:val="10C44883"/>
    <w:rsid w:val="10E12226"/>
    <w:rsid w:val="10FE7E27"/>
    <w:rsid w:val="1109705F"/>
    <w:rsid w:val="11170CAD"/>
    <w:rsid w:val="113E0EFB"/>
    <w:rsid w:val="11440899"/>
    <w:rsid w:val="11471F43"/>
    <w:rsid w:val="1163370C"/>
    <w:rsid w:val="117E4AFB"/>
    <w:rsid w:val="11C15A57"/>
    <w:rsid w:val="122D4A35"/>
    <w:rsid w:val="126375E8"/>
    <w:rsid w:val="126B0642"/>
    <w:rsid w:val="12881B05"/>
    <w:rsid w:val="12AD4B80"/>
    <w:rsid w:val="12BD4196"/>
    <w:rsid w:val="12C8261B"/>
    <w:rsid w:val="12D05FDF"/>
    <w:rsid w:val="12F2062B"/>
    <w:rsid w:val="13097CF0"/>
    <w:rsid w:val="132C42A3"/>
    <w:rsid w:val="132D7DAD"/>
    <w:rsid w:val="13340BAD"/>
    <w:rsid w:val="13426FEF"/>
    <w:rsid w:val="135D4F99"/>
    <w:rsid w:val="138D3C44"/>
    <w:rsid w:val="13A9542F"/>
    <w:rsid w:val="13DE7C6A"/>
    <w:rsid w:val="13E311B0"/>
    <w:rsid w:val="143323A4"/>
    <w:rsid w:val="143A1EF4"/>
    <w:rsid w:val="143F607C"/>
    <w:rsid w:val="14633D0F"/>
    <w:rsid w:val="14695646"/>
    <w:rsid w:val="146F4B88"/>
    <w:rsid w:val="14A90081"/>
    <w:rsid w:val="14D434D5"/>
    <w:rsid w:val="14E83ACA"/>
    <w:rsid w:val="14E96276"/>
    <w:rsid w:val="14F21BDA"/>
    <w:rsid w:val="14FA069A"/>
    <w:rsid w:val="14FF48CC"/>
    <w:rsid w:val="15101162"/>
    <w:rsid w:val="152B44F2"/>
    <w:rsid w:val="153A7D9F"/>
    <w:rsid w:val="155B49A5"/>
    <w:rsid w:val="15667A73"/>
    <w:rsid w:val="15797573"/>
    <w:rsid w:val="15901D57"/>
    <w:rsid w:val="15AD2149"/>
    <w:rsid w:val="15CF2C36"/>
    <w:rsid w:val="15D12949"/>
    <w:rsid w:val="15D44E6E"/>
    <w:rsid w:val="15F033EB"/>
    <w:rsid w:val="160B02C0"/>
    <w:rsid w:val="160E38C7"/>
    <w:rsid w:val="16227EBD"/>
    <w:rsid w:val="16657933"/>
    <w:rsid w:val="169D16DF"/>
    <w:rsid w:val="16A2604B"/>
    <w:rsid w:val="170B52CF"/>
    <w:rsid w:val="171073FB"/>
    <w:rsid w:val="17391F6D"/>
    <w:rsid w:val="173D7434"/>
    <w:rsid w:val="178265EA"/>
    <w:rsid w:val="17882960"/>
    <w:rsid w:val="17AF2089"/>
    <w:rsid w:val="17B556BD"/>
    <w:rsid w:val="17BB4ADD"/>
    <w:rsid w:val="17D144C2"/>
    <w:rsid w:val="17DA586C"/>
    <w:rsid w:val="17F73DA9"/>
    <w:rsid w:val="17FA037F"/>
    <w:rsid w:val="17FF580F"/>
    <w:rsid w:val="18454451"/>
    <w:rsid w:val="185661D9"/>
    <w:rsid w:val="1884470B"/>
    <w:rsid w:val="18905850"/>
    <w:rsid w:val="19045A73"/>
    <w:rsid w:val="19235761"/>
    <w:rsid w:val="19276D7C"/>
    <w:rsid w:val="1966370A"/>
    <w:rsid w:val="19784290"/>
    <w:rsid w:val="198F3CEB"/>
    <w:rsid w:val="19B34AB2"/>
    <w:rsid w:val="19F84710"/>
    <w:rsid w:val="19FB51B7"/>
    <w:rsid w:val="1A172680"/>
    <w:rsid w:val="1A245FD1"/>
    <w:rsid w:val="1A294537"/>
    <w:rsid w:val="1A7D449A"/>
    <w:rsid w:val="1A7E6083"/>
    <w:rsid w:val="1A7E6A27"/>
    <w:rsid w:val="1A8A36E6"/>
    <w:rsid w:val="1A8D60BE"/>
    <w:rsid w:val="1A98131B"/>
    <w:rsid w:val="1AAB100C"/>
    <w:rsid w:val="1AB84DC3"/>
    <w:rsid w:val="1ACF4BC4"/>
    <w:rsid w:val="1ADA6FC5"/>
    <w:rsid w:val="1AFC4C31"/>
    <w:rsid w:val="1B152AA1"/>
    <w:rsid w:val="1B242714"/>
    <w:rsid w:val="1B346468"/>
    <w:rsid w:val="1B3B1CE8"/>
    <w:rsid w:val="1B3C4395"/>
    <w:rsid w:val="1B7905BE"/>
    <w:rsid w:val="1BA53431"/>
    <w:rsid w:val="1BE25CA8"/>
    <w:rsid w:val="1BE40094"/>
    <w:rsid w:val="1BFD7E98"/>
    <w:rsid w:val="1C176AE4"/>
    <w:rsid w:val="1C1B1349"/>
    <w:rsid w:val="1CCE29D9"/>
    <w:rsid w:val="1CD43C05"/>
    <w:rsid w:val="1CD4571C"/>
    <w:rsid w:val="1D281611"/>
    <w:rsid w:val="1D2D2B8F"/>
    <w:rsid w:val="1D7E3D27"/>
    <w:rsid w:val="1DC37D3D"/>
    <w:rsid w:val="1DCA3B1D"/>
    <w:rsid w:val="1DD033C7"/>
    <w:rsid w:val="1DE55C1F"/>
    <w:rsid w:val="1E034B78"/>
    <w:rsid w:val="1E397D76"/>
    <w:rsid w:val="1E401B61"/>
    <w:rsid w:val="1E457A08"/>
    <w:rsid w:val="1E721198"/>
    <w:rsid w:val="1E772978"/>
    <w:rsid w:val="1E86753A"/>
    <w:rsid w:val="1EC65302"/>
    <w:rsid w:val="1EED6067"/>
    <w:rsid w:val="1EF0121F"/>
    <w:rsid w:val="1EF629EB"/>
    <w:rsid w:val="1F173361"/>
    <w:rsid w:val="1F1B2825"/>
    <w:rsid w:val="1F273332"/>
    <w:rsid w:val="1F2921E7"/>
    <w:rsid w:val="1F2B5F5F"/>
    <w:rsid w:val="1F6104C3"/>
    <w:rsid w:val="1FA6160F"/>
    <w:rsid w:val="1FA74F1E"/>
    <w:rsid w:val="1FBA23BF"/>
    <w:rsid w:val="201D0856"/>
    <w:rsid w:val="20511014"/>
    <w:rsid w:val="2084307F"/>
    <w:rsid w:val="208E4F4B"/>
    <w:rsid w:val="20B01E80"/>
    <w:rsid w:val="20C70868"/>
    <w:rsid w:val="20E75684"/>
    <w:rsid w:val="20F02AFB"/>
    <w:rsid w:val="21002310"/>
    <w:rsid w:val="21027A8D"/>
    <w:rsid w:val="21156013"/>
    <w:rsid w:val="21477AE7"/>
    <w:rsid w:val="214D4FA2"/>
    <w:rsid w:val="215660F5"/>
    <w:rsid w:val="21784F7F"/>
    <w:rsid w:val="218A342F"/>
    <w:rsid w:val="21A67188"/>
    <w:rsid w:val="21E8331B"/>
    <w:rsid w:val="22054918"/>
    <w:rsid w:val="220F6E3D"/>
    <w:rsid w:val="22216753"/>
    <w:rsid w:val="22441AE9"/>
    <w:rsid w:val="224430F5"/>
    <w:rsid w:val="224919FF"/>
    <w:rsid w:val="22E03ADC"/>
    <w:rsid w:val="22EC3D05"/>
    <w:rsid w:val="234B4401"/>
    <w:rsid w:val="235D5E4F"/>
    <w:rsid w:val="237F56D5"/>
    <w:rsid w:val="238169E5"/>
    <w:rsid w:val="23AF6D16"/>
    <w:rsid w:val="23CB40A5"/>
    <w:rsid w:val="23E9427F"/>
    <w:rsid w:val="24104E74"/>
    <w:rsid w:val="24170F8C"/>
    <w:rsid w:val="24176D15"/>
    <w:rsid w:val="241E6153"/>
    <w:rsid w:val="247D413D"/>
    <w:rsid w:val="2488586E"/>
    <w:rsid w:val="250B5AE2"/>
    <w:rsid w:val="25145881"/>
    <w:rsid w:val="252908C9"/>
    <w:rsid w:val="25375A5D"/>
    <w:rsid w:val="256946AC"/>
    <w:rsid w:val="259264D4"/>
    <w:rsid w:val="25A00075"/>
    <w:rsid w:val="25A94348"/>
    <w:rsid w:val="260A32CE"/>
    <w:rsid w:val="26371D51"/>
    <w:rsid w:val="26586833"/>
    <w:rsid w:val="265B08A2"/>
    <w:rsid w:val="266035B2"/>
    <w:rsid w:val="26A96BB0"/>
    <w:rsid w:val="26C22952"/>
    <w:rsid w:val="26C70F0C"/>
    <w:rsid w:val="26E31AD3"/>
    <w:rsid w:val="26F90129"/>
    <w:rsid w:val="272C1D08"/>
    <w:rsid w:val="273E60AA"/>
    <w:rsid w:val="275304F1"/>
    <w:rsid w:val="27A71150"/>
    <w:rsid w:val="27E31D23"/>
    <w:rsid w:val="282B3DC9"/>
    <w:rsid w:val="284F31CE"/>
    <w:rsid w:val="286F23CF"/>
    <w:rsid w:val="28B75C39"/>
    <w:rsid w:val="28BD4777"/>
    <w:rsid w:val="28E83E7E"/>
    <w:rsid w:val="29087368"/>
    <w:rsid w:val="292A7345"/>
    <w:rsid w:val="2958696F"/>
    <w:rsid w:val="29632E51"/>
    <w:rsid w:val="296879D0"/>
    <w:rsid w:val="296B0850"/>
    <w:rsid w:val="297A5862"/>
    <w:rsid w:val="299530EC"/>
    <w:rsid w:val="29CC3BEC"/>
    <w:rsid w:val="29EA33F1"/>
    <w:rsid w:val="2A0E5242"/>
    <w:rsid w:val="2A236814"/>
    <w:rsid w:val="2A355D04"/>
    <w:rsid w:val="2A3B3849"/>
    <w:rsid w:val="2A525002"/>
    <w:rsid w:val="2AC51FA5"/>
    <w:rsid w:val="2ACA685A"/>
    <w:rsid w:val="2AD85F1F"/>
    <w:rsid w:val="2B520D19"/>
    <w:rsid w:val="2BC3714A"/>
    <w:rsid w:val="2BEF5F4F"/>
    <w:rsid w:val="2BFF43F7"/>
    <w:rsid w:val="2C2A06E3"/>
    <w:rsid w:val="2C5A2065"/>
    <w:rsid w:val="2C9C7E5C"/>
    <w:rsid w:val="2CEE0D82"/>
    <w:rsid w:val="2CF31BF6"/>
    <w:rsid w:val="2D663CAF"/>
    <w:rsid w:val="2D7E5346"/>
    <w:rsid w:val="2D983FC9"/>
    <w:rsid w:val="2DA95365"/>
    <w:rsid w:val="2DE24607"/>
    <w:rsid w:val="2DF072E9"/>
    <w:rsid w:val="2E1C5DDC"/>
    <w:rsid w:val="2E2F0E9A"/>
    <w:rsid w:val="2E4F248F"/>
    <w:rsid w:val="2E564672"/>
    <w:rsid w:val="2E596390"/>
    <w:rsid w:val="2E9916D0"/>
    <w:rsid w:val="2F5311CA"/>
    <w:rsid w:val="2F68367D"/>
    <w:rsid w:val="2F7258D6"/>
    <w:rsid w:val="2F8E43C6"/>
    <w:rsid w:val="2FD13BE0"/>
    <w:rsid w:val="2FD1513F"/>
    <w:rsid w:val="2FF075E5"/>
    <w:rsid w:val="30031A16"/>
    <w:rsid w:val="30431DD9"/>
    <w:rsid w:val="30577DA0"/>
    <w:rsid w:val="305D1343"/>
    <w:rsid w:val="30844E89"/>
    <w:rsid w:val="30A41206"/>
    <w:rsid w:val="30CA4549"/>
    <w:rsid w:val="30E844F1"/>
    <w:rsid w:val="314B79FA"/>
    <w:rsid w:val="31573C99"/>
    <w:rsid w:val="31625F08"/>
    <w:rsid w:val="31657680"/>
    <w:rsid w:val="3170274B"/>
    <w:rsid w:val="31782FD4"/>
    <w:rsid w:val="3179473D"/>
    <w:rsid w:val="317A0201"/>
    <w:rsid w:val="31A82261"/>
    <w:rsid w:val="31AD47D4"/>
    <w:rsid w:val="31CD5B2E"/>
    <w:rsid w:val="31DA51F8"/>
    <w:rsid w:val="3204586C"/>
    <w:rsid w:val="321B3A59"/>
    <w:rsid w:val="32472DD3"/>
    <w:rsid w:val="32533715"/>
    <w:rsid w:val="32587576"/>
    <w:rsid w:val="328C4B2C"/>
    <w:rsid w:val="328F54DD"/>
    <w:rsid w:val="3294316E"/>
    <w:rsid w:val="32CA6379"/>
    <w:rsid w:val="33022726"/>
    <w:rsid w:val="331463AC"/>
    <w:rsid w:val="3322183E"/>
    <w:rsid w:val="33254438"/>
    <w:rsid w:val="334D4DC0"/>
    <w:rsid w:val="336D543C"/>
    <w:rsid w:val="33794F44"/>
    <w:rsid w:val="33A545C8"/>
    <w:rsid w:val="33D467A4"/>
    <w:rsid w:val="33F250BE"/>
    <w:rsid w:val="343519DF"/>
    <w:rsid w:val="34407C95"/>
    <w:rsid w:val="344F7408"/>
    <w:rsid w:val="34550FDC"/>
    <w:rsid w:val="34914FD6"/>
    <w:rsid w:val="34986030"/>
    <w:rsid w:val="34A11329"/>
    <w:rsid w:val="34D82C42"/>
    <w:rsid w:val="34F264A2"/>
    <w:rsid w:val="35211DD9"/>
    <w:rsid w:val="3524773D"/>
    <w:rsid w:val="352556CC"/>
    <w:rsid w:val="353736A2"/>
    <w:rsid w:val="35423B61"/>
    <w:rsid w:val="357708B4"/>
    <w:rsid w:val="358C272D"/>
    <w:rsid w:val="35AB5311"/>
    <w:rsid w:val="35B34C03"/>
    <w:rsid w:val="35BE79DF"/>
    <w:rsid w:val="35D72163"/>
    <w:rsid w:val="35DA19CF"/>
    <w:rsid w:val="35E5655E"/>
    <w:rsid w:val="35EE6ED5"/>
    <w:rsid w:val="35FD24D3"/>
    <w:rsid w:val="362A16CF"/>
    <w:rsid w:val="3633673F"/>
    <w:rsid w:val="36A302C9"/>
    <w:rsid w:val="36B32A2E"/>
    <w:rsid w:val="36E4415F"/>
    <w:rsid w:val="36EA5756"/>
    <w:rsid w:val="36FF0DC6"/>
    <w:rsid w:val="37057A2F"/>
    <w:rsid w:val="373976EA"/>
    <w:rsid w:val="37AD2322"/>
    <w:rsid w:val="37B249AD"/>
    <w:rsid w:val="37C1413D"/>
    <w:rsid w:val="37D378C1"/>
    <w:rsid w:val="37EE5A5C"/>
    <w:rsid w:val="38520C46"/>
    <w:rsid w:val="387855A4"/>
    <w:rsid w:val="38844C08"/>
    <w:rsid w:val="38974DED"/>
    <w:rsid w:val="38CD0F58"/>
    <w:rsid w:val="38DF529A"/>
    <w:rsid w:val="39160599"/>
    <w:rsid w:val="39254BDB"/>
    <w:rsid w:val="392E2EB6"/>
    <w:rsid w:val="39383E6D"/>
    <w:rsid w:val="39532F00"/>
    <w:rsid w:val="398D7694"/>
    <w:rsid w:val="39980912"/>
    <w:rsid w:val="399D237E"/>
    <w:rsid w:val="39BD01DF"/>
    <w:rsid w:val="39D75E3F"/>
    <w:rsid w:val="39F205FF"/>
    <w:rsid w:val="3A457575"/>
    <w:rsid w:val="3A4A6DFB"/>
    <w:rsid w:val="3A7F6092"/>
    <w:rsid w:val="3A8E4DC8"/>
    <w:rsid w:val="3A963551"/>
    <w:rsid w:val="3AE2623A"/>
    <w:rsid w:val="3B01090D"/>
    <w:rsid w:val="3B686577"/>
    <w:rsid w:val="3B6D15A5"/>
    <w:rsid w:val="3B983E6D"/>
    <w:rsid w:val="3BAC3CA5"/>
    <w:rsid w:val="3BEE0B52"/>
    <w:rsid w:val="3C0029D3"/>
    <w:rsid w:val="3C144B42"/>
    <w:rsid w:val="3C2A7E66"/>
    <w:rsid w:val="3C347E63"/>
    <w:rsid w:val="3C646AD6"/>
    <w:rsid w:val="3C83690E"/>
    <w:rsid w:val="3C901816"/>
    <w:rsid w:val="3C911BF8"/>
    <w:rsid w:val="3C9252E7"/>
    <w:rsid w:val="3C9B06FA"/>
    <w:rsid w:val="3CB826C4"/>
    <w:rsid w:val="3CBE5D50"/>
    <w:rsid w:val="3CDD2D8E"/>
    <w:rsid w:val="3CE519C8"/>
    <w:rsid w:val="3CF4746B"/>
    <w:rsid w:val="3D550A2E"/>
    <w:rsid w:val="3D70415D"/>
    <w:rsid w:val="3D9D370D"/>
    <w:rsid w:val="3DA55163"/>
    <w:rsid w:val="3DB06550"/>
    <w:rsid w:val="3DCC2D39"/>
    <w:rsid w:val="3DFF02A3"/>
    <w:rsid w:val="3E0710B8"/>
    <w:rsid w:val="3E4D3063"/>
    <w:rsid w:val="3E606031"/>
    <w:rsid w:val="3E8A20EB"/>
    <w:rsid w:val="3ECF0337"/>
    <w:rsid w:val="3F5E513E"/>
    <w:rsid w:val="3F650E8A"/>
    <w:rsid w:val="3F673878"/>
    <w:rsid w:val="3F735433"/>
    <w:rsid w:val="3F90663C"/>
    <w:rsid w:val="3F9E2488"/>
    <w:rsid w:val="3FD0570A"/>
    <w:rsid w:val="3FED3C5E"/>
    <w:rsid w:val="40507BB9"/>
    <w:rsid w:val="4065750C"/>
    <w:rsid w:val="40B74B53"/>
    <w:rsid w:val="40BE35BD"/>
    <w:rsid w:val="41122FAD"/>
    <w:rsid w:val="4136583F"/>
    <w:rsid w:val="41377072"/>
    <w:rsid w:val="41562505"/>
    <w:rsid w:val="41813090"/>
    <w:rsid w:val="418F1593"/>
    <w:rsid w:val="41AB4F9A"/>
    <w:rsid w:val="41BF3BF5"/>
    <w:rsid w:val="41CE63B1"/>
    <w:rsid w:val="41D25203"/>
    <w:rsid w:val="41DE3570"/>
    <w:rsid w:val="41EC4DAA"/>
    <w:rsid w:val="4210148D"/>
    <w:rsid w:val="423F58B0"/>
    <w:rsid w:val="429934E8"/>
    <w:rsid w:val="42AA7F19"/>
    <w:rsid w:val="42B32F9B"/>
    <w:rsid w:val="42D95732"/>
    <w:rsid w:val="431F6F1F"/>
    <w:rsid w:val="433C50BD"/>
    <w:rsid w:val="438B5E73"/>
    <w:rsid w:val="43AE7EE1"/>
    <w:rsid w:val="43EC0178"/>
    <w:rsid w:val="43FE6724"/>
    <w:rsid w:val="440B4E10"/>
    <w:rsid w:val="441B422B"/>
    <w:rsid w:val="441E6A00"/>
    <w:rsid w:val="44260042"/>
    <w:rsid w:val="447B6CF8"/>
    <w:rsid w:val="44807BA1"/>
    <w:rsid w:val="44CA56CE"/>
    <w:rsid w:val="44E80175"/>
    <w:rsid w:val="45073B29"/>
    <w:rsid w:val="455C7A38"/>
    <w:rsid w:val="459E634A"/>
    <w:rsid w:val="45BB7CBA"/>
    <w:rsid w:val="45C37E9B"/>
    <w:rsid w:val="45EC3CD2"/>
    <w:rsid w:val="46217F12"/>
    <w:rsid w:val="4632554C"/>
    <w:rsid w:val="463C096A"/>
    <w:rsid w:val="46420FDD"/>
    <w:rsid w:val="464D24D9"/>
    <w:rsid w:val="465B6096"/>
    <w:rsid w:val="465F3E4D"/>
    <w:rsid w:val="46A34271"/>
    <w:rsid w:val="47135520"/>
    <w:rsid w:val="47187D25"/>
    <w:rsid w:val="475F4D84"/>
    <w:rsid w:val="47A06DC2"/>
    <w:rsid w:val="47B55FCC"/>
    <w:rsid w:val="482049B8"/>
    <w:rsid w:val="48205E9C"/>
    <w:rsid w:val="4859688B"/>
    <w:rsid w:val="485A119F"/>
    <w:rsid w:val="48A41CF6"/>
    <w:rsid w:val="48BC1A01"/>
    <w:rsid w:val="48F61A1E"/>
    <w:rsid w:val="49524F2A"/>
    <w:rsid w:val="496968AA"/>
    <w:rsid w:val="496E2E1E"/>
    <w:rsid w:val="497C13E0"/>
    <w:rsid w:val="49941A2B"/>
    <w:rsid w:val="49C27C66"/>
    <w:rsid w:val="49CC0DA4"/>
    <w:rsid w:val="49E4564B"/>
    <w:rsid w:val="49FA43A2"/>
    <w:rsid w:val="4A134644"/>
    <w:rsid w:val="4A6C7EBE"/>
    <w:rsid w:val="4A735AA8"/>
    <w:rsid w:val="4A80186B"/>
    <w:rsid w:val="4AD431D8"/>
    <w:rsid w:val="4ADD1E9F"/>
    <w:rsid w:val="4AE87551"/>
    <w:rsid w:val="4B0F7E4E"/>
    <w:rsid w:val="4B1A3F72"/>
    <w:rsid w:val="4B1F428F"/>
    <w:rsid w:val="4BDC766C"/>
    <w:rsid w:val="4BDE31D2"/>
    <w:rsid w:val="4C057536"/>
    <w:rsid w:val="4C062E6C"/>
    <w:rsid w:val="4CA129E1"/>
    <w:rsid w:val="4CAF486E"/>
    <w:rsid w:val="4CCE4D7D"/>
    <w:rsid w:val="4CE340A0"/>
    <w:rsid w:val="4D577E38"/>
    <w:rsid w:val="4D5C6423"/>
    <w:rsid w:val="4D697F89"/>
    <w:rsid w:val="4D6D70E4"/>
    <w:rsid w:val="4D6D7ED5"/>
    <w:rsid w:val="4D7E1E74"/>
    <w:rsid w:val="4D8E08E2"/>
    <w:rsid w:val="4D9B4DDB"/>
    <w:rsid w:val="4DC341C6"/>
    <w:rsid w:val="4DE35E69"/>
    <w:rsid w:val="4DF472FD"/>
    <w:rsid w:val="4E437235"/>
    <w:rsid w:val="4E8808A0"/>
    <w:rsid w:val="4EA97D95"/>
    <w:rsid w:val="4EB85E8D"/>
    <w:rsid w:val="4EE327B1"/>
    <w:rsid w:val="4EEC06FD"/>
    <w:rsid w:val="4F1402FA"/>
    <w:rsid w:val="4F443B07"/>
    <w:rsid w:val="4F593195"/>
    <w:rsid w:val="4F601D5A"/>
    <w:rsid w:val="4F7D6DDC"/>
    <w:rsid w:val="4F8348A6"/>
    <w:rsid w:val="4F9A7056"/>
    <w:rsid w:val="4FBB5BF9"/>
    <w:rsid w:val="4FBF170E"/>
    <w:rsid w:val="4FC744A8"/>
    <w:rsid w:val="4FC8687C"/>
    <w:rsid w:val="4FE76925"/>
    <w:rsid w:val="500845F2"/>
    <w:rsid w:val="501971DD"/>
    <w:rsid w:val="501F0DAB"/>
    <w:rsid w:val="502D493D"/>
    <w:rsid w:val="505E3198"/>
    <w:rsid w:val="506574DE"/>
    <w:rsid w:val="50670702"/>
    <w:rsid w:val="50740AA5"/>
    <w:rsid w:val="50805AB1"/>
    <w:rsid w:val="50873DF8"/>
    <w:rsid w:val="509144A1"/>
    <w:rsid w:val="50920D69"/>
    <w:rsid w:val="50A70F42"/>
    <w:rsid w:val="50B113EE"/>
    <w:rsid w:val="50B2278D"/>
    <w:rsid w:val="50BB75E7"/>
    <w:rsid w:val="50C00A92"/>
    <w:rsid w:val="50D53744"/>
    <w:rsid w:val="50F83300"/>
    <w:rsid w:val="510730D0"/>
    <w:rsid w:val="51342DD7"/>
    <w:rsid w:val="516053E6"/>
    <w:rsid w:val="516C4A19"/>
    <w:rsid w:val="51705057"/>
    <w:rsid w:val="517F3B72"/>
    <w:rsid w:val="518171FB"/>
    <w:rsid w:val="51CC4F57"/>
    <w:rsid w:val="51CF1A35"/>
    <w:rsid w:val="52050F16"/>
    <w:rsid w:val="520A15DA"/>
    <w:rsid w:val="522711C5"/>
    <w:rsid w:val="523777A0"/>
    <w:rsid w:val="52663A93"/>
    <w:rsid w:val="52701F47"/>
    <w:rsid w:val="5293453F"/>
    <w:rsid w:val="52A467FF"/>
    <w:rsid w:val="52B0339C"/>
    <w:rsid w:val="52E9665A"/>
    <w:rsid w:val="530A7205"/>
    <w:rsid w:val="53197DFF"/>
    <w:rsid w:val="531B7A52"/>
    <w:rsid w:val="53306DEC"/>
    <w:rsid w:val="533F14A5"/>
    <w:rsid w:val="53EC3976"/>
    <w:rsid w:val="542514E9"/>
    <w:rsid w:val="54515EAA"/>
    <w:rsid w:val="54900FFC"/>
    <w:rsid w:val="54C40AAB"/>
    <w:rsid w:val="54CB274E"/>
    <w:rsid w:val="54D101FB"/>
    <w:rsid w:val="54E06335"/>
    <w:rsid w:val="54E46F93"/>
    <w:rsid w:val="55121926"/>
    <w:rsid w:val="551F405B"/>
    <w:rsid w:val="55484297"/>
    <w:rsid w:val="55643CBF"/>
    <w:rsid w:val="556713D6"/>
    <w:rsid w:val="5599263D"/>
    <w:rsid w:val="559E554F"/>
    <w:rsid w:val="55D529D8"/>
    <w:rsid w:val="564D4074"/>
    <w:rsid w:val="567A3A43"/>
    <w:rsid w:val="56BE30E1"/>
    <w:rsid w:val="56D5611F"/>
    <w:rsid w:val="56D740AF"/>
    <w:rsid w:val="56F40895"/>
    <w:rsid w:val="570A13CD"/>
    <w:rsid w:val="5769455E"/>
    <w:rsid w:val="57E45F2F"/>
    <w:rsid w:val="57F23D68"/>
    <w:rsid w:val="58030625"/>
    <w:rsid w:val="58054A3E"/>
    <w:rsid w:val="581F5DA5"/>
    <w:rsid w:val="582A11D1"/>
    <w:rsid w:val="582D74E0"/>
    <w:rsid w:val="58476A4B"/>
    <w:rsid w:val="58702B75"/>
    <w:rsid w:val="58897AC9"/>
    <w:rsid w:val="58971940"/>
    <w:rsid w:val="58BA7823"/>
    <w:rsid w:val="58E51782"/>
    <w:rsid w:val="58E71853"/>
    <w:rsid w:val="58FA51C1"/>
    <w:rsid w:val="592061AF"/>
    <w:rsid w:val="592D1FD7"/>
    <w:rsid w:val="595D46B5"/>
    <w:rsid w:val="59ED7E34"/>
    <w:rsid w:val="59F233D3"/>
    <w:rsid w:val="5A064C03"/>
    <w:rsid w:val="5A237893"/>
    <w:rsid w:val="5A5A0F94"/>
    <w:rsid w:val="5A635396"/>
    <w:rsid w:val="5AAE1A99"/>
    <w:rsid w:val="5AE254AD"/>
    <w:rsid w:val="5B1474C7"/>
    <w:rsid w:val="5B56107A"/>
    <w:rsid w:val="5BB01B3E"/>
    <w:rsid w:val="5BBA4EDA"/>
    <w:rsid w:val="5BC15693"/>
    <w:rsid w:val="5BDE0551"/>
    <w:rsid w:val="5BF253AA"/>
    <w:rsid w:val="5C0F5416"/>
    <w:rsid w:val="5C3051C0"/>
    <w:rsid w:val="5C4B0574"/>
    <w:rsid w:val="5C6529E3"/>
    <w:rsid w:val="5C677266"/>
    <w:rsid w:val="5C8F14E0"/>
    <w:rsid w:val="5C961C2A"/>
    <w:rsid w:val="5C9F15C5"/>
    <w:rsid w:val="5CC34857"/>
    <w:rsid w:val="5CDE4FBA"/>
    <w:rsid w:val="5D0957D0"/>
    <w:rsid w:val="5DCE3D2C"/>
    <w:rsid w:val="5DE15AF0"/>
    <w:rsid w:val="5E287B5B"/>
    <w:rsid w:val="5E2D6EF8"/>
    <w:rsid w:val="5E3102DC"/>
    <w:rsid w:val="5E9F61FF"/>
    <w:rsid w:val="5EA853C7"/>
    <w:rsid w:val="5EAD0B0D"/>
    <w:rsid w:val="5EC454C5"/>
    <w:rsid w:val="5EC752BE"/>
    <w:rsid w:val="5EC77556"/>
    <w:rsid w:val="5EC965ED"/>
    <w:rsid w:val="5EE708DA"/>
    <w:rsid w:val="5EEF0469"/>
    <w:rsid w:val="5F105D9E"/>
    <w:rsid w:val="5F182194"/>
    <w:rsid w:val="5F7F7BFB"/>
    <w:rsid w:val="5F9476A0"/>
    <w:rsid w:val="5FB75220"/>
    <w:rsid w:val="5FC52D25"/>
    <w:rsid w:val="5FE9103A"/>
    <w:rsid w:val="601174A4"/>
    <w:rsid w:val="602A2EC2"/>
    <w:rsid w:val="603F0567"/>
    <w:rsid w:val="60452295"/>
    <w:rsid w:val="60563052"/>
    <w:rsid w:val="605B38A0"/>
    <w:rsid w:val="606A4F83"/>
    <w:rsid w:val="6095498A"/>
    <w:rsid w:val="60BF115A"/>
    <w:rsid w:val="60D24406"/>
    <w:rsid w:val="60D36B04"/>
    <w:rsid w:val="610F3711"/>
    <w:rsid w:val="612B24D9"/>
    <w:rsid w:val="613C3827"/>
    <w:rsid w:val="61800A43"/>
    <w:rsid w:val="619A6E3A"/>
    <w:rsid w:val="619B589C"/>
    <w:rsid w:val="61A65B01"/>
    <w:rsid w:val="61B32308"/>
    <w:rsid w:val="61C437D1"/>
    <w:rsid w:val="61DB76A2"/>
    <w:rsid w:val="61E01A0E"/>
    <w:rsid w:val="62023ACC"/>
    <w:rsid w:val="62147E2C"/>
    <w:rsid w:val="621B4852"/>
    <w:rsid w:val="6231712E"/>
    <w:rsid w:val="6237531F"/>
    <w:rsid w:val="6243332A"/>
    <w:rsid w:val="624C4B5D"/>
    <w:rsid w:val="62655E72"/>
    <w:rsid w:val="626B3379"/>
    <w:rsid w:val="6287040E"/>
    <w:rsid w:val="62FF46A9"/>
    <w:rsid w:val="630E55F3"/>
    <w:rsid w:val="63280F4D"/>
    <w:rsid w:val="635032D9"/>
    <w:rsid w:val="63562649"/>
    <w:rsid w:val="636269F6"/>
    <w:rsid w:val="63A26EDD"/>
    <w:rsid w:val="63E82BDB"/>
    <w:rsid w:val="63F34273"/>
    <w:rsid w:val="644E7BCE"/>
    <w:rsid w:val="645E09AA"/>
    <w:rsid w:val="646A422C"/>
    <w:rsid w:val="64767B10"/>
    <w:rsid w:val="647E49C4"/>
    <w:rsid w:val="649012A8"/>
    <w:rsid w:val="64A5599A"/>
    <w:rsid w:val="64C92049"/>
    <w:rsid w:val="64EC05D9"/>
    <w:rsid w:val="65015C87"/>
    <w:rsid w:val="65090C70"/>
    <w:rsid w:val="650C3A24"/>
    <w:rsid w:val="650D4175"/>
    <w:rsid w:val="651C6E91"/>
    <w:rsid w:val="651D40CE"/>
    <w:rsid w:val="65207A1B"/>
    <w:rsid w:val="652655A9"/>
    <w:rsid w:val="65532924"/>
    <w:rsid w:val="657276B7"/>
    <w:rsid w:val="65C84952"/>
    <w:rsid w:val="664C7E1E"/>
    <w:rsid w:val="669A52D2"/>
    <w:rsid w:val="66A65106"/>
    <w:rsid w:val="66B24DD8"/>
    <w:rsid w:val="66EA1172"/>
    <w:rsid w:val="6708024B"/>
    <w:rsid w:val="672D7168"/>
    <w:rsid w:val="67310ACC"/>
    <w:rsid w:val="6735161A"/>
    <w:rsid w:val="673B0927"/>
    <w:rsid w:val="67512EFD"/>
    <w:rsid w:val="67712161"/>
    <w:rsid w:val="67894949"/>
    <w:rsid w:val="67AC746B"/>
    <w:rsid w:val="67F777E3"/>
    <w:rsid w:val="6817744D"/>
    <w:rsid w:val="682A76F6"/>
    <w:rsid w:val="68505D2F"/>
    <w:rsid w:val="68541021"/>
    <w:rsid w:val="68914B94"/>
    <w:rsid w:val="68D957C7"/>
    <w:rsid w:val="68E453CF"/>
    <w:rsid w:val="68FD606C"/>
    <w:rsid w:val="68FE388E"/>
    <w:rsid w:val="690C2BF1"/>
    <w:rsid w:val="69135178"/>
    <w:rsid w:val="697828BC"/>
    <w:rsid w:val="697A4A08"/>
    <w:rsid w:val="69BC2CF0"/>
    <w:rsid w:val="69BF56FB"/>
    <w:rsid w:val="69C23807"/>
    <w:rsid w:val="69C52B34"/>
    <w:rsid w:val="69D22210"/>
    <w:rsid w:val="69DC7CB9"/>
    <w:rsid w:val="69F73093"/>
    <w:rsid w:val="69F80F05"/>
    <w:rsid w:val="6A0A2B2F"/>
    <w:rsid w:val="6A5A1334"/>
    <w:rsid w:val="6A641C45"/>
    <w:rsid w:val="6A6500F8"/>
    <w:rsid w:val="6AD56F4E"/>
    <w:rsid w:val="6AD91CCC"/>
    <w:rsid w:val="6ADE3DF4"/>
    <w:rsid w:val="6AE13CBA"/>
    <w:rsid w:val="6AF906C7"/>
    <w:rsid w:val="6AF94973"/>
    <w:rsid w:val="6B50638F"/>
    <w:rsid w:val="6B536860"/>
    <w:rsid w:val="6B787B2F"/>
    <w:rsid w:val="6B8C5BE5"/>
    <w:rsid w:val="6B9867D4"/>
    <w:rsid w:val="6BCA3F64"/>
    <w:rsid w:val="6BFB6DD4"/>
    <w:rsid w:val="6C1E7156"/>
    <w:rsid w:val="6C454E7C"/>
    <w:rsid w:val="6C6A5C2E"/>
    <w:rsid w:val="6C812C69"/>
    <w:rsid w:val="6C89291F"/>
    <w:rsid w:val="6C8C777F"/>
    <w:rsid w:val="6C9B2A75"/>
    <w:rsid w:val="6CA010F1"/>
    <w:rsid w:val="6CAC749C"/>
    <w:rsid w:val="6CBF5C55"/>
    <w:rsid w:val="6CF04C2A"/>
    <w:rsid w:val="6CF6498B"/>
    <w:rsid w:val="6D1506D9"/>
    <w:rsid w:val="6D292761"/>
    <w:rsid w:val="6D40164D"/>
    <w:rsid w:val="6D59434C"/>
    <w:rsid w:val="6DBE188A"/>
    <w:rsid w:val="6DD34209"/>
    <w:rsid w:val="6DDC5BB9"/>
    <w:rsid w:val="6DE8596C"/>
    <w:rsid w:val="6E013F66"/>
    <w:rsid w:val="6E0A5845"/>
    <w:rsid w:val="6E303432"/>
    <w:rsid w:val="6E3E3675"/>
    <w:rsid w:val="6E762D01"/>
    <w:rsid w:val="6E9663C2"/>
    <w:rsid w:val="6ECE20B2"/>
    <w:rsid w:val="6EE87684"/>
    <w:rsid w:val="6F137894"/>
    <w:rsid w:val="6F517641"/>
    <w:rsid w:val="6F7633A5"/>
    <w:rsid w:val="6F925757"/>
    <w:rsid w:val="6FA256E8"/>
    <w:rsid w:val="6FB76EBF"/>
    <w:rsid w:val="6FB85120"/>
    <w:rsid w:val="6FEA2FF0"/>
    <w:rsid w:val="6FFD13F4"/>
    <w:rsid w:val="702953A0"/>
    <w:rsid w:val="70595BE9"/>
    <w:rsid w:val="705A3696"/>
    <w:rsid w:val="70FA45B8"/>
    <w:rsid w:val="71436F77"/>
    <w:rsid w:val="714929E0"/>
    <w:rsid w:val="71521BCC"/>
    <w:rsid w:val="7157362E"/>
    <w:rsid w:val="71692F8B"/>
    <w:rsid w:val="719B08B2"/>
    <w:rsid w:val="71B56161"/>
    <w:rsid w:val="7207255E"/>
    <w:rsid w:val="7224471F"/>
    <w:rsid w:val="72724EC4"/>
    <w:rsid w:val="72A33D7D"/>
    <w:rsid w:val="72DB43FE"/>
    <w:rsid w:val="72E40249"/>
    <w:rsid w:val="73102D6C"/>
    <w:rsid w:val="7319138B"/>
    <w:rsid w:val="7327742A"/>
    <w:rsid w:val="73682B0A"/>
    <w:rsid w:val="73732F83"/>
    <w:rsid w:val="737648C1"/>
    <w:rsid w:val="73EC5212"/>
    <w:rsid w:val="73FE1BB7"/>
    <w:rsid w:val="742B0957"/>
    <w:rsid w:val="74AB48D3"/>
    <w:rsid w:val="74CD7A17"/>
    <w:rsid w:val="74E82C67"/>
    <w:rsid w:val="750D3117"/>
    <w:rsid w:val="75561D63"/>
    <w:rsid w:val="755B7A87"/>
    <w:rsid w:val="758177FD"/>
    <w:rsid w:val="75933CE5"/>
    <w:rsid w:val="75BE36C8"/>
    <w:rsid w:val="75C53DB1"/>
    <w:rsid w:val="75DB7A6B"/>
    <w:rsid w:val="76550707"/>
    <w:rsid w:val="767729D3"/>
    <w:rsid w:val="76794C21"/>
    <w:rsid w:val="768112C4"/>
    <w:rsid w:val="76BA75B3"/>
    <w:rsid w:val="76EC1706"/>
    <w:rsid w:val="77505B30"/>
    <w:rsid w:val="776A2399"/>
    <w:rsid w:val="776A5E3E"/>
    <w:rsid w:val="776D675E"/>
    <w:rsid w:val="778E1E14"/>
    <w:rsid w:val="77B17392"/>
    <w:rsid w:val="77D165C8"/>
    <w:rsid w:val="781749B4"/>
    <w:rsid w:val="78260083"/>
    <w:rsid w:val="782A2FFB"/>
    <w:rsid w:val="78364F16"/>
    <w:rsid w:val="78427BEC"/>
    <w:rsid w:val="78813527"/>
    <w:rsid w:val="789F4C3B"/>
    <w:rsid w:val="78DB5DF5"/>
    <w:rsid w:val="78FF497F"/>
    <w:rsid w:val="792C2EFD"/>
    <w:rsid w:val="79476484"/>
    <w:rsid w:val="79714CF9"/>
    <w:rsid w:val="797C3D7A"/>
    <w:rsid w:val="79AD7D22"/>
    <w:rsid w:val="79CA2CC0"/>
    <w:rsid w:val="79DF0B15"/>
    <w:rsid w:val="79E54D60"/>
    <w:rsid w:val="7A122C2A"/>
    <w:rsid w:val="7A310118"/>
    <w:rsid w:val="7A356810"/>
    <w:rsid w:val="7A3952C9"/>
    <w:rsid w:val="7A896402"/>
    <w:rsid w:val="7AAB5C65"/>
    <w:rsid w:val="7AC755BE"/>
    <w:rsid w:val="7ACF62FA"/>
    <w:rsid w:val="7ADD3F83"/>
    <w:rsid w:val="7AF30505"/>
    <w:rsid w:val="7B0E0E16"/>
    <w:rsid w:val="7B9A3E1F"/>
    <w:rsid w:val="7BC71355"/>
    <w:rsid w:val="7BD37424"/>
    <w:rsid w:val="7BD849A7"/>
    <w:rsid w:val="7BDD2205"/>
    <w:rsid w:val="7C050DD3"/>
    <w:rsid w:val="7C1A2776"/>
    <w:rsid w:val="7C6046AD"/>
    <w:rsid w:val="7C716777"/>
    <w:rsid w:val="7C841D9F"/>
    <w:rsid w:val="7C891274"/>
    <w:rsid w:val="7C9C560A"/>
    <w:rsid w:val="7CB47160"/>
    <w:rsid w:val="7D2356F0"/>
    <w:rsid w:val="7D2E4BBB"/>
    <w:rsid w:val="7D395B0D"/>
    <w:rsid w:val="7D4A4938"/>
    <w:rsid w:val="7D5014AB"/>
    <w:rsid w:val="7D727263"/>
    <w:rsid w:val="7DA92254"/>
    <w:rsid w:val="7DB21778"/>
    <w:rsid w:val="7DEB276B"/>
    <w:rsid w:val="7E120404"/>
    <w:rsid w:val="7E1A6D92"/>
    <w:rsid w:val="7ED816E4"/>
    <w:rsid w:val="7EEB5E36"/>
    <w:rsid w:val="7EF85831"/>
    <w:rsid w:val="7F014569"/>
    <w:rsid w:val="7F0632DB"/>
    <w:rsid w:val="7F084FFF"/>
    <w:rsid w:val="7F1E0C62"/>
    <w:rsid w:val="7F28665A"/>
    <w:rsid w:val="7F5547CA"/>
    <w:rsid w:val="7F7126DB"/>
    <w:rsid w:val="7FA07C02"/>
    <w:rsid w:val="7FAB5432"/>
    <w:rsid w:val="7FB44CCA"/>
    <w:rsid w:val="7FF472D7"/>
    <w:rsid w:val="7FF61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Times New Roman"/>
      <w:kern w:val="2"/>
      <w:sz w:val="32"/>
      <w:szCs w:val="24"/>
      <w:lang w:val="en-US" w:eastAsia="zh-CN" w:bidi="ar-SA"/>
    </w:rPr>
  </w:style>
  <w:style w:type="paragraph" w:styleId="3">
    <w:name w:val="heading 2"/>
    <w:basedOn w:val="1"/>
    <w:next w:val="1"/>
    <w:link w:val="10"/>
    <w:qFormat/>
    <w:uiPriority w:val="0"/>
    <w:pPr>
      <w:ind w:firstLine="200" w:firstLineChars="200"/>
      <w:outlineLvl w:val="1"/>
    </w:pPr>
    <w:rPr>
      <w:rFonts w:eastAsia="楷体_GB2312" w:cs="Times New Roman"/>
      <w:bCs/>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rPr>
      <w:rFonts w:ascii="Times New Roman" w:hAnsi="Times New Roman" w:eastAsia="仿宋_GB2312" w:cs="Times New Roman"/>
      <w:sz w:val="32"/>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spacing w:beforeAutospacing="1" w:after="100" w:afterAutospacing="1"/>
      <w:ind w:left="0" w:right="0"/>
      <w:jc w:val="left"/>
    </w:pPr>
    <w:rPr>
      <w:rFonts w:cs="Times New Roman"/>
      <w:kern w:val="0"/>
      <w:sz w:val="24"/>
      <w:lang w:val="en-US" w:eastAsia="zh-CN"/>
    </w:rPr>
  </w:style>
  <w:style w:type="character" w:styleId="9">
    <w:name w:val="Strong"/>
    <w:basedOn w:val="8"/>
    <w:qFormat/>
    <w:uiPriority w:val="0"/>
    <w:rPr>
      <w:rFonts w:ascii="Times New Roman" w:hAnsi="Times New Roman" w:eastAsia="宋体" w:cs="Times New Roman"/>
      <w:b/>
    </w:rPr>
  </w:style>
  <w:style w:type="character" w:customStyle="1" w:styleId="10">
    <w:name w:val="标题 2 Char"/>
    <w:link w:val="3"/>
    <w:qFormat/>
    <w:uiPriority w:val="0"/>
    <w:rPr>
      <w:rFonts w:eastAsia="楷体_GB2312" w:cs="Times New Roman"/>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2023-10-18T09:25:00Z</dcterms:created>
  <dc:creator>沈秋虹</dc:creator>
  <cp:lastModifiedBy>沈秋虹</cp:lastModifiedBy>
  <dcterms:modified xsi:type="dcterms:W3CDTF">2023-10-18T09:33:01Z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5D18FE755F064924B9B3BE81F977EC6B</vt:lpwstr>
  </property>
</Properties>
</file>