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 w:color="00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 汕尾站2024年生态环境监测能力建设项目设备清单</w:t>
      </w:r>
    </w:p>
    <w:tbl>
      <w:tblPr>
        <w:tblStyle w:val="7"/>
        <w:tblW w:w="95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04"/>
        <w:gridCol w:w="5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全自动流动分析仪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用于测定水中氰化物、六价铬等，满足相关标准要求。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恒温恒湿自动称重系统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用于测定颗粒物、悬浮物，具备恒温恒湿功能，可实现自动称重，满足相关标准要求。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恒星式球磨仪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用于土壤研磨。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粉体筛分仪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用于土壤筛分。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全自动土壤有机质分析仪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用于土壤有机质的自动测定，满足相关标准要求。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阳离子交换量前处理系统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用于土壤阳离子交换量前处理，满足相关标准要求。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全自动滴定仪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可用于CODCr、总硬度、高锰酸盐指数自动滴定，满足相关标准要求。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全自动测油仪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测定水中石油类，可实现自动萃取自动测定，满足相关标准要求。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显微镜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用于水生生物计数，满足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HJ1216-2021 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使用要求。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纯水机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用于实验室制备纯水及超纯水。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恒温干燥箱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具备恒温恒湿功能。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烘箱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用于样品的烘干。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样品冷藏柜（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2-5℃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用于样品冷藏。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药品阴凉柜（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2-10℃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用于药品试剂标准物质冷藏。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冰箱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具备冷藏及冷冻功能。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用于水质或土壤样品加热消解。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高温电热板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用于土壤或水质样品消解加热。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微生物培养箱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用于培养微生物，测定BOD5。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光照培养箱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用于细菌、霉菌、微生物的培养及育种试验。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VPN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设备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空气自动站VPN设备。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臭氧校准仪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具有具有低浓度O3气体发生和分析功能，满足《</w:t>
            </w: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HJ 1099-2020  </w:t>
            </w:r>
            <w:r>
              <w:rPr>
                <w:rStyle w:val="10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环境空气臭氧监测一级校准技术规范》要求。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动态校准仪</w:t>
            </w:r>
            <w:r>
              <w:rPr>
                <w:rStyle w:val="11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+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零气发生器（带零气泵）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用于环境空气质量检测仪器的校准，满足《环境空气气态污染物（SO2、NO2、O3、CO）连续自动监测系统运行和质控技术规范》（HJ 818-2018）要求。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0-20L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流量计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用于小、中、大流量采样器流量校准，便于携带，仪器符合《环境空气颗粒物（PM10 和 PM2.5）连续自动监测系统运行和质控技术规范(HJ 817-2018》等标准相关要求。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0-200ml</w:t>
            </w:r>
            <w:r>
              <w:rPr>
                <w:rStyle w:val="12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流量计</w:t>
            </w:r>
          </w:p>
        </w:tc>
        <w:tc>
          <w:tcPr>
            <w:tcW w:w="5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用于小、中、大流量采样器流量校准，便于携带，仪器符合《环境空气颗粒物（PM10 和 PM2.5）连续自动监测系统运行和质控技术规范(HJ 817-2018》等标准相关要求。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xMzc0YzdhZWUyZTEyNDY4MmYxYWYxM2RkZTQwYjMifQ=="/>
  </w:docVars>
  <w:rsids>
    <w:rsidRoot w:val="4FBD6EBE"/>
    <w:rsid w:val="4FBD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basedOn w:val="4"/>
    <w:qFormat/>
    <w:uiPriority w:val="99"/>
    <w:pPr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  <w:style w:type="paragraph" w:customStyle="1" w:styleId="4">
    <w:name w:val="正文_2"/>
    <w:next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5">
    <w:name w:val="纯文本1"/>
    <w:basedOn w:val="4"/>
    <w:qFormat/>
    <w:uiPriority w:val="0"/>
    <w:rPr>
      <w:rFonts w:ascii="宋体" w:hAnsi="Courier New" w:cs="Courier New"/>
      <w:szCs w:val="21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customStyle="1" w:styleId="9">
    <w:name w:val="font2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31"/>
    <w:basedOn w:val="8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8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61"/>
    <w:basedOn w:val="8"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省环境保护厅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2023-10-08T02:15:00Z</dcterms:created>
  <dc:creator>一一破折号</dc:creator>
  <cp:lastModifiedBy>一一破折号</cp:lastModifiedBy>
  <dcterms:modified xsi:type="dcterms:W3CDTF">2023-10-08T02:16:15Z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11AB0AF048F34DFBAFAE39CDD04889D6_11</vt:lpwstr>
  </property>
</Properties>
</file>