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Courier New" w:eastAsia="方正小标宋简体" w:cs="Courier New"/>
          <w:bCs/>
          <w:sz w:val="44"/>
          <w:szCs w:val="44"/>
        </w:rPr>
      </w:pPr>
      <w:r>
        <w:rPr>
          <w:rFonts w:hint="eastAsia" w:ascii="方正小标宋简体" w:hAnsi="Courier New" w:eastAsia="方正小标宋简体" w:cs="Courier New"/>
          <w:bCs/>
          <w:sz w:val="44"/>
          <w:szCs w:val="44"/>
        </w:rPr>
        <w:t>汕尾市</w:t>
      </w:r>
      <w:r>
        <w:rPr>
          <w:rFonts w:hint="eastAsia" w:ascii="方正小标宋简体" w:hAnsi="Courier New" w:eastAsia="方正小标宋简体" w:cs="Courier New"/>
          <w:bCs/>
          <w:sz w:val="44"/>
          <w:szCs w:val="44"/>
          <w:lang w:val="en-US" w:eastAsia="zh-CN"/>
        </w:rPr>
        <w:t>非医用口罩</w:t>
      </w:r>
      <w:r>
        <w:rPr>
          <w:rFonts w:hint="eastAsia" w:ascii="方正小标宋简体" w:hAnsi="Courier New" w:eastAsia="方正小标宋简体" w:cs="Courier New"/>
          <w:bCs/>
          <w:sz w:val="44"/>
          <w:szCs w:val="44"/>
        </w:rPr>
        <w:t>产品质量监督抽查</w:t>
      </w:r>
    </w:p>
    <w:p>
      <w:pPr>
        <w:spacing w:line="600" w:lineRule="exact"/>
        <w:jc w:val="center"/>
        <w:rPr>
          <w:rFonts w:ascii="方正小标宋简体" w:hAnsi="Courier New" w:eastAsia="方正小标宋简体" w:cs="Courier New"/>
          <w:bCs/>
          <w:sz w:val="44"/>
          <w:szCs w:val="44"/>
        </w:rPr>
      </w:pPr>
      <w:r>
        <w:rPr>
          <w:rFonts w:hint="eastAsia" w:ascii="方正小标宋简体" w:hAnsi="Courier New" w:eastAsia="方正小标宋简体" w:cs="Courier New"/>
          <w:bCs/>
          <w:sz w:val="44"/>
          <w:szCs w:val="44"/>
        </w:rPr>
        <w:t>实施细则</w:t>
      </w:r>
    </w:p>
    <w:p>
      <w:pPr>
        <w:spacing w:line="600" w:lineRule="exact"/>
        <w:jc w:val="center"/>
        <w:rPr>
          <w:rFonts w:ascii="方正小标宋简体" w:hAnsi="Courier New" w:eastAsia="方正小标宋简体" w:cs="Courier New"/>
          <w:bCs/>
          <w:sz w:val="44"/>
          <w:szCs w:val="44"/>
        </w:rPr>
      </w:pPr>
    </w:p>
    <w:p>
      <w:pPr>
        <w:spacing w:line="600" w:lineRule="exact"/>
        <w:ind w:firstLine="640" w:firstLineChars="200"/>
        <w:rPr>
          <w:rFonts w:ascii="黑体" w:hAnsi="黑体" w:eastAsia="黑体" w:cs="Courier New"/>
        </w:rPr>
      </w:pPr>
      <w:r>
        <w:rPr>
          <w:rFonts w:hint="eastAsia" w:ascii="黑体" w:hAnsi="黑体" w:eastAsia="黑体" w:cs="Courier New"/>
        </w:rPr>
        <w:t>一、抽样方法</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以随机抽样的方式在被抽样经营者的待销产品中抽取。</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随机数一般可使用随机数表等方法产生。</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抽查数量：每款产品抽</w:t>
      </w:r>
      <w:bookmarkStart w:id="0" w:name="_GoBack"/>
      <w:bookmarkEnd w:id="0"/>
      <w:r>
        <w:rPr>
          <w:rFonts w:ascii="仿宋_GB2312" w:hAnsi="仿宋_GB2312" w:eastAsia="仿宋_GB2312" w:cs="仿宋_GB2312"/>
          <w:kern w:val="0"/>
        </w:rPr>
        <w:t>取2组样本，第1组用于检验，第2组用于备样。具体抽样数量和方法如下：</w:t>
      </w:r>
    </w:p>
    <w:tbl>
      <w:tblPr>
        <w:tblStyle w:val="7"/>
        <w:tblW w:w="7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2361"/>
        <w:gridCol w:w="2097"/>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blHeader/>
          <w:jc w:val="center"/>
        </w:trPr>
        <w:tc>
          <w:tcPr>
            <w:tcW w:w="758" w:type="dxa"/>
            <w:vAlign w:val="center"/>
          </w:tcPr>
          <w:p>
            <w:pPr>
              <w:jc w:val="center"/>
              <w:rPr>
                <w:rFonts w:eastAsia="仿宋_GB2312"/>
                <w:bCs/>
                <w:sz w:val="21"/>
                <w:szCs w:val="21"/>
              </w:rPr>
            </w:pPr>
            <w:r>
              <w:rPr>
                <w:rFonts w:eastAsia="仿宋_GB2312"/>
                <w:bCs/>
                <w:sz w:val="21"/>
                <w:szCs w:val="21"/>
              </w:rPr>
              <w:t>序号</w:t>
            </w:r>
          </w:p>
        </w:tc>
        <w:tc>
          <w:tcPr>
            <w:tcW w:w="2361" w:type="dxa"/>
            <w:vAlign w:val="center"/>
          </w:tcPr>
          <w:p>
            <w:pPr>
              <w:jc w:val="center"/>
              <w:rPr>
                <w:rFonts w:eastAsia="仿宋_GB2312"/>
                <w:bCs/>
                <w:sz w:val="21"/>
                <w:szCs w:val="21"/>
              </w:rPr>
            </w:pPr>
            <w:r>
              <w:rPr>
                <w:rFonts w:eastAsia="仿宋_GB2312"/>
                <w:bCs/>
                <w:sz w:val="21"/>
                <w:szCs w:val="21"/>
              </w:rPr>
              <w:t>产品名称</w:t>
            </w:r>
          </w:p>
        </w:tc>
        <w:tc>
          <w:tcPr>
            <w:tcW w:w="2097" w:type="dxa"/>
            <w:vAlign w:val="center"/>
          </w:tcPr>
          <w:p>
            <w:pPr>
              <w:jc w:val="center"/>
              <w:rPr>
                <w:rFonts w:eastAsia="仿宋_GB2312"/>
                <w:bCs/>
                <w:sz w:val="21"/>
                <w:szCs w:val="21"/>
              </w:rPr>
            </w:pPr>
            <w:r>
              <w:rPr>
                <w:rFonts w:eastAsia="仿宋_GB2312"/>
                <w:bCs/>
                <w:sz w:val="21"/>
                <w:szCs w:val="21"/>
              </w:rPr>
              <w:t>第1组数量</w:t>
            </w:r>
          </w:p>
        </w:tc>
        <w:tc>
          <w:tcPr>
            <w:tcW w:w="2261" w:type="dxa"/>
            <w:vAlign w:val="center"/>
          </w:tcPr>
          <w:p>
            <w:pPr>
              <w:jc w:val="center"/>
              <w:rPr>
                <w:rFonts w:eastAsia="仿宋_GB2312"/>
                <w:bCs/>
                <w:sz w:val="21"/>
                <w:szCs w:val="21"/>
              </w:rPr>
            </w:pPr>
            <w:r>
              <w:rPr>
                <w:rFonts w:eastAsia="仿宋_GB2312"/>
                <w:bCs/>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1" w:hRule="atLeast"/>
          <w:jc w:val="center"/>
        </w:trPr>
        <w:tc>
          <w:tcPr>
            <w:tcW w:w="758" w:type="dxa"/>
            <w:vAlign w:val="center"/>
          </w:tcPr>
          <w:p>
            <w:pPr>
              <w:jc w:val="center"/>
              <w:rPr>
                <w:rFonts w:eastAsia="仿宋_GB2312"/>
                <w:sz w:val="21"/>
                <w:szCs w:val="21"/>
              </w:rPr>
            </w:pPr>
            <w:r>
              <w:rPr>
                <w:rFonts w:eastAsia="仿宋_GB2312"/>
                <w:sz w:val="21"/>
                <w:szCs w:val="21"/>
              </w:rPr>
              <w:t>1</w:t>
            </w:r>
          </w:p>
        </w:tc>
        <w:tc>
          <w:tcPr>
            <w:tcW w:w="2361" w:type="dxa"/>
            <w:vAlign w:val="center"/>
          </w:tcPr>
          <w:p>
            <w:pPr>
              <w:jc w:val="center"/>
              <w:rPr>
                <w:rFonts w:hint="default" w:eastAsia="仿宋_GB2312"/>
                <w:sz w:val="21"/>
                <w:szCs w:val="21"/>
                <w:lang w:val="en-US" w:eastAsia="zh-CN"/>
              </w:rPr>
            </w:pPr>
            <w:r>
              <w:rPr>
                <w:rFonts w:hint="eastAsia" w:eastAsia="仿宋_GB2312"/>
                <w:sz w:val="21"/>
                <w:szCs w:val="21"/>
                <w:lang w:val="en-US" w:eastAsia="zh-CN"/>
              </w:rPr>
              <w:t>非医用口罩</w:t>
            </w:r>
          </w:p>
        </w:tc>
        <w:tc>
          <w:tcPr>
            <w:tcW w:w="2097" w:type="dxa"/>
            <w:vAlign w:val="center"/>
          </w:tcPr>
          <w:p>
            <w:pPr>
              <w:keepNext w:val="0"/>
              <w:keepLines w:val="0"/>
              <w:suppressLineNumbers w:val="0"/>
              <w:adjustRightInd w:val="0"/>
              <w:snapToGrid w:val="0"/>
              <w:spacing w:before="0" w:beforeAutospacing="0" w:after="0" w:afterAutospacing="0" w:line="400" w:lineRule="exact"/>
              <w:ind w:left="0" w:leftChars="0" w:right="0" w:rightChars="0"/>
              <w:jc w:val="center"/>
              <w:rPr>
                <w:rFonts w:eastAsia="仿宋_GB2312"/>
                <w:color w:val="000000" w:themeColor="text1"/>
                <w:sz w:val="21"/>
                <w:szCs w:val="21"/>
                <w14:textFill>
                  <w14:solidFill>
                    <w14:schemeClr w14:val="tx1"/>
                  </w14:solidFill>
                </w14:textFill>
              </w:rPr>
            </w:pPr>
            <w:r>
              <w:rPr>
                <w:rFonts w:hint="eastAsia" w:ascii="仿宋_GB2312" w:cs="Times New Roman"/>
                <w:color w:val="000000" w:themeColor="text1"/>
                <w:sz w:val="24"/>
                <w:lang w:val="en-US" w:eastAsia="zh-CN"/>
                <w14:textFill>
                  <w14:solidFill>
                    <w14:schemeClr w14:val="tx1"/>
                  </w14:solidFill>
                </w14:textFill>
              </w:rPr>
              <w:t>40</w:t>
            </w:r>
            <w:r>
              <w:rPr>
                <w:rFonts w:hint="eastAsia" w:ascii="仿宋_GB2312" w:hAnsi="Times New Roman" w:cs="Times New Roman"/>
                <w:color w:val="000000" w:themeColor="text1"/>
                <w:sz w:val="24"/>
                <w14:textFill>
                  <w14:solidFill>
                    <w14:schemeClr w14:val="tx1"/>
                  </w14:solidFill>
                </w14:textFill>
              </w:rPr>
              <w:t>个</w:t>
            </w:r>
          </w:p>
        </w:tc>
        <w:tc>
          <w:tcPr>
            <w:tcW w:w="2261" w:type="dxa"/>
            <w:vAlign w:val="center"/>
          </w:tcPr>
          <w:p>
            <w:pPr>
              <w:keepNext w:val="0"/>
              <w:keepLines w:val="0"/>
              <w:suppressLineNumbers w:val="0"/>
              <w:adjustRightInd w:val="0"/>
              <w:snapToGrid w:val="0"/>
              <w:spacing w:before="0" w:beforeAutospacing="0" w:after="0" w:afterAutospacing="0" w:line="400" w:lineRule="exact"/>
              <w:ind w:left="0" w:leftChars="0" w:right="0" w:rightChars="0"/>
              <w:jc w:val="center"/>
              <w:rPr>
                <w:rFonts w:eastAsia="仿宋_GB2312"/>
                <w:color w:val="000000" w:themeColor="text1"/>
                <w:sz w:val="21"/>
                <w:szCs w:val="21"/>
                <w14:textFill>
                  <w14:solidFill>
                    <w14:schemeClr w14:val="tx1"/>
                  </w14:solidFill>
                </w14:textFill>
              </w:rPr>
            </w:pPr>
            <w:r>
              <w:rPr>
                <w:rFonts w:hint="eastAsia" w:ascii="仿宋_GB2312" w:cs="Times New Roman"/>
                <w:color w:val="000000" w:themeColor="text1"/>
                <w:sz w:val="24"/>
                <w:lang w:val="en-US" w:eastAsia="zh-CN"/>
                <w14:textFill>
                  <w14:solidFill>
                    <w14:schemeClr w14:val="tx1"/>
                  </w14:solidFill>
                </w14:textFill>
              </w:rPr>
              <w:t>40</w:t>
            </w:r>
            <w:r>
              <w:rPr>
                <w:rFonts w:hint="eastAsia" w:ascii="仿宋_GB2312" w:hAnsi="Times New Roman" w:cs="Times New Roman"/>
                <w:color w:val="000000" w:themeColor="text1"/>
                <w:sz w:val="24"/>
                <w14:textFill>
                  <w14:solidFill>
                    <w14:schemeClr w14:val="tx1"/>
                  </w14:solidFill>
                </w14:textFill>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7477" w:type="dxa"/>
            <w:gridSpan w:val="4"/>
            <w:vAlign w:val="center"/>
          </w:tcPr>
          <w:p>
            <w:pPr>
              <w:keepNext w:val="0"/>
              <w:keepLines w:val="0"/>
              <w:suppressLineNumbers w:val="0"/>
              <w:adjustRightInd w:val="0"/>
              <w:snapToGrid w:val="0"/>
              <w:spacing w:before="0" w:beforeAutospacing="0" w:after="0" w:afterAutospacing="0" w:line="400" w:lineRule="exact"/>
              <w:ind w:left="0" w:leftChars="0" w:right="0" w:rightChars="0"/>
              <w:jc w:val="left"/>
              <w:rPr>
                <w:rFonts w:hint="eastAsia" w:ascii="仿宋_GB2312" w:cs="Times New Roman"/>
                <w:color w:val="000000" w:themeColor="text1"/>
                <w:sz w:val="24"/>
                <w:lang w:val="en-US" w:eastAsia="zh-CN"/>
                <w14:textFill>
                  <w14:solidFill>
                    <w14:schemeClr w14:val="tx1"/>
                  </w14:solidFill>
                </w14:textFill>
              </w:rPr>
            </w:pPr>
            <w:r>
              <w:rPr>
                <w:rFonts w:hint="eastAsia" w:ascii="仿宋" w:hAnsi="仿宋"/>
                <w:sz w:val="24"/>
                <w:szCs w:val="24"/>
                <w:lang w:val="en-US" w:eastAsia="zh-CN"/>
              </w:rPr>
              <w:t>注：</w:t>
            </w:r>
            <w:r>
              <w:rPr>
                <w:rFonts w:hint="eastAsia" w:ascii="仿宋" w:hAnsi="仿宋" w:eastAsia="仿宋"/>
                <w:sz w:val="24"/>
                <w:szCs w:val="24"/>
              </w:rPr>
              <w:t>抽取检验样品或备用样品不足最小销售包装的整数倍时，抽取最小销售包装的整数倍，不破坏最小销售包装。</w:t>
            </w:r>
          </w:p>
        </w:tc>
      </w:tr>
    </w:tbl>
    <w:p>
      <w:pPr>
        <w:autoSpaceDE w:val="0"/>
        <w:autoSpaceDN w:val="0"/>
        <w:spacing w:line="600" w:lineRule="exact"/>
        <w:ind w:firstLine="640" w:firstLineChars="200"/>
        <w:rPr>
          <w:rFonts w:hint="eastAsia" w:ascii="仿宋_GB2312" w:hAnsi="仿宋_GB2312" w:eastAsia="仿宋_GB2312" w:cs="仿宋_GB2312"/>
          <w:kern w:val="0"/>
        </w:rPr>
      </w:pPr>
      <w:r>
        <w:rPr>
          <w:rFonts w:hint="eastAsia" w:ascii="仿宋_GB2312" w:hAnsi="仿宋_GB2312" w:eastAsia="仿宋_GB2312" w:cs="仿宋_GB2312"/>
          <w:kern w:val="0"/>
        </w:rPr>
        <w:t>抽查样品基数满足抽样数量即可。</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检验样品和备用样品应分别签封，确保防止拆封、封条完整、清晰，并注明“检验样品”或“备用样品”，一起寄/送给检验机构。封样单上应有被抽查企业和抽样人员双方的签名，注明抽样日期，并采用透明胶带缠裹。封好样后，可采取拍照、封样单骑缝签名、漆封、特殊材料等其他附加的防拆封措施。</w:t>
      </w:r>
    </w:p>
    <w:p>
      <w:pPr>
        <w:autoSpaceDE w:val="0"/>
        <w:autoSpaceDN w:val="0"/>
        <w:spacing w:line="600" w:lineRule="exact"/>
        <w:ind w:firstLine="640" w:firstLineChars="200"/>
        <w:rPr>
          <w:rFonts w:hint="eastAsia" w:ascii="黑体" w:hAnsi="黑体" w:eastAsia="黑体" w:cs="Courier New"/>
        </w:rPr>
      </w:pPr>
      <w:r>
        <w:rPr>
          <w:rFonts w:hint="eastAsia" w:ascii="黑体" w:hAnsi="黑体" w:eastAsia="黑体" w:cs="Courier New"/>
          <w:lang w:val="en-US" w:eastAsia="zh-CN"/>
        </w:rPr>
        <w:t>二、</w:t>
      </w:r>
      <w:r>
        <w:rPr>
          <w:rFonts w:hint="eastAsia" w:ascii="黑体" w:hAnsi="黑体" w:eastAsia="黑体" w:cs="Courier New"/>
        </w:rPr>
        <w:t>主要检验项目及检验项目属性划分</w:t>
      </w:r>
    </w:p>
    <w:p>
      <w:pPr>
        <w:snapToGrid w:val="0"/>
        <w:spacing w:line="400" w:lineRule="exact"/>
        <w:rPr>
          <w:rFonts w:ascii="仿宋_GB2312" w:hAnsi="仿宋_GB2312" w:cs="仿宋_GB2312"/>
          <w:color w:val="00000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2106"/>
        <w:gridCol w:w="2126"/>
        <w:gridCol w:w="788"/>
        <w:gridCol w:w="788"/>
        <w:gridCol w:w="789"/>
        <w:gridCol w:w="788"/>
        <w:gridCol w:w="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blHeader/>
          <w:jc w:val="center"/>
        </w:trPr>
        <w:tc>
          <w:tcPr>
            <w:tcW w:w="76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b/>
                <w:color w:val="000000"/>
                <w:sz w:val="24"/>
              </w:rPr>
            </w:pPr>
            <w:r>
              <w:rPr>
                <w:rFonts w:hint="eastAsia" w:ascii="仿宋_GB2312" w:hAnsi="仿宋_GB2312" w:cs="仿宋_GB2312"/>
                <w:b/>
                <w:color w:val="000000"/>
                <w:sz w:val="24"/>
              </w:rPr>
              <w:t>序号</w:t>
            </w:r>
          </w:p>
        </w:tc>
        <w:tc>
          <w:tcPr>
            <w:tcW w:w="210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b/>
                <w:color w:val="000000"/>
                <w:sz w:val="24"/>
              </w:rPr>
            </w:pPr>
            <w:r>
              <w:rPr>
                <w:rFonts w:hint="eastAsia" w:ascii="仿宋_GB2312" w:hAnsi="仿宋_GB2312" w:cs="仿宋_GB2312"/>
                <w:b/>
                <w:color w:val="000000"/>
                <w:sz w:val="24"/>
              </w:rPr>
              <w:t>检验项目</w:t>
            </w:r>
          </w:p>
        </w:tc>
        <w:tc>
          <w:tcPr>
            <w:tcW w:w="212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b/>
                <w:color w:val="000000"/>
                <w:sz w:val="24"/>
              </w:rPr>
            </w:pPr>
            <w:r>
              <w:rPr>
                <w:rFonts w:hint="eastAsia" w:ascii="仿宋_GB2312" w:hAnsi="仿宋_GB2312" w:cs="仿宋_GB2312"/>
                <w:b/>
                <w:color w:val="000000"/>
                <w:sz w:val="24"/>
              </w:rPr>
              <w:t>检验方法</w:t>
            </w:r>
          </w:p>
        </w:tc>
        <w:tc>
          <w:tcPr>
            <w:tcW w:w="788"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b/>
                <w:color w:val="000000"/>
                <w:sz w:val="24"/>
              </w:rPr>
            </w:pPr>
            <w:r>
              <w:rPr>
                <w:rFonts w:hint="eastAsia" w:ascii="仿宋_GB2312" w:hAnsi="仿宋_GB2312" w:cs="仿宋_GB2312"/>
                <w:b/>
                <w:color w:val="000000"/>
                <w:sz w:val="24"/>
              </w:rPr>
              <w:t>强制性</w:t>
            </w:r>
          </w:p>
        </w:tc>
        <w:tc>
          <w:tcPr>
            <w:tcW w:w="788"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b/>
                <w:color w:val="000000"/>
                <w:sz w:val="24"/>
              </w:rPr>
            </w:pPr>
            <w:r>
              <w:rPr>
                <w:rFonts w:hint="eastAsia" w:ascii="仿宋_GB2312" w:hAnsi="仿宋_GB2312" w:cs="仿宋_GB2312"/>
                <w:b/>
                <w:color w:val="000000"/>
                <w:sz w:val="24"/>
              </w:rPr>
              <w:t>非强制性</w:t>
            </w:r>
          </w:p>
        </w:tc>
        <w:tc>
          <w:tcPr>
            <w:tcW w:w="789"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b/>
                <w:color w:val="000000"/>
                <w:sz w:val="24"/>
              </w:rPr>
            </w:pPr>
            <w:r>
              <w:rPr>
                <w:rFonts w:hint="eastAsia" w:ascii="仿宋_GB2312" w:hAnsi="仿宋_GB2312" w:cs="仿宋_GB2312"/>
                <w:b/>
                <w:color w:val="000000"/>
                <w:sz w:val="24"/>
              </w:rPr>
              <w:t>重要项</w:t>
            </w:r>
          </w:p>
        </w:tc>
        <w:tc>
          <w:tcPr>
            <w:tcW w:w="788"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b/>
                <w:color w:val="000000"/>
                <w:sz w:val="24"/>
              </w:rPr>
            </w:pPr>
            <w:r>
              <w:rPr>
                <w:rFonts w:hint="eastAsia" w:ascii="仿宋_GB2312" w:hAnsi="仿宋_GB2312" w:cs="仿宋_GB2312"/>
                <w:b/>
                <w:color w:val="000000"/>
                <w:sz w:val="24"/>
              </w:rPr>
              <w:t>较重要项</w:t>
            </w:r>
          </w:p>
        </w:tc>
        <w:tc>
          <w:tcPr>
            <w:tcW w:w="789"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b/>
                <w:color w:val="000000"/>
                <w:sz w:val="24"/>
              </w:rPr>
            </w:pPr>
            <w:r>
              <w:rPr>
                <w:rFonts w:hint="eastAsia" w:ascii="仿宋_GB2312" w:hAnsi="仿宋_GB2312" w:cs="仿宋_GB2312"/>
                <w:b/>
                <w:color w:val="000000"/>
                <w:sz w:val="24"/>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1</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过滤效率</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GB 2626-2019</w:t>
            </w: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w:t>
            </w: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c>
          <w:tcPr>
            <w:tcW w:w="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w:t>
            </w: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c>
          <w:tcPr>
            <w:tcW w:w="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2</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吸气阻力</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GB 2626-2019</w:t>
            </w: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w:t>
            </w: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c>
          <w:tcPr>
            <w:tcW w:w="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w:t>
            </w:r>
          </w:p>
        </w:tc>
        <w:tc>
          <w:tcPr>
            <w:tcW w:w="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3</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呼气阻力</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GB 2626-2019</w:t>
            </w: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w:t>
            </w: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c>
          <w:tcPr>
            <w:tcW w:w="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w:t>
            </w:r>
          </w:p>
        </w:tc>
        <w:tc>
          <w:tcPr>
            <w:tcW w:w="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4</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呼气阀气密性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GB 2626-2019</w:t>
            </w: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w:t>
            </w: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c>
          <w:tcPr>
            <w:tcW w:w="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w:t>
            </w:r>
          </w:p>
        </w:tc>
        <w:tc>
          <w:tcPr>
            <w:tcW w:w="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5</w:t>
            </w:r>
          </w:p>
        </w:tc>
        <w:tc>
          <w:tcPr>
            <w:tcW w:w="21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头带</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GB 2626-2019</w:t>
            </w: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w:t>
            </w: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c>
          <w:tcPr>
            <w:tcW w:w="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c>
          <w:tcPr>
            <w:tcW w:w="7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r>
              <w:rPr>
                <w:rFonts w:hint="eastAsia" w:ascii="仿宋_GB2312" w:hAnsi="仿宋_GB2312" w:cs="仿宋_GB2312"/>
                <w:color w:val="000000"/>
                <w:sz w:val="24"/>
              </w:rPr>
              <w:t>●</w:t>
            </w:r>
          </w:p>
        </w:tc>
        <w:tc>
          <w:tcPr>
            <w:tcW w:w="78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仿宋_GB2312" w:hAnsi="仿宋_GB2312" w:cs="仿宋_GB2312"/>
                <w:color w:val="000000"/>
                <w:sz w:val="24"/>
              </w:rPr>
            </w:pPr>
          </w:p>
        </w:tc>
      </w:tr>
    </w:tbl>
    <w:p>
      <w:pPr>
        <w:ind w:firstLine="320" w:firstLineChars="100"/>
        <w:rPr>
          <w:rFonts w:eastAsia="黑体"/>
        </w:rPr>
      </w:pPr>
      <w:r>
        <w:rPr>
          <w:rFonts w:hint="eastAsia" w:eastAsia="黑体"/>
        </w:rPr>
        <w:t>三、判定规则</w:t>
      </w:r>
    </w:p>
    <w:p>
      <w:pPr>
        <w:ind w:firstLine="320" w:firstLineChars="100"/>
        <w:rPr>
          <w:rFonts w:ascii="楷体_GB2312" w:hAnsi="楷体_GB2312" w:eastAsia="楷体_GB2312" w:cs="楷体_GB2312"/>
        </w:rPr>
      </w:pPr>
      <w:r>
        <w:rPr>
          <w:rFonts w:hint="eastAsia" w:ascii="楷体_GB2312" w:hAnsi="楷体_GB2312" w:eastAsia="楷体_GB2312" w:cs="楷体_GB2312"/>
        </w:rPr>
        <w:t>（一）依据标准</w:t>
      </w:r>
    </w:p>
    <w:p>
      <w:pPr>
        <w:pStyle w:val="6"/>
        <w:widowControl/>
        <w:snapToGrid w:val="0"/>
        <w:spacing w:before="0" w:beforeAutospacing="0" w:after="0" w:afterAutospacing="0" w:line="520" w:lineRule="exact"/>
        <w:ind w:firstLine="640" w:firstLineChars="200"/>
        <w:rPr>
          <w:rFonts w:ascii="仿宋_GB2312" w:eastAsia="仿宋_GB2312"/>
          <w:sz w:val="32"/>
          <w:szCs w:val="32"/>
        </w:rPr>
      </w:pPr>
      <w:r>
        <w:rPr>
          <w:rFonts w:hint="eastAsia" w:ascii="仿宋_GB2312" w:eastAsia="仿宋_GB2312"/>
          <w:sz w:val="32"/>
          <w:szCs w:val="32"/>
        </w:rPr>
        <w:t>GB 2626-2019《呼吸防护 自吸过滤式防颗粒物呼吸器》</w:t>
      </w:r>
    </w:p>
    <w:p>
      <w:pPr>
        <w:ind w:firstLine="320" w:firstLineChars="100"/>
        <w:rPr>
          <w:rFonts w:ascii="楷体_GB2312" w:hAnsi="楷体_GB2312" w:eastAsia="楷体_GB2312" w:cs="楷体_GB2312"/>
        </w:rPr>
      </w:pPr>
      <w:r>
        <w:rPr>
          <w:rFonts w:hint="eastAsia" w:ascii="楷体_GB2312" w:hAnsi="楷体_GB2312" w:eastAsia="楷体_GB2312" w:cs="楷体_GB2312"/>
        </w:rPr>
        <w:t>（二）判定原则</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经检验，检验项目全部合格，判定为被抽查产品合格；检验项目中任一项或一项以上不合格，判定为被抽查产品不合格。</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被检产品明示的质量要求高于本细则中检验项目依据的标准要求时，应按被检产品明示的质量要求判定。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被检产品明示的质量要求低于本细则中检验项目依据的强制性标准要求时，应按照强制性标准要求判定。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被检产品明示的质量要求低于或包含本细则中检验项目依据的推荐性标准要求时，应以被检产品明示的质量要求判定。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被检产品明示的质量要求缺少本细则中检验项目依据的强制性标准要求时，应按照强制性标准要求判定。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被检产品明示的质量要求缺少本细则中检验项目依据的推荐性标准要求时，该项目不参与判定。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当被检样品未能提供有效的企业标准时，按相关国家或行业标准进行判定。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当被检样品标签标识中执行标准信息和产品类别信息不明或有误，影响检测和判定时，可根据产品特点等信息判断和选择相关标准进行检验，并应在检验报告中作出相关说明。</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按照产品质量相关法律法规的规定判定。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检验中发现因样品失效或者其他原因致使检验无法进行的，检验人员应如实记录，并提供相关证明材料，报送组织监督抽查的市场监管部门</w:t>
      </w:r>
      <w:r>
        <w:rPr>
          <w:rFonts w:ascii="仿宋_GB2312" w:hAnsi="仿宋_GB2312" w:eastAsia="仿宋_GB2312" w:cs="仿宋_GB2312"/>
          <w:kern w:val="0"/>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YjVjNWI5MzAzZTZmMWUwMWJlOWMwMWQxNmZkMjMifQ=="/>
  </w:docVars>
  <w:rsids>
    <w:rsidRoot w:val="00FA7094"/>
    <w:rsid w:val="00036BC7"/>
    <w:rsid w:val="0005045D"/>
    <w:rsid w:val="00063BD5"/>
    <w:rsid w:val="00092ABD"/>
    <w:rsid w:val="00116270"/>
    <w:rsid w:val="00120EFB"/>
    <w:rsid w:val="001221DB"/>
    <w:rsid w:val="00192BBD"/>
    <w:rsid w:val="001F5DD4"/>
    <w:rsid w:val="00201CDD"/>
    <w:rsid w:val="00223348"/>
    <w:rsid w:val="00250DFA"/>
    <w:rsid w:val="002923B9"/>
    <w:rsid w:val="00294579"/>
    <w:rsid w:val="00310C73"/>
    <w:rsid w:val="0039338B"/>
    <w:rsid w:val="003E2CB7"/>
    <w:rsid w:val="003E376E"/>
    <w:rsid w:val="003F599D"/>
    <w:rsid w:val="004015F5"/>
    <w:rsid w:val="004757C1"/>
    <w:rsid w:val="004A5090"/>
    <w:rsid w:val="004B2573"/>
    <w:rsid w:val="00544BE4"/>
    <w:rsid w:val="00592C01"/>
    <w:rsid w:val="005A0994"/>
    <w:rsid w:val="006238A1"/>
    <w:rsid w:val="00624315"/>
    <w:rsid w:val="00695250"/>
    <w:rsid w:val="006D4F7A"/>
    <w:rsid w:val="006D505E"/>
    <w:rsid w:val="006F4E7D"/>
    <w:rsid w:val="00724700"/>
    <w:rsid w:val="00732793"/>
    <w:rsid w:val="00734D56"/>
    <w:rsid w:val="00735F9B"/>
    <w:rsid w:val="0074286E"/>
    <w:rsid w:val="00752F93"/>
    <w:rsid w:val="0075545D"/>
    <w:rsid w:val="007646E1"/>
    <w:rsid w:val="007914F7"/>
    <w:rsid w:val="007A0EE2"/>
    <w:rsid w:val="007A10C3"/>
    <w:rsid w:val="007B0EC6"/>
    <w:rsid w:val="007F204B"/>
    <w:rsid w:val="00841ED0"/>
    <w:rsid w:val="00864370"/>
    <w:rsid w:val="00895950"/>
    <w:rsid w:val="008C102E"/>
    <w:rsid w:val="008C280B"/>
    <w:rsid w:val="008C40B7"/>
    <w:rsid w:val="008E2601"/>
    <w:rsid w:val="008E2990"/>
    <w:rsid w:val="008F74C7"/>
    <w:rsid w:val="00926BC7"/>
    <w:rsid w:val="00955B1A"/>
    <w:rsid w:val="009F07C3"/>
    <w:rsid w:val="00A02A33"/>
    <w:rsid w:val="00A40122"/>
    <w:rsid w:val="00A66D10"/>
    <w:rsid w:val="00A97411"/>
    <w:rsid w:val="00AC1C38"/>
    <w:rsid w:val="00AD49D1"/>
    <w:rsid w:val="00B22262"/>
    <w:rsid w:val="00B25DB1"/>
    <w:rsid w:val="00B7736F"/>
    <w:rsid w:val="00BA2151"/>
    <w:rsid w:val="00BA664E"/>
    <w:rsid w:val="00BB0B4C"/>
    <w:rsid w:val="00BC667E"/>
    <w:rsid w:val="00BD50D2"/>
    <w:rsid w:val="00C070D8"/>
    <w:rsid w:val="00C17D35"/>
    <w:rsid w:val="00C4082C"/>
    <w:rsid w:val="00C450FD"/>
    <w:rsid w:val="00C47CC9"/>
    <w:rsid w:val="00C512B6"/>
    <w:rsid w:val="00CC19A7"/>
    <w:rsid w:val="00D1464E"/>
    <w:rsid w:val="00D224DD"/>
    <w:rsid w:val="00D357A6"/>
    <w:rsid w:val="00D554F8"/>
    <w:rsid w:val="00D629E1"/>
    <w:rsid w:val="00E54840"/>
    <w:rsid w:val="00E56737"/>
    <w:rsid w:val="00E61CE3"/>
    <w:rsid w:val="00E72969"/>
    <w:rsid w:val="00E94DFB"/>
    <w:rsid w:val="00E9624B"/>
    <w:rsid w:val="00E977EC"/>
    <w:rsid w:val="00EC3EBE"/>
    <w:rsid w:val="00EE24A1"/>
    <w:rsid w:val="00F1323C"/>
    <w:rsid w:val="00F5376E"/>
    <w:rsid w:val="00F60942"/>
    <w:rsid w:val="00F8007C"/>
    <w:rsid w:val="00FA671C"/>
    <w:rsid w:val="00FA7094"/>
    <w:rsid w:val="00FA791E"/>
    <w:rsid w:val="00FB22F7"/>
    <w:rsid w:val="00FE6536"/>
    <w:rsid w:val="068154EF"/>
    <w:rsid w:val="08C8205D"/>
    <w:rsid w:val="0CAC4643"/>
    <w:rsid w:val="0D7C6A10"/>
    <w:rsid w:val="129E15CE"/>
    <w:rsid w:val="283F090E"/>
    <w:rsid w:val="2EF7784D"/>
    <w:rsid w:val="34592D57"/>
    <w:rsid w:val="38D429AD"/>
    <w:rsid w:val="39B06F76"/>
    <w:rsid w:val="44E4099F"/>
    <w:rsid w:val="4769005C"/>
    <w:rsid w:val="4FB235F0"/>
    <w:rsid w:val="53C20A91"/>
    <w:rsid w:val="570A1F63"/>
    <w:rsid w:val="57B362EE"/>
    <w:rsid w:val="5BEB6052"/>
    <w:rsid w:val="5F096FA4"/>
    <w:rsid w:val="631F0B45"/>
    <w:rsid w:val="70981F36"/>
    <w:rsid w:val="72E47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32"/>
      <w:szCs w:val="32"/>
      <w:lang w:val="en-US" w:eastAsia="zh-CN" w:bidi="ar-SA"/>
    </w:rPr>
  </w:style>
  <w:style w:type="paragraph" w:styleId="2">
    <w:name w:val="heading 1"/>
    <w:basedOn w:val="1"/>
    <w:next w:val="1"/>
    <w:link w:val="10"/>
    <w:qFormat/>
    <w:uiPriority w:val="0"/>
    <w:pPr>
      <w:jc w:val="center"/>
      <w:outlineLvl w:val="0"/>
    </w:pPr>
    <w:rPr>
      <w:rFonts w:ascii="方正小标宋简体" w:eastAsia="方正小标宋简体"/>
      <w:kern w:val="44"/>
      <w:sz w:val="38"/>
      <w:szCs w:val="2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unhideWhenUsed/>
    <w:qFormat/>
    <w:uiPriority w:val="0"/>
    <w:rPr>
      <w:rFonts w:ascii="宋体" w:hAnsi="Courier New" w:eastAsia="宋体" w:cs="Courier New"/>
      <w:sz w:val="21"/>
      <w:szCs w:val="21"/>
    </w:rPr>
  </w:style>
  <w:style w:type="paragraph" w:styleId="4">
    <w:name w:val="footer"/>
    <w:basedOn w:val="1"/>
    <w:link w:val="16"/>
    <w:qFormat/>
    <w:uiPriority w:val="0"/>
    <w:pPr>
      <w:tabs>
        <w:tab w:val="center" w:pos="4153"/>
        <w:tab w:val="right" w:pos="8306"/>
      </w:tabs>
      <w:snapToGrid w:val="0"/>
      <w:jc w:val="left"/>
    </w:pPr>
    <w:rPr>
      <w:rFonts w:eastAsia="仿宋_GB2312"/>
      <w:sz w:val="18"/>
      <w:szCs w:val="18"/>
    </w:rPr>
  </w:style>
  <w:style w:type="paragraph" w:styleId="5">
    <w:name w:val="header"/>
    <w:basedOn w:val="1"/>
    <w:link w:val="15"/>
    <w:uiPriority w:val="0"/>
    <w:pPr>
      <w:pBdr>
        <w:bottom w:val="single" w:color="auto" w:sz="6" w:space="1"/>
      </w:pBdr>
      <w:tabs>
        <w:tab w:val="center" w:pos="4153"/>
        <w:tab w:val="right" w:pos="8306"/>
      </w:tabs>
      <w:snapToGrid w:val="0"/>
      <w:jc w:val="center"/>
    </w:pPr>
    <w:rPr>
      <w:rFonts w:eastAsia="仿宋_GB2312"/>
      <w:sz w:val="18"/>
      <w:szCs w:val="18"/>
    </w:rPr>
  </w:style>
  <w:style w:type="paragraph" w:styleId="6">
    <w:name w:val="Normal (Web)"/>
    <w:qFormat/>
    <w:uiPriority w:val="0"/>
    <w:pPr>
      <w:widowControl w:val="0"/>
      <w:spacing w:before="100" w:beforeAutospacing="1" w:after="100" w:afterAutospacing="1"/>
      <w:jc w:val="left"/>
    </w:pPr>
    <w:rPr>
      <w:rFonts w:ascii="Calibri" w:hAnsi="Calibri" w:eastAsia="宋体" w:cs="Times New Roman"/>
      <w:kern w:val="0"/>
      <w:sz w:val="24"/>
      <w:szCs w:val="24"/>
      <w:lang w:val="en-US" w:eastAsia="zh-CN" w:bidi="ar-SA"/>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字符"/>
    <w:basedOn w:val="9"/>
    <w:link w:val="2"/>
    <w:qFormat/>
    <w:uiPriority w:val="0"/>
    <w:rPr>
      <w:rFonts w:ascii="方正小标宋简体" w:eastAsia="方正小标宋简体"/>
      <w:kern w:val="44"/>
      <w:sz w:val="38"/>
      <w:szCs w:val="24"/>
    </w:rPr>
  </w:style>
  <w:style w:type="character" w:customStyle="1" w:styleId="11">
    <w:name w:val="纯文本 字符"/>
    <w:basedOn w:val="9"/>
    <w:link w:val="3"/>
    <w:qFormat/>
    <w:uiPriority w:val="0"/>
    <w:rPr>
      <w:rFonts w:ascii="宋体" w:hAnsi="Courier New" w:cs="Courier New"/>
      <w:kern w:val="2"/>
      <w:sz w:val="21"/>
      <w:szCs w:val="21"/>
    </w:rPr>
  </w:style>
  <w:style w:type="table" w:customStyle="1" w:styleId="12">
    <w:name w:val="网格型1"/>
    <w:basedOn w:val="7"/>
    <w:unhideWhenUsed/>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_Style 14"/>
    <w:basedOn w:val="1"/>
    <w:qFormat/>
    <w:uiPriority w:val="34"/>
    <w:pPr>
      <w:ind w:firstLine="420" w:firstLineChars="200"/>
    </w:pPr>
    <w:rPr>
      <w:rFonts w:eastAsia="仿宋_GB2312"/>
      <w:sz w:val="30"/>
      <w:szCs w:val="24"/>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character" w:customStyle="1" w:styleId="15">
    <w:name w:val="页眉 字符"/>
    <w:basedOn w:val="9"/>
    <w:link w:val="5"/>
    <w:qFormat/>
    <w:uiPriority w:val="0"/>
    <w:rPr>
      <w:rFonts w:eastAsia="仿宋_GB2312"/>
      <w:kern w:val="2"/>
      <w:sz w:val="18"/>
      <w:szCs w:val="18"/>
    </w:rPr>
  </w:style>
  <w:style w:type="character" w:customStyle="1" w:styleId="16">
    <w:name w:val="页脚 字符"/>
    <w:basedOn w:val="9"/>
    <w:link w:val="4"/>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947</Words>
  <Characters>1003</Characters>
  <Lines>16</Lines>
  <Paragraphs>4</Paragraphs>
  <TotalTime>0</TotalTime>
  <ScaleCrop>false</ScaleCrop>
  <LinksUpToDate>false</LinksUpToDate>
  <CharactersWithSpaces>1010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2022-01-17T15:49:00Z</dcterms:created>
  <dc:creator>范士平</dc:creator>
  <cp:lastModifiedBy>李文湘</cp:lastModifiedBy>
  <cp:lastPrinted>2023-07-04T08:59:00Z</cp:lastPrinted>
  <dcterms:modified xsi:type="dcterms:W3CDTF">2023-08-14T02:49:22Z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ADA6986FD05F4E00A15A53A10945D75D_13</vt:lpwstr>
  </property>
</Properties>
</file>