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80" w:lineRule="exact"/>
        <w:jc w:val="center"/>
        <w:rPr>
          <w:rFonts w:eastAsia="方正小标宋简体" w:cs="方正小标宋简体"/>
          <w:sz w:val="44"/>
          <w:szCs w:val="44"/>
        </w:rPr>
      </w:pPr>
      <w:r>
        <w:rPr>
          <w:rFonts w:hint="eastAsia" w:eastAsia="方正小标宋简体" w:cs="方正小标宋简体"/>
          <w:sz w:val="44"/>
          <w:szCs w:val="44"/>
        </w:rPr>
        <w:t>汕尾市</w:t>
      </w:r>
      <w:r>
        <w:rPr>
          <w:rFonts w:hint="eastAsia" w:eastAsia="方正小标宋简体" w:cs="方正小标宋简体"/>
          <w:color w:val="000000"/>
          <w:sz w:val="44"/>
          <w:szCs w:val="44"/>
        </w:rPr>
        <w:t>成品油</w:t>
      </w:r>
      <w:r>
        <w:rPr>
          <w:rFonts w:hint="eastAsia" w:eastAsia="方正小标宋简体" w:cs="方正小标宋简体"/>
          <w:sz w:val="44"/>
          <w:szCs w:val="44"/>
        </w:rPr>
        <w:t>产品质量监督抽查</w:t>
      </w:r>
      <w:bookmarkStart w:id="0" w:name="_GoBack"/>
      <w:bookmarkEnd w:id="0"/>
      <w:r>
        <w:rPr>
          <w:rFonts w:hint="eastAsia" w:eastAsia="方正小标宋简体" w:cs="方正小标宋简体"/>
          <w:sz w:val="44"/>
          <w:szCs w:val="44"/>
        </w:rPr>
        <w:t>（快速检测）实施细则</w:t>
      </w:r>
    </w:p>
    <w:p>
      <w:pPr>
        <w:spacing w:line="580" w:lineRule="exact"/>
        <w:ind w:firstLine="640" w:firstLineChars="200"/>
        <w:rPr>
          <w:rFonts w:ascii="黑体" w:hAnsi="黑体" w:eastAsia="黑体" w:cs="黑体"/>
          <w:color w:val="000000"/>
          <w:szCs w:val="32"/>
        </w:rPr>
      </w:pPr>
    </w:p>
    <w:p>
      <w:pPr>
        <w:spacing w:line="580" w:lineRule="exact"/>
        <w:ind w:firstLine="640" w:firstLineChars="200"/>
        <w:rPr>
          <w:rFonts w:ascii="黑体" w:hAnsi="黑体" w:eastAsia="黑体" w:cs="黑体"/>
          <w:color w:val="000000"/>
          <w:szCs w:val="32"/>
        </w:rPr>
      </w:pPr>
      <w:r>
        <w:rPr>
          <w:rFonts w:hint="eastAsia" w:ascii="黑体" w:hAnsi="黑体" w:eastAsia="黑体" w:cs="黑体"/>
          <w:color w:val="000000"/>
          <w:szCs w:val="32"/>
        </w:rPr>
        <w:t>一、抽样方法</w:t>
      </w:r>
    </w:p>
    <w:p>
      <w:pPr>
        <w:widowControl/>
        <w:spacing w:line="580" w:lineRule="exact"/>
        <w:ind w:firstLine="640" w:firstLineChars="200"/>
        <w:rPr>
          <w:color w:val="000000"/>
          <w:kern w:val="0"/>
          <w:szCs w:val="32"/>
        </w:rPr>
      </w:pPr>
      <w:r>
        <w:rPr>
          <w:color w:val="000000"/>
          <w:kern w:val="0"/>
          <w:szCs w:val="32"/>
        </w:rPr>
        <w:t>以随机抽样的方式在被抽样经营者的待销产品中抽取。</w:t>
      </w:r>
    </w:p>
    <w:p>
      <w:pPr>
        <w:widowControl/>
        <w:spacing w:line="580" w:lineRule="exact"/>
        <w:ind w:firstLine="640" w:firstLineChars="200"/>
        <w:rPr>
          <w:color w:val="000000"/>
          <w:kern w:val="0"/>
          <w:szCs w:val="32"/>
        </w:rPr>
      </w:pPr>
      <w:r>
        <w:rPr>
          <w:color w:val="000000"/>
          <w:kern w:val="0"/>
          <w:szCs w:val="32"/>
        </w:rPr>
        <w:t>随机数一般可使用随机数表等方法产生。</w:t>
      </w:r>
    </w:p>
    <w:p>
      <w:pPr>
        <w:widowControl/>
        <w:spacing w:line="580" w:lineRule="exact"/>
        <w:ind w:firstLine="640" w:firstLineChars="200"/>
        <w:rPr>
          <w:color w:val="000000"/>
          <w:szCs w:val="32"/>
        </w:rPr>
      </w:pPr>
      <w:r>
        <w:rPr>
          <w:color w:val="000000"/>
          <w:kern w:val="0"/>
          <w:szCs w:val="32"/>
        </w:rPr>
        <w:t>抽查数量：</w:t>
      </w:r>
      <w:r>
        <w:rPr>
          <w:rFonts w:hint="eastAsia"/>
          <w:color w:val="000000"/>
          <w:kern w:val="0"/>
          <w:szCs w:val="32"/>
        </w:rPr>
        <w:t>每款产品抽取1组样本，每组样品量不少于3</w:t>
      </w:r>
      <w:r>
        <w:rPr>
          <w:color w:val="000000"/>
          <w:kern w:val="0"/>
          <w:szCs w:val="32"/>
        </w:rPr>
        <w:t>00</w:t>
      </w:r>
      <w:r>
        <w:rPr>
          <w:rFonts w:hint="eastAsia"/>
          <w:color w:val="000000"/>
          <w:kern w:val="0"/>
          <w:szCs w:val="32"/>
        </w:rPr>
        <w:t>m</w:t>
      </w:r>
      <w:r>
        <w:rPr>
          <w:color w:val="000000"/>
          <w:kern w:val="0"/>
          <w:szCs w:val="32"/>
        </w:rPr>
        <w:t>L</w:t>
      </w:r>
      <w:r>
        <w:rPr>
          <w:rFonts w:hint="eastAsia"/>
          <w:color w:val="000000"/>
          <w:kern w:val="0"/>
          <w:szCs w:val="32"/>
        </w:rPr>
        <w:t>。</w:t>
      </w:r>
      <w:r>
        <w:rPr>
          <w:rFonts w:hint="eastAsia"/>
          <w:color w:val="000000"/>
          <w:szCs w:val="32"/>
        </w:rPr>
        <w:t>具体抽样数量和方法如下</w:t>
      </w:r>
      <w:r>
        <w:rPr>
          <w:color w:val="000000"/>
          <w:szCs w:val="32"/>
        </w:rPr>
        <w:t>：</w:t>
      </w:r>
    </w:p>
    <w:p>
      <w:pPr>
        <w:pStyle w:val="7"/>
        <w:spacing w:line="580" w:lineRule="exact"/>
        <w:ind w:firstLine="64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在生产企业（油库）抽样时，按GB/T 4756-2015《石油液体手工取样法》规定的方法抽取样本；在加油站或燃油供应船舶或燃油供应车辆抽样时，直接在加油机加油枪或加油管出口处（或取样处）随机抽取样本。</w:t>
      </w:r>
    </w:p>
    <w:p>
      <w:pPr>
        <w:pStyle w:val="7"/>
        <w:spacing w:line="580" w:lineRule="exact"/>
        <w:ind w:firstLine="64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抽取样本前，通过油枪或油管将至少4L油品放出，清洗加油管，避免加油管污染样品，同时清洗取样容器至少3次。</w:t>
      </w:r>
    </w:p>
    <w:p>
      <w:pPr>
        <w:spacing w:line="580" w:lineRule="exact"/>
        <w:ind w:firstLine="640" w:firstLineChars="200"/>
        <w:rPr>
          <w:rFonts w:eastAsia="黑体" w:cs="黑体"/>
          <w:color w:val="000000"/>
          <w:szCs w:val="32"/>
        </w:rPr>
      </w:pPr>
      <w:r>
        <w:rPr>
          <w:rFonts w:hint="eastAsia" w:eastAsia="黑体" w:cs="黑体"/>
          <w:color w:val="000000"/>
          <w:szCs w:val="32"/>
        </w:rPr>
        <w:t>二、主要检验项目及检验项目属性划分</w:t>
      </w:r>
    </w:p>
    <w:p>
      <w:pPr>
        <w:pStyle w:val="7"/>
        <w:spacing w:line="580" w:lineRule="exact"/>
        <w:ind w:firstLine="640"/>
        <w:rPr>
          <w:rFonts w:ascii="Times New Roman" w:hAnsi="Times New Roman" w:eastAsia="楷体_GB2312" w:cs="楷体_GB2312"/>
          <w:color w:val="000000"/>
          <w:sz w:val="32"/>
          <w:szCs w:val="32"/>
        </w:rPr>
      </w:pPr>
      <w:r>
        <w:rPr>
          <w:rFonts w:hint="eastAsia" w:ascii="Times New Roman" w:hAnsi="Times New Roman" w:eastAsia="楷体_GB2312" w:cs="楷体_GB2312"/>
          <w:color w:val="000000"/>
          <w:sz w:val="32"/>
          <w:szCs w:val="32"/>
        </w:rPr>
        <w:t>（一）车用汽油</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1559"/>
        <w:gridCol w:w="2268"/>
        <w:gridCol w:w="652"/>
        <w:gridCol w:w="652"/>
        <w:gridCol w:w="652"/>
        <w:gridCol w:w="652"/>
        <w:gridCol w:w="6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04" w:type="dxa"/>
            <w:noWrap/>
            <w:vAlign w:val="center"/>
          </w:tcPr>
          <w:p>
            <w:pPr>
              <w:spacing w:before="120" w:line="280" w:lineRule="exact"/>
              <w:jc w:val="center"/>
              <w:rPr>
                <w:rFonts w:eastAsia="宋体"/>
                <w:b/>
                <w:bCs/>
                <w:sz w:val="21"/>
              </w:rPr>
            </w:pPr>
            <w:r>
              <w:rPr>
                <w:rFonts w:eastAsia="宋体"/>
                <w:b/>
                <w:bCs/>
                <w:sz w:val="21"/>
              </w:rPr>
              <w:t>序号</w:t>
            </w:r>
          </w:p>
        </w:tc>
        <w:tc>
          <w:tcPr>
            <w:tcW w:w="1559" w:type="dxa"/>
            <w:noWrap/>
            <w:vAlign w:val="center"/>
          </w:tcPr>
          <w:p>
            <w:pPr>
              <w:spacing w:before="120" w:line="280" w:lineRule="exact"/>
              <w:jc w:val="center"/>
              <w:rPr>
                <w:rFonts w:eastAsia="宋体"/>
                <w:b/>
                <w:bCs/>
                <w:sz w:val="21"/>
              </w:rPr>
            </w:pPr>
            <w:r>
              <w:rPr>
                <w:rFonts w:eastAsia="宋体"/>
                <w:b/>
                <w:bCs/>
                <w:sz w:val="21"/>
              </w:rPr>
              <w:t>检验项目</w:t>
            </w:r>
          </w:p>
        </w:tc>
        <w:tc>
          <w:tcPr>
            <w:tcW w:w="2268" w:type="dxa"/>
            <w:noWrap/>
            <w:vAlign w:val="center"/>
          </w:tcPr>
          <w:p>
            <w:pPr>
              <w:spacing w:before="120" w:line="280" w:lineRule="exact"/>
              <w:jc w:val="center"/>
              <w:rPr>
                <w:rFonts w:eastAsia="宋体"/>
                <w:b/>
                <w:bCs/>
                <w:sz w:val="21"/>
              </w:rPr>
            </w:pPr>
            <w:r>
              <w:rPr>
                <w:rFonts w:eastAsia="宋体"/>
                <w:b/>
                <w:bCs/>
                <w:sz w:val="24"/>
              </w:rPr>
              <w:t>检验方法</w:t>
            </w:r>
          </w:p>
        </w:tc>
        <w:tc>
          <w:tcPr>
            <w:tcW w:w="652" w:type="dxa"/>
            <w:noWrap/>
            <w:vAlign w:val="center"/>
          </w:tcPr>
          <w:p>
            <w:pPr>
              <w:spacing w:before="120" w:line="280" w:lineRule="exact"/>
              <w:jc w:val="center"/>
              <w:rPr>
                <w:rFonts w:eastAsia="宋体"/>
                <w:b/>
                <w:bCs/>
                <w:sz w:val="21"/>
              </w:rPr>
            </w:pPr>
            <w:r>
              <w:rPr>
                <w:rFonts w:eastAsia="宋体"/>
                <w:b/>
                <w:bCs/>
                <w:sz w:val="21"/>
              </w:rPr>
              <w:t>强制性</w:t>
            </w:r>
          </w:p>
        </w:tc>
        <w:tc>
          <w:tcPr>
            <w:tcW w:w="652" w:type="dxa"/>
            <w:noWrap/>
            <w:vAlign w:val="center"/>
          </w:tcPr>
          <w:p>
            <w:pPr>
              <w:spacing w:before="120" w:line="280" w:lineRule="exact"/>
              <w:jc w:val="center"/>
              <w:rPr>
                <w:rFonts w:eastAsia="宋体"/>
                <w:b/>
                <w:bCs/>
                <w:sz w:val="21"/>
              </w:rPr>
            </w:pPr>
            <w:r>
              <w:rPr>
                <w:rFonts w:eastAsia="宋体"/>
                <w:b/>
                <w:bCs/>
                <w:sz w:val="21"/>
              </w:rPr>
              <w:t>非强制性</w:t>
            </w:r>
          </w:p>
        </w:tc>
        <w:tc>
          <w:tcPr>
            <w:tcW w:w="652" w:type="dxa"/>
            <w:noWrap/>
            <w:vAlign w:val="center"/>
          </w:tcPr>
          <w:p>
            <w:pPr>
              <w:spacing w:before="120" w:line="280" w:lineRule="exact"/>
              <w:jc w:val="center"/>
              <w:rPr>
                <w:rFonts w:eastAsia="宋体"/>
                <w:b/>
                <w:bCs/>
                <w:sz w:val="21"/>
              </w:rPr>
            </w:pPr>
            <w:r>
              <w:rPr>
                <w:rFonts w:eastAsia="宋体"/>
                <w:b/>
                <w:bCs/>
                <w:sz w:val="21"/>
              </w:rPr>
              <w:t>重要项</w:t>
            </w:r>
          </w:p>
        </w:tc>
        <w:tc>
          <w:tcPr>
            <w:tcW w:w="652" w:type="dxa"/>
            <w:noWrap/>
            <w:vAlign w:val="center"/>
          </w:tcPr>
          <w:p>
            <w:pPr>
              <w:spacing w:before="120" w:line="280" w:lineRule="exact"/>
              <w:jc w:val="center"/>
              <w:rPr>
                <w:rFonts w:eastAsia="宋体"/>
                <w:b/>
                <w:bCs/>
                <w:sz w:val="21"/>
              </w:rPr>
            </w:pPr>
            <w:r>
              <w:rPr>
                <w:rFonts w:eastAsia="宋体"/>
                <w:b/>
                <w:bCs/>
                <w:sz w:val="21"/>
              </w:rPr>
              <w:t>较重要项</w:t>
            </w:r>
          </w:p>
        </w:tc>
        <w:tc>
          <w:tcPr>
            <w:tcW w:w="653" w:type="dxa"/>
            <w:noWrap/>
            <w:vAlign w:val="center"/>
          </w:tcPr>
          <w:p>
            <w:pPr>
              <w:spacing w:before="120" w:line="280" w:lineRule="exact"/>
              <w:jc w:val="center"/>
              <w:rPr>
                <w:rFonts w:eastAsia="宋体"/>
                <w:b/>
                <w:bCs/>
                <w:sz w:val="21"/>
              </w:rPr>
            </w:pPr>
            <w:r>
              <w:rPr>
                <w:rFonts w:eastAsia="宋体"/>
                <w:b/>
                <w:bCs/>
                <w:sz w:val="21"/>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704" w:type="dxa"/>
            <w:noWrap/>
            <w:vAlign w:val="center"/>
          </w:tcPr>
          <w:p>
            <w:pPr>
              <w:widowControl/>
              <w:spacing w:before="120" w:line="280" w:lineRule="exact"/>
              <w:jc w:val="center"/>
              <w:rPr>
                <w:rFonts w:eastAsia="宋体"/>
                <w:sz w:val="21"/>
              </w:rPr>
            </w:pPr>
            <w:r>
              <w:rPr>
                <w:rFonts w:eastAsia="宋体"/>
                <w:sz w:val="21"/>
              </w:rPr>
              <w:t>1</w:t>
            </w:r>
          </w:p>
        </w:tc>
        <w:tc>
          <w:tcPr>
            <w:tcW w:w="1559" w:type="dxa"/>
            <w:noWrap/>
            <w:vAlign w:val="center"/>
          </w:tcPr>
          <w:p>
            <w:pPr>
              <w:adjustRightInd w:val="0"/>
              <w:spacing w:line="260" w:lineRule="exact"/>
              <w:jc w:val="center"/>
              <w:rPr>
                <w:rFonts w:eastAsia="宋体"/>
                <w:sz w:val="21"/>
                <w:szCs w:val="21"/>
              </w:rPr>
            </w:pPr>
            <w:r>
              <w:rPr>
                <w:rFonts w:eastAsia="宋体"/>
                <w:sz w:val="21"/>
                <w:szCs w:val="21"/>
              </w:rPr>
              <w:t>研究法辛烷值（</w:t>
            </w:r>
            <w:r>
              <w:rPr>
                <w:rFonts w:hint="eastAsia" w:eastAsia="宋体"/>
                <w:sz w:val="21"/>
                <w:szCs w:val="21"/>
              </w:rPr>
              <w:t>RON）</w:t>
            </w:r>
          </w:p>
        </w:tc>
        <w:tc>
          <w:tcPr>
            <w:tcW w:w="2268" w:type="dxa"/>
            <w:vMerge w:val="restart"/>
            <w:noWrap/>
            <w:vAlign w:val="center"/>
          </w:tcPr>
          <w:p>
            <w:pPr>
              <w:pStyle w:val="8"/>
              <w:spacing w:before="0" w:after="0" w:line="280" w:lineRule="exact"/>
              <w:rPr>
                <w:rFonts w:ascii="宋体" w:hAnsi="宋体" w:eastAsia="宋体" w:cs="宋体"/>
                <w:sz w:val="21"/>
                <w:szCs w:val="21"/>
              </w:rPr>
            </w:pPr>
            <w:r>
              <w:rPr>
                <w:rFonts w:hint="eastAsia" w:ascii="宋体" w:hAnsi="宋体" w:eastAsia="宋体" w:cs="宋体"/>
                <w:sz w:val="21"/>
                <w:szCs w:val="21"/>
              </w:rPr>
              <w:t>ZDS JS2025-2022成品油和车用尿素水溶液（AUS32）产品快速筛查技术规范</w:t>
            </w:r>
          </w:p>
        </w:tc>
        <w:tc>
          <w:tcPr>
            <w:tcW w:w="652" w:type="dxa"/>
            <w:noWrap/>
            <w:vAlign w:val="center"/>
          </w:tcPr>
          <w:p>
            <w:pPr>
              <w:spacing w:before="120" w:line="280" w:lineRule="exact"/>
              <w:jc w:val="center"/>
              <w:rPr>
                <w:rFonts w:eastAsia="宋体"/>
                <w:sz w:val="21"/>
              </w:rPr>
            </w:pPr>
            <w:r>
              <w:rPr>
                <w:rFonts w:eastAsia="宋体"/>
                <w:sz w:val="21"/>
              </w:rPr>
              <w:t>●</w:t>
            </w:r>
          </w:p>
        </w:tc>
        <w:tc>
          <w:tcPr>
            <w:tcW w:w="652" w:type="dxa"/>
            <w:noWrap/>
            <w:vAlign w:val="center"/>
          </w:tcPr>
          <w:p>
            <w:pPr>
              <w:adjustRightInd w:val="0"/>
              <w:spacing w:line="260" w:lineRule="exact"/>
              <w:jc w:val="center"/>
              <w:rPr>
                <w:rFonts w:eastAsia="宋体"/>
                <w:sz w:val="21"/>
                <w:szCs w:val="21"/>
              </w:rPr>
            </w:pPr>
          </w:p>
        </w:tc>
        <w:tc>
          <w:tcPr>
            <w:tcW w:w="652" w:type="dxa"/>
            <w:noWrap/>
            <w:vAlign w:val="center"/>
          </w:tcPr>
          <w:p>
            <w:pPr>
              <w:spacing w:line="260" w:lineRule="exact"/>
              <w:jc w:val="center"/>
              <w:rPr>
                <w:rFonts w:eastAsia="宋体"/>
                <w:sz w:val="21"/>
                <w:szCs w:val="21"/>
              </w:rPr>
            </w:pPr>
            <w:r>
              <w:rPr>
                <w:rFonts w:eastAsia="宋体"/>
                <w:sz w:val="21"/>
                <w:szCs w:val="21"/>
              </w:rPr>
              <w:t>●</w:t>
            </w:r>
          </w:p>
        </w:tc>
        <w:tc>
          <w:tcPr>
            <w:tcW w:w="652" w:type="dxa"/>
            <w:noWrap/>
            <w:vAlign w:val="center"/>
          </w:tcPr>
          <w:p>
            <w:pPr>
              <w:adjustRightInd w:val="0"/>
              <w:spacing w:line="260" w:lineRule="exact"/>
              <w:jc w:val="center"/>
              <w:rPr>
                <w:rFonts w:eastAsia="宋体"/>
                <w:sz w:val="21"/>
                <w:szCs w:val="21"/>
              </w:rPr>
            </w:pPr>
          </w:p>
        </w:tc>
        <w:tc>
          <w:tcPr>
            <w:tcW w:w="653" w:type="dxa"/>
            <w:noWrap/>
            <w:vAlign w:val="center"/>
          </w:tcPr>
          <w:p>
            <w:pPr>
              <w:spacing w:line="260" w:lineRule="exact"/>
              <w:jc w:val="center"/>
              <w:rPr>
                <w:rFonts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4" w:type="dxa"/>
            <w:noWrap/>
            <w:vAlign w:val="center"/>
          </w:tcPr>
          <w:p>
            <w:pPr>
              <w:widowControl/>
              <w:spacing w:before="120" w:line="280" w:lineRule="exact"/>
              <w:jc w:val="center"/>
              <w:rPr>
                <w:rFonts w:eastAsia="宋体"/>
                <w:sz w:val="21"/>
              </w:rPr>
            </w:pPr>
            <w:r>
              <w:rPr>
                <w:rFonts w:eastAsia="宋体"/>
                <w:sz w:val="21"/>
              </w:rPr>
              <w:t>2</w:t>
            </w:r>
          </w:p>
        </w:tc>
        <w:tc>
          <w:tcPr>
            <w:tcW w:w="1559" w:type="dxa"/>
            <w:noWrap/>
            <w:vAlign w:val="center"/>
          </w:tcPr>
          <w:p>
            <w:pPr>
              <w:adjustRightInd w:val="0"/>
              <w:spacing w:line="260" w:lineRule="exact"/>
              <w:jc w:val="center"/>
              <w:rPr>
                <w:rFonts w:eastAsia="宋体"/>
                <w:sz w:val="21"/>
                <w:szCs w:val="21"/>
              </w:rPr>
            </w:pPr>
            <w:r>
              <w:rPr>
                <w:rFonts w:hint="eastAsia" w:eastAsia="宋体"/>
                <w:sz w:val="21"/>
                <w:szCs w:val="21"/>
              </w:rPr>
              <w:t>抗爆指数</w:t>
            </w:r>
          </w:p>
        </w:tc>
        <w:tc>
          <w:tcPr>
            <w:tcW w:w="2268" w:type="dxa"/>
            <w:vMerge w:val="continue"/>
            <w:noWrap/>
            <w:vAlign w:val="center"/>
          </w:tcPr>
          <w:p>
            <w:pPr>
              <w:pStyle w:val="8"/>
              <w:spacing w:before="0" w:after="0" w:line="280" w:lineRule="exact"/>
              <w:rPr>
                <w:rFonts w:ascii="宋体" w:hAnsi="宋体" w:eastAsia="宋体" w:cs="宋体"/>
                <w:sz w:val="21"/>
                <w:szCs w:val="21"/>
              </w:rPr>
            </w:pPr>
          </w:p>
        </w:tc>
        <w:tc>
          <w:tcPr>
            <w:tcW w:w="652" w:type="dxa"/>
            <w:noWrap/>
            <w:vAlign w:val="center"/>
          </w:tcPr>
          <w:p>
            <w:pPr>
              <w:spacing w:before="120" w:line="280" w:lineRule="exact"/>
              <w:jc w:val="center"/>
              <w:rPr>
                <w:rFonts w:eastAsia="宋体"/>
                <w:sz w:val="21"/>
              </w:rPr>
            </w:pPr>
            <w:r>
              <w:rPr>
                <w:rFonts w:eastAsia="宋体"/>
                <w:sz w:val="21"/>
              </w:rPr>
              <w:t>●</w:t>
            </w:r>
          </w:p>
        </w:tc>
        <w:tc>
          <w:tcPr>
            <w:tcW w:w="652" w:type="dxa"/>
            <w:noWrap/>
            <w:vAlign w:val="center"/>
          </w:tcPr>
          <w:p>
            <w:pPr>
              <w:adjustRightInd w:val="0"/>
              <w:spacing w:line="260" w:lineRule="exact"/>
              <w:jc w:val="center"/>
              <w:rPr>
                <w:rFonts w:eastAsia="宋体"/>
                <w:sz w:val="21"/>
                <w:szCs w:val="21"/>
              </w:rPr>
            </w:pPr>
          </w:p>
        </w:tc>
        <w:tc>
          <w:tcPr>
            <w:tcW w:w="652" w:type="dxa"/>
            <w:noWrap/>
            <w:vAlign w:val="center"/>
          </w:tcPr>
          <w:p>
            <w:pPr>
              <w:spacing w:line="260" w:lineRule="exact"/>
              <w:jc w:val="center"/>
              <w:rPr>
                <w:rFonts w:eastAsia="宋体"/>
                <w:sz w:val="21"/>
                <w:szCs w:val="21"/>
              </w:rPr>
            </w:pPr>
            <w:r>
              <w:rPr>
                <w:rFonts w:eastAsia="宋体"/>
                <w:sz w:val="21"/>
                <w:szCs w:val="21"/>
              </w:rPr>
              <w:t>●</w:t>
            </w:r>
          </w:p>
        </w:tc>
        <w:tc>
          <w:tcPr>
            <w:tcW w:w="652" w:type="dxa"/>
            <w:noWrap/>
            <w:vAlign w:val="center"/>
          </w:tcPr>
          <w:p>
            <w:pPr>
              <w:adjustRightInd w:val="0"/>
              <w:spacing w:line="260" w:lineRule="exact"/>
              <w:jc w:val="center"/>
              <w:rPr>
                <w:rFonts w:eastAsia="宋体"/>
                <w:sz w:val="21"/>
                <w:szCs w:val="21"/>
              </w:rPr>
            </w:pPr>
          </w:p>
        </w:tc>
        <w:tc>
          <w:tcPr>
            <w:tcW w:w="653" w:type="dxa"/>
            <w:noWrap/>
            <w:vAlign w:val="center"/>
          </w:tcPr>
          <w:p>
            <w:pPr>
              <w:spacing w:line="260" w:lineRule="exact"/>
              <w:jc w:val="center"/>
              <w:rPr>
                <w:rFonts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04" w:type="dxa"/>
            <w:noWrap/>
            <w:vAlign w:val="center"/>
          </w:tcPr>
          <w:p>
            <w:pPr>
              <w:widowControl/>
              <w:spacing w:before="120" w:line="280" w:lineRule="exact"/>
              <w:jc w:val="center"/>
              <w:rPr>
                <w:rFonts w:eastAsia="宋体"/>
                <w:sz w:val="21"/>
              </w:rPr>
            </w:pPr>
            <w:r>
              <w:rPr>
                <w:rFonts w:eastAsia="宋体"/>
                <w:sz w:val="21"/>
              </w:rPr>
              <w:t>3</w:t>
            </w:r>
          </w:p>
        </w:tc>
        <w:tc>
          <w:tcPr>
            <w:tcW w:w="1559" w:type="dxa"/>
            <w:noWrap/>
            <w:vAlign w:val="center"/>
          </w:tcPr>
          <w:p>
            <w:pPr>
              <w:adjustRightInd w:val="0"/>
              <w:spacing w:line="260" w:lineRule="exact"/>
              <w:jc w:val="center"/>
              <w:rPr>
                <w:rFonts w:eastAsia="宋体"/>
                <w:sz w:val="21"/>
                <w:szCs w:val="21"/>
              </w:rPr>
            </w:pPr>
            <w:r>
              <w:rPr>
                <w:rFonts w:eastAsia="宋体"/>
                <w:sz w:val="21"/>
                <w:szCs w:val="21"/>
              </w:rPr>
              <w:t>硫含量</w:t>
            </w:r>
          </w:p>
        </w:tc>
        <w:tc>
          <w:tcPr>
            <w:tcW w:w="2268" w:type="dxa"/>
            <w:vMerge w:val="continue"/>
            <w:noWrap/>
            <w:vAlign w:val="center"/>
          </w:tcPr>
          <w:p>
            <w:pPr>
              <w:spacing w:before="120" w:line="280" w:lineRule="exact"/>
              <w:jc w:val="center"/>
              <w:rPr>
                <w:rFonts w:ascii="宋体" w:hAnsi="宋体" w:eastAsia="宋体" w:cs="宋体"/>
                <w:kern w:val="0"/>
                <w:sz w:val="21"/>
                <w:szCs w:val="21"/>
              </w:rPr>
            </w:pPr>
          </w:p>
        </w:tc>
        <w:tc>
          <w:tcPr>
            <w:tcW w:w="652" w:type="dxa"/>
            <w:noWrap/>
            <w:vAlign w:val="center"/>
          </w:tcPr>
          <w:p>
            <w:pPr>
              <w:spacing w:before="120" w:line="280" w:lineRule="exact"/>
              <w:jc w:val="center"/>
              <w:rPr>
                <w:rFonts w:eastAsia="宋体"/>
                <w:sz w:val="21"/>
              </w:rPr>
            </w:pPr>
            <w:r>
              <w:rPr>
                <w:rFonts w:eastAsia="宋体"/>
                <w:sz w:val="21"/>
              </w:rPr>
              <w:t>●</w:t>
            </w:r>
          </w:p>
        </w:tc>
        <w:tc>
          <w:tcPr>
            <w:tcW w:w="652" w:type="dxa"/>
            <w:noWrap/>
            <w:vAlign w:val="center"/>
          </w:tcPr>
          <w:p>
            <w:pPr>
              <w:adjustRightInd w:val="0"/>
              <w:spacing w:line="260" w:lineRule="exact"/>
              <w:jc w:val="center"/>
              <w:rPr>
                <w:rFonts w:eastAsia="宋体"/>
                <w:sz w:val="21"/>
                <w:szCs w:val="21"/>
              </w:rPr>
            </w:pPr>
          </w:p>
        </w:tc>
        <w:tc>
          <w:tcPr>
            <w:tcW w:w="652" w:type="dxa"/>
            <w:noWrap/>
            <w:vAlign w:val="center"/>
          </w:tcPr>
          <w:p>
            <w:pPr>
              <w:adjustRightInd w:val="0"/>
              <w:spacing w:line="260" w:lineRule="exact"/>
              <w:jc w:val="center"/>
              <w:rPr>
                <w:rFonts w:eastAsia="宋体"/>
                <w:sz w:val="21"/>
                <w:szCs w:val="21"/>
              </w:rPr>
            </w:pPr>
            <w:r>
              <w:rPr>
                <w:rFonts w:eastAsia="宋体"/>
                <w:sz w:val="21"/>
                <w:szCs w:val="21"/>
              </w:rPr>
              <w:t>●</w:t>
            </w:r>
          </w:p>
        </w:tc>
        <w:tc>
          <w:tcPr>
            <w:tcW w:w="652" w:type="dxa"/>
            <w:noWrap/>
            <w:vAlign w:val="center"/>
          </w:tcPr>
          <w:p>
            <w:pPr>
              <w:adjustRightInd w:val="0"/>
              <w:spacing w:line="260" w:lineRule="exact"/>
              <w:jc w:val="center"/>
              <w:rPr>
                <w:rFonts w:eastAsia="宋体"/>
                <w:sz w:val="21"/>
                <w:szCs w:val="21"/>
              </w:rPr>
            </w:pPr>
          </w:p>
        </w:tc>
        <w:tc>
          <w:tcPr>
            <w:tcW w:w="653" w:type="dxa"/>
            <w:noWrap/>
            <w:vAlign w:val="center"/>
          </w:tcPr>
          <w:p>
            <w:pPr>
              <w:spacing w:line="260" w:lineRule="exact"/>
              <w:jc w:val="center"/>
              <w:rPr>
                <w:rFonts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04" w:type="dxa"/>
            <w:noWrap/>
            <w:vAlign w:val="center"/>
          </w:tcPr>
          <w:p>
            <w:pPr>
              <w:widowControl/>
              <w:spacing w:before="120" w:line="280" w:lineRule="exact"/>
              <w:jc w:val="center"/>
              <w:rPr>
                <w:rFonts w:eastAsia="宋体"/>
                <w:sz w:val="21"/>
              </w:rPr>
            </w:pPr>
            <w:r>
              <w:rPr>
                <w:rFonts w:eastAsia="宋体"/>
                <w:sz w:val="21"/>
              </w:rPr>
              <w:t>4</w:t>
            </w:r>
          </w:p>
        </w:tc>
        <w:tc>
          <w:tcPr>
            <w:tcW w:w="1559" w:type="dxa"/>
            <w:noWrap/>
            <w:vAlign w:val="center"/>
          </w:tcPr>
          <w:p>
            <w:pPr>
              <w:adjustRightInd w:val="0"/>
              <w:spacing w:line="260" w:lineRule="exact"/>
              <w:jc w:val="center"/>
              <w:rPr>
                <w:rFonts w:eastAsia="宋体"/>
                <w:sz w:val="21"/>
                <w:szCs w:val="21"/>
              </w:rPr>
            </w:pPr>
            <w:r>
              <w:rPr>
                <w:rFonts w:eastAsia="宋体"/>
                <w:sz w:val="21"/>
                <w:szCs w:val="21"/>
              </w:rPr>
              <w:t>苯含量</w:t>
            </w:r>
          </w:p>
        </w:tc>
        <w:tc>
          <w:tcPr>
            <w:tcW w:w="2268" w:type="dxa"/>
            <w:vMerge w:val="continue"/>
            <w:noWrap/>
            <w:vAlign w:val="center"/>
          </w:tcPr>
          <w:p>
            <w:pPr>
              <w:spacing w:before="120" w:line="280" w:lineRule="exact"/>
              <w:jc w:val="center"/>
              <w:rPr>
                <w:rFonts w:eastAsia="宋体"/>
                <w:sz w:val="21"/>
              </w:rPr>
            </w:pPr>
          </w:p>
        </w:tc>
        <w:tc>
          <w:tcPr>
            <w:tcW w:w="652" w:type="dxa"/>
            <w:noWrap/>
            <w:vAlign w:val="center"/>
          </w:tcPr>
          <w:p>
            <w:pPr>
              <w:spacing w:before="120" w:line="280" w:lineRule="exact"/>
              <w:jc w:val="center"/>
              <w:rPr>
                <w:rFonts w:eastAsia="宋体"/>
                <w:sz w:val="21"/>
              </w:rPr>
            </w:pPr>
            <w:r>
              <w:rPr>
                <w:rFonts w:eastAsia="宋体"/>
                <w:sz w:val="21"/>
              </w:rPr>
              <w:t>●</w:t>
            </w:r>
          </w:p>
        </w:tc>
        <w:tc>
          <w:tcPr>
            <w:tcW w:w="652" w:type="dxa"/>
            <w:noWrap/>
            <w:vAlign w:val="center"/>
          </w:tcPr>
          <w:p>
            <w:pPr>
              <w:adjustRightInd w:val="0"/>
              <w:spacing w:line="260" w:lineRule="exact"/>
              <w:jc w:val="center"/>
              <w:rPr>
                <w:rFonts w:eastAsia="宋体"/>
                <w:sz w:val="21"/>
                <w:szCs w:val="21"/>
              </w:rPr>
            </w:pPr>
          </w:p>
        </w:tc>
        <w:tc>
          <w:tcPr>
            <w:tcW w:w="652" w:type="dxa"/>
            <w:noWrap/>
            <w:vAlign w:val="center"/>
          </w:tcPr>
          <w:p>
            <w:pPr>
              <w:adjustRightInd w:val="0"/>
              <w:spacing w:line="260" w:lineRule="exact"/>
              <w:jc w:val="center"/>
              <w:rPr>
                <w:rFonts w:eastAsia="宋体"/>
                <w:sz w:val="21"/>
                <w:szCs w:val="21"/>
              </w:rPr>
            </w:pPr>
            <w:r>
              <w:rPr>
                <w:rFonts w:eastAsia="宋体"/>
                <w:sz w:val="21"/>
                <w:szCs w:val="21"/>
              </w:rPr>
              <w:t>●</w:t>
            </w:r>
          </w:p>
        </w:tc>
        <w:tc>
          <w:tcPr>
            <w:tcW w:w="652" w:type="dxa"/>
            <w:noWrap/>
            <w:vAlign w:val="center"/>
          </w:tcPr>
          <w:p>
            <w:pPr>
              <w:adjustRightInd w:val="0"/>
              <w:spacing w:line="260" w:lineRule="exact"/>
              <w:jc w:val="center"/>
              <w:rPr>
                <w:rFonts w:eastAsia="宋体"/>
                <w:sz w:val="21"/>
                <w:szCs w:val="21"/>
              </w:rPr>
            </w:pPr>
          </w:p>
        </w:tc>
        <w:tc>
          <w:tcPr>
            <w:tcW w:w="653" w:type="dxa"/>
            <w:noWrap/>
            <w:vAlign w:val="center"/>
          </w:tcPr>
          <w:p>
            <w:pPr>
              <w:spacing w:line="260" w:lineRule="exact"/>
              <w:jc w:val="center"/>
              <w:rPr>
                <w:rFonts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04" w:type="dxa"/>
            <w:noWrap/>
            <w:vAlign w:val="center"/>
          </w:tcPr>
          <w:p>
            <w:pPr>
              <w:widowControl/>
              <w:spacing w:before="120" w:line="280" w:lineRule="exact"/>
              <w:jc w:val="center"/>
              <w:rPr>
                <w:rFonts w:eastAsia="宋体"/>
                <w:sz w:val="21"/>
              </w:rPr>
            </w:pPr>
            <w:r>
              <w:rPr>
                <w:rFonts w:eastAsia="宋体"/>
                <w:sz w:val="21"/>
              </w:rPr>
              <w:t>5</w:t>
            </w:r>
          </w:p>
        </w:tc>
        <w:tc>
          <w:tcPr>
            <w:tcW w:w="1559" w:type="dxa"/>
            <w:noWrap/>
            <w:vAlign w:val="center"/>
          </w:tcPr>
          <w:p>
            <w:pPr>
              <w:adjustRightInd w:val="0"/>
              <w:spacing w:line="260" w:lineRule="exact"/>
              <w:jc w:val="center"/>
              <w:rPr>
                <w:rFonts w:eastAsia="宋体"/>
                <w:sz w:val="21"/>
                <w:szCs w:val="21"/>
              </w:rPr>
            </w:pPr>
            <w:r>
              <w:rPr>
                <w:rFonts w:eastAsia="宋体"/>
                <w:sz w:val="21"/>
                <w:szCs w:val="21"/>
              </w:rPr>
              <w:t>芳烃含量</w:t>
            </w:r>
          </w:p>
        </w:tc>
        <w:tc>
          <w:tcPr>
            <w:tcW w:w="2268" w:type="dxa"/>
            <w:vMerge w:val="continue"/>
            <w:noWrap/>
            <w:vAlign w:val="center"/>
          </w:tcPr>
          <w:p>
            <w:pPr>
              <w:spacing w:before="120" w:line="280" w:lineRule="exact"/>
              <w:jc w:val="center"/>
              <w:rPr>
                <w:rFonts w:eastAsia="宋体"/>
                <w:sz w:val="21"/>
              </w:rPr>
            </w:pPr>
          </w:p>
        </w:tc>
        <w:tc>
          <w:tcPr>
            <w:tcW w:w="652" w:type="dxa"/>
            <w:noWrap/>
            <w:vAlign w:val="center"/>
          </w:tcPr>
          <w:p>
            <w:pPr>
              <w:spacing w:before="120" w:line="280" w:lineRule="exact"/>
              <w:jc w:val="center"/>
              <w:rPr>
                <w:rFonts w:eastAsia="宋体"/>
                <w:sz w:val="21"/>
              </w:rPr>
            </w:pPr>
            <w:r>
              <w:rPr>
                <w:rFonts w:eastAsia="宋体"/>
                <w:sz w:val="21"/>
              </w:rPr>
              <w:t>●</w:t>
            </w:r>
          </w:p>
        </w:tc>
        <w:tc>
          <w:tcPr>
            <w:tcW w:w="652" w:type="dxa"/>
            <w:noWrap/>
            <w:vAlign w:val="center"/>
          </w:tcPr>
          <w:p>
            <w:pPr>
              <w:adjustRightInd w:val="0"/>
              <w:spacing w:line="260" w:lineRule="exact"/>
              <w:jc w:val="center"/>
              <w:rPr>
                <w:rFonts w:eastAsia="宋体"/>
                <w:sz w:val="21"/>
                <w:szCs w:val="21"/>
              </w:rPr>
            </w:pPr>
          </w:p>
        </w:tc>
        <w:tc>
          <w:tcPr>
            <w:tcW w:w="652" w:type="dxa"/>
            <w:noWrap/>
            <w:vAlign w:val="center"/>
          </w:tcPr>
          <w:p>
            <w:pPr>
              <w:adjustRightInd w:val="0"/>
              <w:spacing w:line="260" w:lineRule="exact"/>
              <w:jc w:val="center"/>
              <w:rPr>
                <w:rFonts w:eastAsia="宋体"/>
                <w:sz w:val="21"/>
                <w:szCs w:val="21"/>
              </w:rPr>
            </w:pPr>
          </w:p>
        </w:tc>
        <w:tc>
          <w:tcPr>
            <w:tcW w:w="652" w:type="dxa"/>
            <w:noWrap/>
            <w:vAlign w:val="center"/>
          </w:tcPr>
          <w:p>
            <w:pPr>
              <w:adjustRightInd w:val="0"/>
              <w:spacing w:line="260" w:lineRule="exact"/>
              <w:jc w:val="center"/>
              <w:rPr>
                <w:rFonts w:eastAsia="宋体"/>
                <w:sz w:val="21"/>
                <w:szCs w:val="21"/>
              </w:rPr>
            </w:pPr>
            <w:r>
              <w:rPr>
                <w:rFonts w:eastAsia="宋体"/>
                <w:sz w:val="21"/>
                <w:szCs w:val="21"/>
              </w:rPr>
              <w:t>●</w:t>
            </w:r>
          </w:p>
        </w:tc>
        <w:tc>
          <w:tcPr>
            <w:tcW w:w="653" w:type="dxa"/>
            <w:noWrap/>
            <w:vAlign w:val="center"/>
          </w:tcPr>
          <w:p>
            <w:pPr>
              <w:spacing w:line="260" w:lineRule="exact"/>
              <w:jc w:val="center"/>
              <w:rPr>
                <w:rFonts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04" w:type="dxa"/>
            <w:noWrap/>
            <w:vAlign w:val="center"/>
          </w:tcPr>
          <w:p>
            <w:pPr>
              <w:widowControl/>
              <w:spacing w:before="120" w:line="280" w:lineRule="exact"/>
              <w:jc w:val="center"/>
              <w:rPr>
                <w:rFonts w:eastAsia="宋体"/>
                <w:sz w:val="21"/>
              </w:rPr>
            </w:pPr>
            <w:r>
              <w:rPr>
                <w:rFonts w:eastAsia="宋体"/>
                <w:sz w:val="21"/>
              </w:rPr>
              <w:t>6</w:t>
            </w:r>
          </w:p>
        </w:tc>
        <w:tc>
          <w:tcPr>
            <w:tcW w:w="1559" w:type="dxa"/>
            <w:noWrap/>
            <w:vAlign w:val="center"/>
          </w:tcPr>
          <w:p>
            <w:pPr>
              <w:adjustRightInd w:val="0"/>
              <w:spacing w:line="260" w:lineRule="exact"/>
              <w:jc w:val="center"/>
              <w:rPr>
                <w:rFonts w:eastAsia="宋体"/>
                <w:sz w:val="21"/>
                <w:szCs w:val="21"/>
              </w:rPr>
            </w:pPr>
            <w:r>
              <w:rPr>
                <w:rFonts w:eastAsia="宋体"/>
                <w:sz w:val="21"/>
                <w:szCs w:val="21"/>
              </w:rPr>
              <w:t>烯烃含量</w:t>
            </w:r>
          </w:p>
        </w:tc>
        <w:tc>
          <w:tcPr>
            <w:tcW w:w="2268" w:type="dxa"/>
            <w:vMerge w:val="continue"/>
            <w:noWrap/>
            <w:vAlign w:val="center"/>
          </w:tcPr>
          <w:p>
            <w:pPr>
              <w:spacing w:before="120" w:line="280" w:lineRule="exact"/>
              <w:jc w:val="center"/>
              <w:rPr>
                <w:rFonts w:eastAsia="宋体"/>
                <w:sz w:val="21"/>
              </w:rPr>
            </w:pPr>
          </w:p>
        </w:tc>
        <w:tc>
          <w:tcPr>
            <w:tcW w:w="652" w:type="dxa"/>
            <w:noWrap/>
            <w:vAlign w:val="center"/>
          </w:tcPr>
          <w:p>
            <w:pPr>
              <w:spacing w:before="120" w:line="280" w:lineRule="exact"/>
              <w:jc w:val="center"/>
              <w:rPr>
                <w:rFonts w:eastAsia="宋体"/>
                <w:sz w:val="21"/>
              </w:rPr>
            </w:pPr>
            <w:r>
              <w:rPr>
                <w:rFonts w:eastAsia="宋体"/>
                <w:sz w:val="21"/>
              </w:rPr>
              <w:t>●</w:t>
            </w:r>
          </w:p>
        </w:tc>
        <w:tc>
          <w:tcPr>
            <w:tcW w:w="652" w:type="dxa"/>
            <w:noWrap/>
            <w:vAlign w:val="center"/>
          </w:tcPr>
          <w:p>
            <w:pPr>
              <w:adjustRightInd w:val="0"/>
              <w:spacing w:line="260" w:lineRule="exact"/>
              <w:jc w:val="center"/>
              <w:rPr>
                <w:rFonts w:eastAsia="宋体"/>
                <w:sz w:val="21"/>
                <w:szCs w:val="21"/>
              </w:rPr>
            </w:pPr>
          </w:p>
        </w:tc>
        <w:tc>
          <w:tcPr>
            <w:tcW w:w="652" w:type="dxa"/>
            <w:noWrap/>
            <w:vAlign w:val="center"/>
          </w:tcPr>
          <w:p>
            <w:pPr>
              <w:adjustRightInd w:val="0"/>
              <w:spacing w:line="260" w:lineRule="exact"/>
              <w:jc w:val="center"/>
              <w:rPr>
                <w:rFonts w:eastAsia="宋体"/>
                <w:sz w:val="21"/>
                <w:szCs w:val="21"/>
              </w:rPr>
            </w:pPr>
          </w:p>
        </w:tc>
        <w:tc>
          <w:tcPr>
            <w:tcW w:w="652" w:type="dxa"/>
            <w:noWrap/>
            <w:vAlign w:val="center"/>
          </w:tcPr>
          <w:p>
            <w:pPr>
              <w:adjustRightInd w:val="0"/>
              <w:spacing w:line="260" w:lineRule="exact"/>
              <w:jc w:val="center"/>
              <w:rPr>
                <w:rFonts w:eastAsia="宋体"/>
                <w:sz w:val="21"/>
                <w:szCs w:val="21"/>
              </w:rPr>
            </w:pPr>
            <w:r>
              <w:rPr>
                <w:rFonts w:eastAsia="宋体"/>
                <w:sz w:val="21"/>
                <w:szCs w:val="21"/>
              </w:rPr>
              <w:t>●</w:t>
            </w:r>
          </w:p>
        </w:tc>
        <w:tc>
          <w:tcPr>
            <w:tcW w:w="653" w:type="dxa"/>
            <w:noWrap/>
            <w:vAlign w:val="center"/>
          </w:tcPr>
          <w:p>
            <w:pPr>
              <w:spacing w:line="260" w:lineRule="exact"/>
              <w:jc w:val="center"/>
              <w:rPr>
                <w:rFonts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04" w:type="dxa"/>
            <w:noWrap/>
            <w:vAlign w:val="center"/>
          </w:tcPr>
          <w:p>
            <w:pPr>
              <w:widowControl/>
              <w:spacing w:before="120" w:line="280" w:lineRule="exact"/>
              <w:jc w:val="center"/>
              <w:rPr>
                <w:rFonts w:eastAsia="宋体"/>
                <w:sz w:val="21"/>
              </w:rPr>
            </w:pPr>
            <w:r>
              <w:rPr>
                <w:rFonts w:eastAsia="宋体"/>
                <w:sz w:val="21"/>
              </w:rPr>
              <w:t>7</w:t>
            </w:r>
          </w:p>
        </w:tc>
        <w:tc>
          <w:tcPr>
            <w:tcW w:w="1559" w:type="dxa"/>
            <w:noWrap/>
            <w:vAlign w:val="center"/>
          </w:tcPr>
          <w:p>
            <w:pPr>
              <w:adjustRightInd w:val="0"/>
              <w:spacing w:line="260" w:lineRule="exact"/>
              <w:jc w:val="center"/>
              <w:rPr>
                <w:rFonts w:eastAsia="宋体"/>
                <w:sz w:val="21"/>
                <w:szCs w:val="21"/>
              </w:rPr>
            </w:pPr>
            <w:r>
              <w:rPr>
                <w:rFonts w:eastAsia="宋体"/>
                <w:sz w:val="21"/>
                <w:szCs w:val="21"/>
              </w:rPr>
              <w:t>氧含量</w:t>
            </w:r>
          </w:p>
        </w:tc>
        <w:tc>
          <w:tcPr>
            <w:tcW w:w="2268" w:type="dxa"/>
            <w:vMerge w:val="continue"/>
            <w:noWrap/>
            <w:vAlign w:val="center"/>
          </w:tcPr>
          <w:p>
            <w:pPr>
              <w:spacing w:before="120" w:line="280" w:lineRule="exact"/>
              <w:jc w:val="center"/>
              <w:rPr>
                <w:rFonts w:eastAsia="宋体"/>
                <w:sz w:val="21"/>
              </w:rPr>
            </w:pPr>
          </w:p>
        </w:tc>
        <w:tc>
          <w:tcPr>
            <w:tcW w:w="652" w:type="dxa"/>
            <w:noWrap/>
            <w:vAlign w:val="center"/>
          </w:tcPr>
          <w:p>
            <w:pPr>
              <w:spacing w:before="120" w:line="280" w:lineRule="exact"/>
              <w:jc w:val="center"/>
              <w:rPr>
                <w:rFonts w:eastAsia="宋体"/>
                <w:sz w:val="21"/>
              </w:rPr>
            </w:pPr>
            <w:r>
              <w:rPr>
                <w:rFonts w:eastAsia="宋体"/>
                <w:sz w:val="21"/>
              </w:rPr>
              <w:t>●</w:t>
            </w:r>
          </w:p>
        </w:tc>
        <w:tc>
          <w:tcPr>
            <w:tcW w:w="652" w:type="dxa"/>
            <w:noWrap/>
            <w:vAlign w:val="center"/>
          </w:tcPr>
          <w:p>
            <w:pPr>
              <w:adjustRightInd w:val="0"/>
              <w:spacing w:line="260" w:lineRule="exact"/>
              <w:jc w:val="center"/>
              <w:rPr>
                <w:rFonts w:eastAsia="宋体"/>
                <w:sz w:val="21"/>
                <w:szCs w:val="21"/>
              </w:rPr>
            </w:pPr>
          </w:p>
        </w:tc>
        <w:tc>
          <w:tcPr>
            <w:tcW w:w="652" w:type="dxa"/>
            <w:noWrap/>
            <w:vAlign w:val="center"/>
          </w:tcPr>
          <w:p>
            <w:pPr>
              <w:adjustRightInd w:val="0"/>
              <w:spacing w:line="260" w:lineRule="exact"/>
              <w:jc w:val="center"/>
              <w:rPr>
                <w:rFonts w:eastAsia="宋体"/>
                <w:sz w:val="21"/>
                <w:szCs w:val="21"/>
              </w:rPr>
            </w:pPr>
          </w:p>
        </w:tc>
        <w:tc>
          <w:tcPr>
            <w:tcW w:w="652" w:type="dxa"/>
            <w:noWrap/>
            <w:vAlign w:val="center"/>
          </w:tcPr>
          <w:p>
            <w:pPr>
              <w:adjustRightInd w:val="0"/>
              <w:spacing w:line="260" w:lineRule="exact"/>
              <w:jc w:val="center"/>
              <w:rPr>
                <w:rFonts w:eastAsia="宋体"/>
                <w:sz w:val="21"/>
                <w:szCs w:val="21"/>
              </w:rPr>
            </w:pPr>
            <w:r>
              <w:rPr>
                <w:rFonts w:eastAsia="宋体"/>
                <w:sz w:val="21"/>
                <w:szCs w:val="21"/>
              </w:rPr>
              <w:t>●</w:t>
            </w:r>
          </w:p>
        </w:tc>
        <w:tc>
          <w:tcPr>
            <w:tcW w:w="653" w:type="dxa"/>
            <w:noWrap/>
            <w:vAlign w:val="center"/>
          </w:tcPr>
          <w:p>
            <w:pPr>
              <w:spacing w:line="260" w:lineRule="exact"/>
              <w:jc w:val="center"/>
              <w:rPr>
                <w:rFonts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04" w:type="dxa"/>
            <w:noWrap/>
            <w:vAlign w:val="center"/>
          </w:tcPr>
          <w:p>
            <w:pPr>
              <w:widowControl/>
              <w:spacing w:before="120" w:line="280" w:lineRule="exact"/>
              <w:jc w:val="center"/>
              <w:rPr>
                <w:rFonts w:eastAsia="宋体"/>
                <w:sz w:val="21"/>
              </w:rPr>
            </w:pPr>
            <w:r>
              <w:rPr>
                <w:rFonts w:eastAsia="宋体"/>
                <w:sz w:val="21"/>
              </w:rPr>
              <w:t>8</w:t>
            </w:r>
          </w:p>
        </w:tc>
        <w:tc>
          <w:tcPr>
            <w:tcW w:w="1559" w:type="dxa"/>
            <w:noWrap/>
            <w:vAlign w:val="center"/>
          </w:tcPr>
          <w:p>
            <w:pPr>
              <w:adjustRightInd w:val="0"/>
              <w:spacing w:line="260" w:lineRule="exact"/>
              <w:jc w:val="center"/>
              <w:rPr>
                <w:rFonts w:eastAsia="宋体"/>
                <w:sz w:val="21"/>
                <w:szCs w:val="21"/>
              </w:rPr>
            </w:pPr>
            <w:r>
              <w:rPr>
                <w:rFonts w:eastAsia="宋体"/>
                <w:sz w:val="21"/>
                <w:szCs w:val="21"/>
              </w:rPr>
              <w:t>甲醇含量</w:t>
            </w:r>
          </w:p>
        </w:tc>
        <w:tc>
          <w:tcPr>
            <w:tcW w:w="2268" w:type="dxa"/>
            <w:vMerge w:val="continue"/>
            <w:noWrap/>
            <w:vAlign w:val="center"/>
          </w:tcPr>
          <w:p>
            <w:pPr>
              <w:spacing w:before="120" w:line="280" w:lineRule="exact"/>
              <w:jc w:val="center"/>
              <w:rPr>
                <w:rFonts w:eastAsia="宋体"/>
                <w:sz w:val="21"/>
              </w:rPr>
            </w:pPr>
          </w:p>
        </w:tc>
        <w:tc>
          <w:tcPr>
            <w:tcW w:w="652" w:type="dxa"/>
            <w:noWrap/>
            <w:vAlign w:val="center"/>
          </w:tcPr>
          <w:p>
            <w:pPr>
              <w:spacing w:before="120" w:line="280" w:lineRule="exact"/>
              <w:jc w:val="center"/>
              <w:rPr>
                <w:rFonts w:eastAsia="宋体"/>
                <w:sz w:val="21"/>
              </w:rPr>
            </w:pPr>
            <w:r>
              <w:rPr>
                <w:rFonts w:eastAsia="宋体"/>
                <w:sz w:val="21"/>
              </w:rPr>
              <w:t>●</w:t>
            </w:r>
          </w:p>
        </w:tc>
        <w:tc>
          <w:tcPr>
            <w:tcW w:w="652" w:type="dxa"/>
            <w:noWrap/>
            <w:vAlign w:val="center"/>
          </w:tcPr>
          <w:p>
            <w:pPr>
              <w:adjustRightInd w:val="0"/>
              <w:spacing w:line="260" w:lineRule="exact"/>
              <w:jc w:val="center"/>
              <w:rPr>
                <w:rFonts w:eastAsia="宋体"/>
                <w:sz w:val="21"/>
                <w:szCs w:val="21"/>
              </w:rPr>
            </w:pPr>
          </w:p>
        </w:tc>
        <w:tc>
          <w:tcPr>
            <w:tcW w:w="652" w:type="dxa"/>
            <w:noWrap/>
            <w:vAlign w:val="center"/>
          </w:tcPr>
          <w:p>
            <w:pPr>
              <w:adjustRightInd w:val="0"/>
              <w:spacing w:line="260" w:lineRule="exact"/>
              <w:jc w:val="center"/>
              <w:rPr>
                <w:rFonts w:eastAsia="宋体"/>
                <w:sz w:val="21"/>
                <w:szCs w:val="21"/>
              </w:rPr>
            </w:pPr>
          </w:p>
        </w:tc>
        <w:tc>
          <w:tcPr>
            <w:tcW w:w="652" w:type="dxa"/>
            <w:noWrap/>
            <w:vAlign w:val="center"/>
          </w:tcPr>
          <w:p>
            <w:pPr>
              <w:adjustRightInd w:val="0"/>
              <w:spacing w:line="260" w:lineRule="exact"/>
              <w:jc w:val="center"/>
              <w:rPr>
                <w:rFonts w:eastAsia="宋体"/>
                <w:sz w:val="21"/>
                <w:szCs w:val="21"/>
              </w:rPr>
            </w:pPr>
            <w:r>
              <w:rPr>
                <w:rFonts w:eastAsia="宋体"/>
                <w:sz w:val="21"/>
                <w:szCs w:val="21"/>
              </w:rPr>
              <w:t>●</w:t>
            </w:r>
          </w:p>
        </w:tc>
        <w:tc>
          <w:tcPr>
            <w:tcW w:w="653" w:type="dxa"/>
            <w:noWrap/>
            <w:vAlign w:val="center"/>
          </w:tcPr>
          <w:p>
            <w:pPr>
              <w:spacing w:line="260" w:lineRule="exact"/>
              <w:jc w:val="center"/>
              <w:rPr>
                <w:rFonts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0" w:hRule="atLeast"/>
          <w:jc w:val="center"/>
        </w:trPr>
        <w:tc>
          <w:tcPr>
            <w:tcW w:w="704" w:type="dxa"/>
            <w:noWrap/>
            <w:vAlign w:val="center"/>
          </w:tcPr>
          <w:p>
            <w:pPr>
              <w:widowControl/>
              <w:spacing w:before="120" w:line="280" w:lineRule="exact"/>
              <w:jc w:val="center"/>
              <w:rPr>
                <w:rFonts w:eastAsia="宋体"/>
                <w:sz w:val="21"/>
              </w:rPr>
            </w:pPr>
            <w:r>
              <w:rPr>
                <w:rFonts w:hint="eastAsia" w:eastAsia="宋体"/>
                <w:sz w:val="21"/>
              </w:rPr>
              <w:t>9</w:t>
            </w:r>
          </w:p>
        </w:tc>
        <w:tc>
          <w:tcPr>
            <w:tcW w:w="1559" w:type="dxa"/>
            <w:noWrap/>
            <w:vAlign w:val="center"/>
          </w:tcPr>
          <w:p>
            <w:pPr>
              <w:adjustRightInd w:val="0"/>
              <w:spacing w:line="260" w:lineRule="exact"/>
              <w:jc w:val="center"/>
              <w:rPr>
                <w:rFonts w:eastAsia="宋体"/>
                <w:sz w:val="21"/>
                <w:szCs w:val="21"/>
              </w:rPr>
            </w:pPr>
            <w:r>
              <w:rPr>
                <w:rFonts w:eastAsia="宋体"/>
                <w:sz w:val="21"/>
                <w:szCs w:val="21"/>
              </w:rPr>
              <w:t>密度</w:t>
            </w:r>
            <w:r>
              <w:rPr>
                <w:rFonts w:eastAsia="宋体"/>
                <w:sz w:val="21"/>
              </w:rPr>
              <w:t>(20</w:t>
            </w:r>
            <w:r>
              <w:rPr>
                <w:rFonts w:hint="eastAsia" w:ascii="宋体" w:hAnsi="宋体" w:eastAsia="宋体" w:cs="宋体"/>
                <w:sz w:val="21"/>
              </w:rPr>
              <w:t>℃</w:t>
            </w:r>
            <w:r>
              <w:rPr>
                <w:rFonts w:eastAsia="宋体"/>
                <w:sz w:val="21"/>
              </w:rPr>
              <w:t>)</w:t>
            </w:r>
          </w:p>
        </w:tc>
        <w:tc>
          <w:tcPr>
            <w:tcW w:w="2268" w:type="dxa"/>
            <w:vMerge w:val="restart"/>
            <w:noWrap/>
            <w:vAlign w:val="center"/>
          </w:tcPr>
          <w:p>
            <w:pPr>
              <w:spacing w:before="120" w:line="280" w:lineRule="exact"/>
              <w:jc w:val="center"/>
              <w:rPr>
                <w:rFonts w:eastAsia="宋体"/>
                <w:sz w:val="21"/>
              </w:rPr>
            </w:pPr>
            <w:r>
              <w:rPr>
                <w:rFonts w:hint="eastAsia" w:ascii="宋体" w:hAnsi="宋体" w:eastAsia="宋体" w:cs="宋体"/>
                <w:sz w:val="21"/>
                <w:szCs w:val="21"/>
              </w:rPr>
              <w:t>ZDS JS2025-2022成品油和车用尿素水溶液（AUS32）产品快速筛查技术规范</w:t>
            </w:r>
          </w:p>
        </w:tc>
        <w:tc>
          <w:tcPr>
            <w:tcW w:w="652" w:type="dxa"/>
            <w:shd w:val="clear" w:color="auto" w:fill="FFFFFF" w:themeFill="background1"/>
            <w:noWrap/>
            <w:vAlign w:val="center"/>
          </w:tcPr>
          <w:p>
            <w:pPr>
              <w:spacing w:before="120" w:line="280" w:lineRule="exact"/>
              <w:jc w:val="center"/>
              <w:rPr>
                <w:rFonts w:eastAsia="宋体"/>
                <w:sz w:val="21"/>
              </w:rPr>
            </w:pPr>
            <w:r>
              <w:rPr>
                <w:rFonts w:eastAsia="宋体"/>
                <w:sz w:val="21"/>
              </w:rPr>
              <w:t>●</w:t>
            </w:r>
          </w:p>
        </w:tc>
        <w:tc>
          <w:tcPr>
            <w:tcW w:w="652" w:type="dxa"/>
            <w:shd w:val="clear" w:color="auto" w:fill="FFFFFF" w:themeFill="background1"/>
            <w:noWrap/>
            <w:vAlign w:val="center"/>
          </w:tcPr>
          <w:p>
            <w:pPr>
              <w:adjustRightInd w:val="0"/>
              <w:spacing w:line="260" w:lineRule="exact"/>
              <w:jc w:val="center"/>
              <w:rPr>
                <w:rFonts w:eastAsia="宋体"/>
                <w:sz w:val="21"/>
                <w:szCs w:val="21"/>
              </w:rPr>
            </w:pPr>
          </w:p>
        </w:tc>
        <w:tc>
          <w:tcPr>
            <w:tcW w:w="652" w:type="dxa"/>
            <w:shd w:val="clear" w:color="auto" w:fill="FFFFFF" w:themeFill="background1"/>
            <w:noWrap/>
            <w:vAlign w:val="center"/>
          </w:tcPr>
          <w:p>
            <w:pPr>
              <w:adjustRightInd w:val="0"/>
              <w:spacing w:line="260" w:lineRule="exact"/>
              <w:jc w:val="center"/>
              <w:rPr>
                <w:rFonts w:eastAsia="宋体"/>
                <w:sz w:val="21"/>
                <w:szCs w:val="21"/>
              </w:rPr>
            </w:pPr>
          </w:p>
        </w:tc>
        <w:tc>
          <w:tcPr>
            <w:tcW w:w="652" w:type="dxa"/>
            <w:shd w:val="clear" w:color="auto" w:fill="FFFFFF" w:themeFill="background1"/>
            <w:noWrap/>
            <w:vAlign w:val="center"/>
          </w:tcPr>
          <w:p>
            <w:pPr>
              <w:adjustRightInd w:val="0"/>
              <w:spacing w:line="260" w:lineRule="exact"/>
              <w:jc w:val="center"/>
              <w:rPr>
                <w:rFonts w:eastAsia="宋体"/>
                <w:sz w:val="21"/>
                <w:szCs w:val="21"/>
              </w:rPr>
            </w:pPr>
            <w:r>
              <w:rPr>
                <w:rFonts w:eastAsia="宋体"/>
                <w:sz w:val="21"/>
                <w:szCs w:val="21"/>
              </w:rPr>
              <w:t>●</w:t>
            </w:r>
          </w:p>
        </w:tc>
        <w:tc>
          <w:tcPr>
            <w:tcW w:w="653" w:type="dxa"/>
            <w:shd w:val="clear" w:color="auto" w:fill="FFFFFF" w:themeFill="background1"/>
            <w:noWrap/>
            <w:vAlign w:val="center"/>
          </w:tcPr>
          <w:p>
            <w:pPr>
              <w:spacing w:line="260" w:lineRule="exact"/>
              <w:jc w:val="center"/>
              <w:rPr>
                <w:rFonts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704" w:type="dxa"/>
            <w:noWrap/>
            <w:vAlign w:val="center"/>
          </w:tcPr>
          <w:p>
            <w:pPr>
              <w:widowControl/>
              <w:spacing w:before="120" w:line="280" w:lineRule="exact"/>
              <w:jc w:val="center"/>
              <w:rPr>
                <w:rFonts w:eastAsia="宋体"/>
                <w:sz w:val="21"/>
              </w:rPr>
            </w:pPr>
            <w:r>
              <w:rPr>
                <w:rFonts w:hint="eastAsia" w:eastAsia="宋体"/>
                <w:sz w:val="21"/>
              </w:rPr>
              <w:t>10</w:t>
            </w:r>
          </w:p>
        </w:tc>
        <w:tc>
          <w:tcPr>
            <w:tcW w:w="1559" w:type="dxa"/>
            <w:noWrap/>
            <w:vAlign w:val="center"/>
          </w:tcPr>
          <w:p>
            <w:pPr>
              <w:adjustRightInd w:val="0"/>
              <w:spacing w:line="260" w:lineRule="exact"/>
              <w:jc w:val="center"/>
              <w:rPr>
                <w:rFonts w:eastAsia="宋体"/>
                <w:sz w:val="21"/>
                <w:szCs w:val="21"/>
              </w:rPr>
            </w:pPr>
            <w:r>
              <w:rPr>
                <w:rFonts w:eastAsia="宋体"/>
                <w:sz w:val="21"/>
                <w:szCs w:val="21"/>
              </w:rPr>
              <w:t>蒸气压</w:t>
            </w:r>
          </w:p>
        </w:tc>
        <w:tc>
          <w:tcPr>
            <w:tcW w:w="2268" w:type="dxa"/>
            <w:vMerge w:val="continue"/>
            <w:noWrap/>
            <w:vAlign w:val="center"/>
          </w:tcPr>
          <w:p>
            <w:pPr>
              <w:spacing w:before="120" w:line="280" w:lineRule="exact"/>
              <w:jc w:val="center"/>
              <w:rPr>
                <w:rFonts w:eastAsia="宋体"/>
                <w:sz w:val="21"/>
              </w:rPr>
            </w:pPr>
          </w:p>
        </w:tc>
        <w:tc>
          <w:tcPr>
            <w:tcW w:w="652" w:type="dxa"/>
            <w:shd w:val="clear" w:color="auto" w:fill="FFFFFF" w:themeFill="background1"/>
            <w:noWrap/>
            <w:vAlign w:val="center"/>
          </w:tcPr>
          <w:p>
            <w:pPr>
              <w:spacing w:before="120" w:line="280" w:lineRule="exact"/>
              <w:jc w:val="center"/>
              <w:rPr>
                <w:rFonts w:eastAsia="宋体"/>
                <w:sz w:val="21"/>
              </w:rPr>
            </w:pPr>
            <w:r>
              <w:rPr>
                <w:rFonts w:eastAsia="宋体"/>
                <w:sz w:val="21"/>
              </w:rPr>
              <w:t>●</w:t>
            </w:r>
          </w:p>
        </w:tc>
        <w:tc>
          <w:tcPr>
            <w:tcW w:w="652" w:type="dxa"/>
            <w:shd w:val="clear" w:color="auto" w:fill="FFFFFF" w:themeFill="background1"/>
            <w:noWrap/>
            <w:vAlign w:val="center"/>
          </w:tcPr>
          <w:p>
            <w:pPr>
              <w:adjustRightInd w:val="0"/>
              <w:spacing w:line="260" w:lineRule="exact"/>
              <w:jc w:val="center"/>
              <w:rPr>
                <w:rFonts w:eastAsia="宋体"/>
                <w:sz w:val="21"/>
                <w:szCs w:val="21"/>
              </w:rPr>
            </w:pPr>
          </w:p>
        </w:tc>
        <w:tc>
          <w:tcPr>
            <w:tcW w:w="652" w:type="dxa"/>
            <w:shd w:val="clear" w:color="auto" w:fill="FFFFFF" w:themeFill="background1"/>
            <w:noWrap/>
            <w:vAlign w:val="center"/>
          </w:tcPr>
          <w:p>
            <w:pPr>
              <w:adjustRightInd w:val="0"/>
              <w:spacing w:line="260" w:lineRule="exact"/>
              <w:jc w:val="center"/>
              <w:rPr>
                <w:rFonts w:eastAsia="宋体"/>
                <w:sz w:val="21"/>
                <w:szCs w:val="21"/>
              </w:rPr>
            </w:pPr>
          </w:p>
        </w:tc>
        <w:tc>
          <w:tcPr>
            <w:tcW w:w="652" w:type="dxa"/>
            <w:shd w:val="clear" w:color="auto" w:fill="FFFFFF" w:themeFill="background1"/>
            <w:noWrap/>
            <w:vAlign w:val="center"/>
          </w:tcPr>
          <w:p>
            <w:pPr>
              <w:adjustRightInd w:val="0"/>
              <w:spacing w:line="260" w:lineRule="exact"/>
              <w:jc w:val="center"/>
              <w:rPr>
                <w:rFonts w:eastAsia="宋体"/>
                <w:sz w:val="21"/>
                <w:szCs w:val="21"/>
              </w:rPr>
            </w:pPr>
            <w:r>
              <w:rPr>
                <w:rFonts w:eastAsia="宋体"/>
                <w:sz w:val="21"/>
                <w:szCs w:val="21"/>
              </w:rPr>
              <w:t>●</w:t>
            </w:r>
          </w:p>
        </w:tc>
        <w:tc>
          <w:tcPr>
            <w:tcW w:w="653" w:type="dxa"/>
            <w:shd w:val="clear" w:color="auto" w:fill="FFFFFF" w:themeFill="background1"/>
            <w:noWrap/>
            <w:vAlign w:val="center"/>
          </w:tcPr>
          <w:p>
            <w:pPr>
              <w:spacing w:line="260" w:lineRule="exact"/>
              <w:jc w:val="center"/>
              <w:rPr>
                <w:rFonts w:eastAsia="宋体"/>
                <w:sz w:val="21"/>
                <w:szCs w:val="21"/>
              </w:rPr>
            </w:pPr>
          </w:p>
        </w:tc>
      </w:tr>
    </w:tbl>
    <w:p>
      <w:pPr>
        <w:pStyle w:val="7"/>
        <w:spacing w:line="590" w:lineRule="exact"/>
        <w:ind w:firstLine="640"/>
        <w:rPr>
          <w:rFonts w:ascii="Times New Roman" w:hAnsi="Times New Roman" w:eastAsia="楷体_GB2312" w:cs="楷体_GB2312"/>
          <w:color w:val="000000"/>
          <w:sz w:val="32"/>
          <w:szCs w:val="32"/>
        </w:rPr>
      </w:pPr>
      <w:r>
        <w:rPr>
          <w:rFonts w:hint="eastAsia" w:ascii="Times New Roman" w:hAnsi="Times New Roman" w:eastAsia="楷体_GB2312" w:cs="楷体_GB2312"/>
          <w:color w:val="000000"/>
          <w:sz w:val="32"/>
          <w:szCs w:val="32"/>
        </w:rPr>
        <w:t>（二）车用柴油</w:t>
      </w:r>
    </w:p>
    <w:tbl>
      <w:tblPr>
        <w:tblStyle w:val="5"/>
        <w:tblW w:w="77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1559"/>
        <w:gridCol w:w="2268"/>
        <w:gridCol w:w="652"/>
        <w:gridCol w:w="652"/>
        <w:gridCol w:w="652"/>
        <w:gridCol w:w="652"/>
        <w:gridCol w:w="6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1" w:hRule="atLeast"/>
          <w:jc w:val="center"/>
        </w:trPr>
        <w:tc>
          <w:tcPr>
            <w:tcW w:w="704" w:type="dxa"/>
            <w:noWrap/>
            <w:vAlign w:val="center"/>
          </w:tcPr>
          <w:p>
            <w:pPr>
              <w:spacing w:line="340" w:lineRule="exact"/>
              <w:jc w:val="center"/>
              <w:rPr>
                <w:rFonts w:eastAsia="宋体"/>
                <w:b/>
                <w:bCs/>
                <w:sz w:val="21"/>
              </w:rPr>
            </w:pPr>
            <w:r>
              <w:rPr>
                <w:rFonts w:eastAsia="宋体"/>
                <w:b/>
                <w:bCs/>
                <w:sz w:val="21"/>
              </w:rPr>
              <w:t>序号</w:t>
            </w:r>
          </w:p>
        </w:tc>
        <w:tc>
          <w:tcPr>
            <w:tcW w:w="1559" w:type="dxa"/>
            <w:noWrap/>
            <w:vAlign w:val="center"/>
          </w:tcPr>
          <w:p>
            <w:pPr>
              <w:spacing w:line="340" w:lineRule="exact"/>
              <w:jc w:val="center"/>
              <w:rPr>
                <w:rFonts w:eastAsia="宋体"/>
                <w:b/>
                <w:bCs/>
                <w:sz w:val="21"/>
              </w:rPr>
            </w:pPr>
            <w:r>
              <w:rPr>
                <w:rFonts w:eastAsia="宋体"/>
                <w:b/>
                <w:bCs/>
                <w:sz w:val="21"/>
              </w:rPr>
              <w:t>检验项目</w:t>
            </w:r>
          </w:p>
        </w:tc>
        <w:tc>
          <w:tcPr>
            <w:tcW w:w="2268" w:type="dxa"/>
            <w:noWrap/>
            <w:vAlign w:val="center"/>
          </w:tcPr>
          <w:p>
            <w:pPr>
              <w:spacing w:line="340" w:lineRule="exact"/>
              <w:jc w:val="center"/>
              <w:rPr>
                <w:rFonts w:eastAsia="宋体"/>
                <w:b/>
                <w:bCs/>
                <w:sz w:val="21"/>
              </w:rPr>
            </w:pPr>
            <w:r>
              <w:rPr>
                <w:rFonts w:eastAsia="宋体"/>
                <w:b/>
                <w:bCs/>
                <w:sz w:val="24"/>
              </w:rPr>
              <w:t>检验方法</w:t>
            </w:r>
          </w:p>
        </w:tc>
        <w:tc>
          <w:tcPr>
            <w:tcW w:w="652" w:type="dxa"/>
            <w:noWrap/>
            <w:vAlign w:val="center"/>
          </w:tcPr>
          <w:p>
            <w:pPr>
              <w:spacing w:line="340" w:lineRule="exact"/>
              <w:jc w:val="center"/>
              <w:rPr>
                <w:rFonts w:eastAsia="宋体"/>
                <w:b/>
                <w:bCs/>
                <w:sz w:val="21"/>
              </w:rPr>
            </w:pPr>
            <w:r>
              <w:rPr>
                <w:rFonts w:eastAsia="宋体"/>
                <w:b/>
                <w:bCs/>
                <w:sz w:val="21"/>
              </w:rPr>
              <w:t>强制性</w:t>
            </w:r>
          </w:p>
        </w:tc>
        <w:tc>
          <w:tcPr>
            <w:tcW w:w="652" w:type="dxa"/>
            <w:noWrap/>
            <w:vAlign w:val="center"/>
          </w:tcPr>
          <w:p>
            <w:pPr>
              <w:spacing w:line="340" w:lineRule="exact"/>
              <w:jc w:val="center"/>
              <w:rPr>
                <w:rFonts w:eastAsia="宋体"/>
                <w:b/>
                <w:bCs/>
                <w:sz w:val="21"/>
              </w:rPr>
            </w:pPr>
            <w:r>
              <w:rPr>
                <w:rFonts w:eastAsia="宋体"/>
                <w:b/>
                <w:bCs/>
                <w:sz w:val="21"/>
              </w:rPr>
              <w:t>非强制性</w:t>
            </w:r>
          </w:p>
        </w:tc>
        <w:tc>
          <w:tcPr>
            <w:tcW w:w="652" w:type="dxa"/>
            <w:noWrap/>
            <w:vAlign w:val="center"/>
          </w:tcPr>
          <w:p>
            <w:pPr>
              <w:spacing w:line="340" w:lineRule="exact"/>
              <w:jc w:val="center"/>
              <w:rPr>
                <w:rFonts w:eastAsia="宋体"/>
                <w:b/>
                <w:bCs/>
                <w:sz w:val="21"/>
              </w:rPr>
            </w:pPr>
            <w:r>
              <w:rPr>
                <w:rFonts w:eastAsia="宋体"/>
                <w:b/>
                <w:bCs/>
                <w:sz w:val="21"/>
              </w:rPr>
              <w:t>重要项</w:t>
            </w:r>
          </w:p>
        </w:tc>
        <w:tc>
          <w:tcPr>
            <w:tcW w:w="652" w:type="dxa"/>
            <w:noWrap/>
            <w:vAlign w:val="center"/>
          </w:tcPr>
          <w:p>
            <w:pPr>
              <w:spacing w:line="340" w:lineRule="exact"/>
              <w:jc w:val="center"/>
              <w:rPr>
                <w:rFonts w:eastAsia="宋体"/>
                <w:b/>
                <w:bCs/>
                <w:sz w:val="21"/>
              </w:rPr>
            </w:pPr>
            <w:r>
              <w:rPr>
                <w:rFonts w:eastAsia="宋体"/>
                <w:b/>
                <w:bCs/>
                <w:sz w:val="21"/>
              </w:rPr>
              <w:t>较重要项</w:t>
            </w:r>
          </w:p>
        </w:tc>
        <w:tc>
          <w:tcPr>
            <w:tcW w:w="653" w:type="dxa"/>
            <w:noWrap/>
            <w:vAlign w:val="center"/>
          </w:tcPr>
          <w:p>
            <w:pPr>
              <w:spacing w:line="340" w:lineRule="exact"/>
              <w:jc w:val="center"/>
              <w:rPr>
                <w:rFonts w:eastAsia="宋体"/>
                <w:b/>
                <w:bCs/>
                <w:sz w:val="21"/>
              </w:rPr>
            </w:pPr>
            <w:r>
              <w:rPr>
                <w:rFonts w:eastAsia="宋体"/>
                <w:b/>
                <w:bCs/>
                <w:sz w:val="21"/>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3" w:hRule="atLeast"/>
          <w:jc w:val="center"/>
        </w:trPr>
        <w:tc>
          <w:tcPr>
            <w:tcW w:w="704" w:type="dxa"/>
            <w:noWrap/>
            <w:vAlign w:val="center"/>
          </w:tcPr>
          <w:p>
            <w:pPr>
              <w:widowControl/>
              <w:spacing w:line="340" w:lineRule="exact"/>
              <w:jc w:val="center"/>
              <w:rPr>
                <w:rFonts w:eastAsia="宋体"/>
                <w:sz w:val="21"/>
              </w:rPr>
            </w:pPr>
            <w:r>
              <w:rPr>
                <w:rFonts w:eastAsia="宋体"/>
                <w:sz w:val="21"/>
              </w:rPr>
              <w:t>1</w:t>
            </w:r>
          </w:p>
        </w:tc>
        <w:tc>
          <w:tcPr>
            <w:tcW w:w="1559" w:type="dxa"/>
            <w:noWrap/>
            <w:vAlign w:val="center"/>
          </w:tcPr>
          <w:p>
            <w:pPr>
              <w:snapToGrid w:val="0"/>
              <w:spacing w:line="300" w:lineRule="exact"/>
              <w:jc w:val="center"/>
              <w:rPr>
                <w:rFonts w:eastAsia="宋体"/>
                <w:sz w:val="21"/>
                <w:szCs w:val="21"/>
              </w:rPr>
            </w:pPr>
            <w:r>
              <w:rPr>
                <w:rFonts w:eastAsia="宋体"/>
                <w:sz w:val="21"/>
                <w:szCs w:val="21"/>
              </w:rPr>
              <w:t>硫含量</w:t>
            </w:r>
          </w:p>
        </w:tc>
        <w:tc>
          <w:tcPr>
            <w:tcW w:w="2268" w:type="dxa"/>
            <w:vMerge w:val="restart"/>
            <w:noWrap/>
            <w:vAlign w:val="center"/>
          </w:tcPr>
          <w:p>
            <w:pPr>
              <w:pStyle w:val="8"/>
              <w:spacing w:before="0" w:after="0" w:line="340" w:lineRule="exact"/>
              <w:rPr>
                <w:rFonts w:ascii="Times New Roman" w:eastAsia="宋体"/>
                <w:kern w:val="2"/>
                <w:sz w:val="21"/>
                <w:szCs w:val="24"/>
              </w:rPr>
            </w:pPr>
            <w:r>
              <w:rPr>
                <w:rFonts w:hint="eastAsia" w:ascii="宋体" w:hAnsi="宋体" w:eastAsia="宋体" w:cs="宋体"/>
                <w:sz w:val="21"/>
                <w:szCs w:val="21"/>
              </w:rPr>
              <w:t>ZDS JS2025-2022成品油和车用尿素水溶液（AUS32）产品快速筛查技术规范</w:t>
            </w:r>
          </w:p>
        </w:tc>
        <w:tc>
          <w:tcPr>
            <w:tcW w:w="652" w:type="dxa"/>
            <w:noWrap/>
            <w:vAlign w:val="center"/>
          </w:tcPr>
          <w:p>
            <w:pPr>
              <w:spacing w:line="340" w:lineRule="exact"/>
              <w:jc w:val="center"/>
              <w:rPr>
                <w:rFonts w:eastAsia="宋体"/>
                <w:sz w:val="21"/>
              </w:rPr>
            </w:pPr>
            <w:r>
              <w:rPr>
                <w:rFonts w:eastAsia="宋体"/>
                <w:sz w:val="21"/>
              </w:rPr>
              <w:t>●</w:t>
            </w:r>
          </w:p>
        </w:tc>
        <w:tc>
          <w:tcPr>
            <w:tcW w:w="652" w:type="dxa"/>
            <w:noWrap/>
            <w:vAlign w:val="center"/>
          </w:tcPr>
          <w:p>
            <w:pPr>
              <w:spacing w:line="300" w:lineRule="exact"/>
              <w:jc w:val="center"/>
              <w:rPr>
                <w:rFonts w:eastAsia="宋体"/>
                <w:sz w:val="21"/>
                <w:szCs w:val="21"/>
              </w:rPr>
            </w:pPr>
          </w:p>
        </w:tc>
        <w:tc>
          <w:tcPr>
            <w:tcW w:w="652" w:type="dxa"/>
            <w:noWrap/>
            <w:vAlign w:val="center"/>
          </w:tcPr>
          <w:p>
            <w:pPr>
              <w:spacing w:line="300" w:lineRule="exact"/>
              <w:jc w:val="center"/>
              <w:rPr>
                <w:rFonts w:eastAsia="宋体"/>
                <w:sz w:val="21"/>
                <w:szCs w:val="21"/>
              </w:rPr>
            </w:pPr>
            <w:r>
              <w:rPr>
                <w:rFonts w:eastAsia="宋体"/>
                <w:sz w:val="21"/>
                <w:szCs w:val="21"/>
              </w:rPr>
              <w:t>●</w:t>
            </w:r>
          </w:p>
        </w:tc>
        <w:tc>
          <w:tcPr>
            <w:tcW w:w="652" w:type="dxa"/>
            <w:noWrap/>
            <w:vAlign w:val="center"/>
          </w:tcPr>
          <w:p>
            <w:pPr>
              <w:spacing w:line="300" w:lineRule="exact"/>
              <w:jc w:val="center"/>
              <w:rPr>
                <w:rFonts w:eastAsia="宋体"/>
                <w:sz w:val="21"/>
                <w:szCs w:val="21"/>
              </w:rPr>
            </w:pPr>
          </w:p>
        </w:tc>
        <w:tc>
          <w:tcPr>
            <w:tcW w:w="653" w:type="dxa"/>
            <w:noWrap/>
            <w:vAlign w:val="center"/>
          </w:tcPr>
          <w:p>
            <w:pPr>
              <w:spacing w:line="300" w:lineRule="exact"/>
              <w:jc w:val="center"/>
              <w:rPr>
                <w:rFonts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3" w:hRule="atLeast"/>
          <w:jc w:val="center"/>
        </w:trPr>
        <w:tc>
          <w:tcPr>
            <w:tcW w:w="704" w:type="dxa"/>
            <w:noWrap/>
            <w:vAlign w:val="center"/>
          </w:tcPr>
          <w:p>
            <w:pPr>
              <w:widowControl/>
              <w:spacing w:line="340" w:lineRule="exact"/>
              <w:jc w:val="center"/>
              <w:rPr>
                <w:rFonts w:eastAsia="宋体"/>
                <w:sz w:val="21"/>
              </w:rPr>
            </w:pPr>
            <w:r>
              <w:rPr>
                <w:rFonts w:eastAsia="宋体"/>
                <w:sz w:val="21"/>
              </w:rPr>
              <w:t>2</w:t>
            </w:r>
          </w:p>
        </w:tc>
        <w:tc>
          <w:tcPr>
            <w:tcW w:w="1559" w:type="dxa"/>
            <w:noWrap/>
            <w:vAlign w:val="center"/>
          </w:tcPr>
          <w:p>
            <w:pPr>
              <w:snapToGrid w:val="0"/>
              <w:spacing w:line="300" w:lineRule="exact"/>
              <w:jc w:val="center"/>
              <w:rPr>
                <w:rFonts w:eastAsia="宋体"/>
                <w:sz w:val="21"/>
                <w:szCs w:val="21"/>
              </w:rPr>
            </w:pPr>
            <w:r>
              <w:rPr>
                <w:rFonts w:eastAsia="宋体"/>
                <w:sz w:val="21"/>
                <w:szCs w:val="21"/>
              </w:rPr>
              <w:t>闪点（闭口）</w:t>
            </w:r>
          </w:p>
        </w:tc>
        <w:tc>
          <w:tcPr>
            <w:tcW w:w="2268" w:type="dxa"/>
            <w:vMerge w:val="continue"/>
            <w:noWrap/>
            <w:vAlign w:val="center"/>
          </w:tcPr>
          <w:p>
            <w:pPr>
              <w:spacing w:line="340" w:lineRule="exact"/>
              <w:jc w:val="center"/>
              <w:rPr>
                <w:rFonts w:eastAsia="宋体"/>
                <w:sz w:val="21"/>
              </w:rPr>
            </w:pPr>
          </w:p>
        </w:tc>
        <w:tc>
          <w:tcPr>
            <w:tcW w:w="652" w:type="dxa"/>
            <w:noWrap/>
            <w:vAlign w:val="center"/>
          </w:tcPr>
          <w:p>
            <w:pPr>
              <w:spacing w:line="340" w:lineRule="exact"/>
              <w:jc w:val="center"/>
              <w:rPr>
                <w:rFonts w:eastAsia="宋体"/>
                <w:sz w:val="21"/>
              </w:rPr>
            </w:pPr>
            <w:r>
              <w:rPr>
                <w:rFonts w:eastAsia="宋体"/>
                <w:sz w:val="21"/>
              </w:rPr>
              <w:t>●</w:t>
            </w:r>
          </w:p>
        </w:tc>
        <w:tc>
          <w:tcPr>
            <w:tcW w:w="652" w:type="dxa"/>
            <w:noWrap/>
            <w:vAlign w:val="center"/>
          </w:tcPr>
          <w:p>
            <w:pPr>
              <w:spacing w:line="300" w:lineRule="exact"/>
              <w:jc w:val="center"/>
              <w:rPr>
                <w:rFonts w:eastAsia="宋体"/>
                <w:sz w:val="21"/>
                <w:szCs w:val="21"/>
              </w:rPr>
            </w:pPr>
          </w:p>
        </w:tc>
        <w:tc>
          <w:tcPr>
            <w:tcW w:w="652" w:type="dxa"/>
            <w:noWrap/>
            <w:vAlign w:val="center"/>
          </w:tcPr>
          <w:p>
            <w:pPr>
              <w:spacing w:line="300" w:lineRule="exact"/>
              <w:jc w:val="center"/>
              <w:rPr>
                <w:rFonts w:eastAsia="宋体"/>
                <w:sz w:val="21"/>
                <w:szCs w:val="21"/>
              </w:rPr>
            </w:pPr>
            <w:r>
              <w:rPr>
                <w:rFonts w:eastAsia="宋体"/>
                <w:sz w:val="21"/>
                <w:szCs w:val="21"/>
              </w:rPr>
              <w:t>●</w:t>
            </w:r>
          </w:p>
        </w:tc>
        <w:tc>
          <w:tcPr>
            <w:tcW w:w="652" w:type="dxa"/>
            <w:noWrap/>
            <w:vAlign w:val="center"/>
          </w:tcPr>
          <w:p>
            <w:pPr>
              <w:spacing w:line="300" w:lineRule="exact"/>
              <w:jc w:val="center"/>
              <w:rPr>
                <w:rFonts w:eastAsia="宋体"/>
                <w:sz w:val="21"/>
                <w:szCs w:val="21"/>
              </w:rPr>
            </w:pPr>
          </w:p>
        </w:tc>
        <w:tc>
          <w:tcPr>
            <w:tcW w:w="653" w:type="dxa"/>
            <w:noWrap/>
            <w:vAlign w:val="center"/>
          </w:tcPr>
          <w:p>
            <w:pPr>
              <w:spacing w:line="300" w:lineRule="exact"/>
              <w:jc w:val="center"/>
              <w:rPr>
                <w:rFonts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3" w:hRule="atLeast"/>
          <w:jc w:val="center"/>
        </w:trPr>
        <w:tc>
          <w:tcPr>
            <w:tcW w:w="704" w:type="dxa"/>
            <w:noWrap/>
            <w:vAlign w:val="center"/>
          </w:tcPr>
          <w:p>
            <w:pPr>
              <w:widowControl/>
              <w:spacing w:line="340" w:lineRule="exact"/>
              <w:jc w:val="center"/>
              <w:rPr>
                <w:rFonts w:eastAsia="宋体"/>
                <w:sz w:val="21"/>
              </w:rPr>
            </w:pPr>
            <w:r>
              <w:rPr>
                <w:rFonts w:eastAsia="宋体"/>
                <w:sz w:val="21"/>
              </w:rPr>
              <w:t>3</w:t>
            </w:r>
          </w:p>
        </w:tc>
        <w:tc>
          <w:tcPr>
            <w:tcW w:w="1559" w:type="dxa"/>
            <w:noWrap/>
            <w:vAlign w:val="center"/>
          </w:tcPr>
          <w:p>
            <w:pPr>
              <w:snapToGrid w:val="0"/>
              <w:spacing w:line="300" w:lineRule="exact"/>
              <w:jc w:val="center"/>
              <w:rPr>
                <w:rFonts w:eastAsia="宋体"/>
                <w:sz w:val="21"/>
                <w:szCs w:val="21"/>
              </w:rPr>
            </w:pPr>
            <w:r>
              <w:rPr>
                <w:rFonts w:eastAsia="宋体"/>
                <w:sz w:val="21"/>
                <w:szCs w:val="21"/>
              </w:rPr>
              <w:t>凝点</w:t>
            </w:r>
          </w:p>
        </w:tc>
        <w:tc>
          <w:tcPr>
            <w:tcW w:w="2268" w:type="dxa"/>
            <w:vMerge w:val="continue"/>
            <w:noWrap/>
            <w:vAlign w:val="center"/>
          </w:tcPr>
          <w:p>
            <w:pPr>
              <w:spacing w:line="340" w:lineRule="exact"/>
              <w:jc w:val="center"/>
              <w:rPr>
                <w:rFonts w:eastAsia="宋体"/>
                <w:sz w:val="21"/>
              </w:rPr>
            </w:pPr>
          </w:p>
        </w:tc>
        <w:tc>
          <w:tcPr>
            <w:tcW w:w="652" w:type="dxa"/>
            <w:noWrap/>
            <w:vAlign w:val="center"/>
          </w:tcPr>
          <w:p>
            <w:pPr>
              <w:spacing w:line="340" w:lineRule="exact"/>
              <w:jc w:val="center"/>
              <w:rPr>
                <w:rFonts w:eastAsia="宋体"/>
                <w:sz w:val="21"/>
              </w:rPr>
            </w:pPr>
            <w:r>
              <w:rPr>
                <w:rFonts w:eastAsia="宋体"/>
                <w:sz w:val="21"/>
              </w:rPr>
              <w:t>●</w:t>
            </w:r>
          </w:p>
        </w:tc>
        <w:tc>
          <w:tcPr>
            <w:tcW w:w="652" w:type="dxa"/>
            <w:noWrap/>
            <w:vAlign w:val="center"/>
          </w:tcPr>
          <w:p>
            <w:pPr>
              <w:spacing w:line="300" w:lineRule="exact"/>
              <w:jc w:val="center"/>
              <w:rPr>
                <w:rFonts w:eastAsia="宋体"/>
                <w:sz w:val="21"/>
                <w:szCs w:val="21"/>
              </w:rPr>
            </w:pPr>
          </w:p>
        </w:tc>
        <w:tc>
          <w:tcPr>
            <w:tcW w:w="652" w:type="dxa"/>
            <w:noWrap/>
            <w:vAlign w:val="center"/>
          </w:tcPr>
          <w:p>
            <w:pPr>
              <w:spacing w:line="300" w:lineRule="exact"/>
              <w:jc w:val="center"/>
              <w:rPr>
                <w:rFonts w:eastAsia="宋体"/>
                <w:sz w:val="21"/>
                <w:szCs w:val="21"/>
              </w:rPr>
            </w:pPr>
          </w:p>
        </w:tc>
        <w:tc>
          <w:tcPr>
            <w:tcW w:w="652" w:type="dxa"/>
            <w:noWrap/>
            <w:vAlign w:val="center"/>
          </w:tcPr>
          <w:p>
            <w:pPr>
              <w:spacing w:line="300" w:lineRule="exact"/>
              <w:jc w:val="center"/>
              <w:rPr>
                <w:rFonts w:eastAsia="宋体"/>
                <w:sz w:val="21"/>
                <w:szCs w:val="21"/>
              </w:rPr>
            </w:pPr>
            <w:r>
              <w:rPr>
                <w:rFonts w:eastAsia="宋体"/>
                <w:sz w:val="21"/>
                <w:szCs w:val="21"/>
              </w:rPr>
              <w:t>●</w:t>
            </w:r>
          </w:p>
        </w:tc>
        <w:tc>
          <w:tcPr>
            <w:tcW w:w="653" w:type="dxa"/>
            <w:noWrap/>
            <w:vAlign w:val="center"/>
          </w:tcPr>
          <w:p>
            <w:pPr>
              <w:spacing w:line="300" w:lineRule="exact"/>
              <w:jc w:val="center"/>
              <w:rPr>
                <w:rFonts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3" w:hRule="atLeast"/>
          <w:jc w:val="center"/>
        </w:trPr>
        <w:tc>
          <w:tcPr>
            <w:tcW w:w="704" w:type="dxa"/>
            <w:noWrap/>
            <w:vAlign w:val="center"/>
          </w:tcPr>
          <w:p>
            <w:pPr>
              <w:widowControl/>
              <w:spacing w:line="340" w:lineRule="exact"/>
              <w:jc w:val="center"/>
              <w:rPr>
                <w:rFonts w:eastAsia="宋体"/>
                <w:sz w:val="21"/>
              </w:rPr>
            </w:pPr>
            <w:r>
              <w:rPr>
                <w:rFonts w:eastAsia="宋体"/>
                <w:sz w:val="21"/>
              </w:rPr>
              <w:t>4</w:t>
            </w:r>
          </w:p>
        </w:tc>
        <w:tc>
          <w:tcPr>
            <w:tcW w:w="1559" w:type="dxa"/>
            <w:noWrap/>
            <w:vAlign w:val="center"/>
          </w:tcPr>
          <w:p>
            <w:pPr>
              <w:snapToGrid w:val="0"/>
              <w:spacing w:line="300" w:lineRule="exact"/>
              <w:jc w:val="center"/>
              <w:rPr>
                <w:rFonts w:eastAsia="宋体"/>
                <w:sz w:val="21"/>
                <w:szCs w:val="21"/>
              </w:rPr>
            </w:pPr>
            <w:r>
              <w:rPr>
                <w:rFonts w:eastAsia="宋体"/>
                <w:sz w:val="21"/>
                <w:szCs w:val="21"/>
              </w:rPr>
              <w:t>冷滤点</w:t>
            </w:r>
          </w:p>
        </w:tc>
        <w:tc>
          <w:tcPr>
            <w:tcW w:w="2268" w:type="dxa"/>
            <w:vMerge w:val="continue"/>
            <w:noWrap/>
            <w:vAlign w:val="center"/>
          </w:tcPr>
          <w:p>
            <w:pPr>
              <w:spacing w:line="340" w:lineRule="exact"/>
              <w:jc w:val="center"/>
              <w:rPr>
                <w:rFonts w:eastAsia="宋体"/>
                <w:sz w:val="21"/>
              </w:rPr>
            </w:pPr>
          </w:p>
        </w:tc>
        <w:tc>
          <w:tcPr>
            <w:tcW w:w="652" w:type="dxa"/>
            <w:noWrap/>
            <w:vAlign w:val="center"/>
          </w:tcPr>
          <w:p>
            <w:pPr>
              <w:spacing w:line="340" w:lineRule="exact"/>
              <w:jc w:val="center"/>
              <w:rPr>
                <w:rFonts w:eastAsia="宋体"/>
                <w:sz w:val="21"/>
              </w:rPr>
            </w:pPr>
            <w:r>
              <w:rPr>
                <w:rFonts w:eastAsia="宋体"/>
                <w:sz w:val="21"/>
              </w:rPr>
              <w:t>●</w:t>
            </w:r>
          </w:p>
        </w:tc>
        <w:tc>
          <w:tcPr>
            <w:tcW w:w="652" w:type="dxa"/>
            <w:noWrap/>
            <w:vAlign w:val="center"/>
          </w:tcPr>
          <w:p>
            <w:pPr>
              <w:spacing w:line="300" w:lineRule="exact"/>
              <w:jc w:val="center"/>
              <w:rPr>
                <w:rFonts w:eastAsia="宋体"/>
                <w:sz w:val="21"/>
                <w:szCs w:val="21"/>
              </w:rPr>
            </w:pPr>
          </w:p>
        </w:tc>
        <w:tc>
          <w:tcPr>
            <w:tcW w:w="652" w:type="dxa"/>
            <w:noWrap/>
            <w:vAlign w:val="center"/>
          </w:tcPr>
          <w:p>
            <w:pPr>
              <w:spacing w:line="300" w:lineRule="exact"/>
              <w:jc w:val="center"/>
              <w:rPr>
                <w:rFonts w:eastAsia="宋体"/>
                <w:sz w:val="21"/>
                <w:szCs w:val="21"/>
              </w:rPr>
            </w:pPr>
          </w:p>
        </w:tc>
        <w:tc>
          <w:tcPr>
            <w:tcW w:w="652" w:type="dxa"/>
            <w:noWrap/>
            <w:vAlign w:val="center"/>
          </w:tcPr>
          <w:p>
            <w:pPr>
              <w:spacing w:line="300" w:lineRule="exact"/>
              <w:jc w:val="center"/>
              <w:rPr>
                <w:rFonts w:eastAsia="宋体"/>
                <w:sz w:val="21"/>
                <w:szCs w:val="21"/>
              </w:rPr>
            </w:pPr>
            <w:r>
              <w:rPr>
                <w:rFonts w:eastAsia="宋体"/>
                <w:sz w:val="21"/>
                <w:szCs w:val="21"/>
              </w:rPr>
              <w:t>●</w:t>
            </w:r>
          </w:p>
        </w:tc>
        <w:tc>
          <w:tcPr>
            <w:tcW w:w="653" w:type="dxa"/>
            <w:noWrap/>
            <w:vAlign w:val="center"/>
          </w:tcPr>
          <w:p>
            <w:pPr>
              <w:spacing w:line="300" w:lineRule="exact"/>
              <w:jc w:val="center"/>
              <w:rPr>
                <w:rFonts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3" w:hRule="atLeast"/>
          <w:jc w:val="center"/>
        </w:trPr>
        <w:tc>
          <w:tcPr>
            <w:tcW w:w="704" w:type="dxa"/>
            <w:noWrap/>
            <w:vAlign w:val="center"/>
          </w:tcPr>
          <w:p>
            <w:pPr>
              <w:widowControl/>
              <w:spacing w:line="340" w:lineRule="exact"/>
              <w:jc w:val="center"/>
              <w:rPr>
                <w:rFonts w:eastAsia="宋体"/>
                <w:sz w:val="21"/>
              </w:rPr>
            </w:pPr>
            <w:r>
              <w:rPr>
                <w:rFonts w:eastAsia="宋体"/>
                <w:sz w:val="21"/>
              </w:rPr>
              <w:t>5</w:t>
            </w:r>
          </w:p>
        </w:tc>
        <w:tc>
          <w:tcPr>
            <w:tcW w:w="1559" w:type="dxa"/>
            <w:noWrap/>
            <w:vAlign w:val="center"/>
          </w:tcPr>
          <w:p>
            <w:pPr>
              <w:snapToGrid w:val="0"/>
              <w:spacing w:line="300" w:lineRule="exact"/>
              <w:jc w:val="center"/>
              <w:rPr>
                <w:rFonts w:eastAsia="宋体"/>
                <w:sz w:val="21"/>
                <w:szCs w:val="21"/>
              </w:rPr>
            </w:pPr>
            <w:r>
              <w:rPr>
                <w:rFonts w:eastAsia="宋体"/>
                <w:sz w:val="21"/>
                <w:szCs w:val="21"/>
              </w:rPr>
              <w:t>十六烷指数</w:t>
            </w:r>
          </w:p>
        </w:tc>
        <w:tc>
          <w:tcPr>
            <w:tcW w:w="2268" w:type="dxa"/>
            <w:vMerge w:val="continue"/>
            <w:noWrap/>
            <w:vAlign w:val="center"/>
          </w:tcPr>
          <w:p>
            <w:pPr>
              <w:spacing w:line="340" w:lineRule="exact"/>
              <w:jc w:val="center"/>
              <w:rPr>
                <w:rFonts w:eastAsia="宋体"/>
                <w:sz w:val="21"/>
              </w:rPr>
            </w:pPr>
          </w:p>
        </w:tc>
        <w:tc>
          <w:tcPr>
            <w:tcW w:w="652" w:type="dxa"/>
            <w:noWrap/>
            <w:vAlign w:val="center"/>
          </w:tcPr>
          <w:p>
            <w:pPr>
              <w:spacing w:line="340" w:lineRule="exact"/>
              <w:jc w:val="center"/>
              <w:rPr>
                <w:rFonts w:eastAsia="宋体"/>
                <w:sz w:val="21"/>
              </w:rPr>
            </w:pPr>
            <w:r>
              <w:rPr>
                <w:rFonts w:eastAsia="宋体"/>
                <w:sz w:val="21"/>
              </w:rPr>
              <w:t>●</w:t>
            </w:r>
          </w:p>
        </w:tc>
        <w:tc>
          <w:tcPr>
            <w:tcW w:w="652" w:type="dxa"/>
            <w:noWrap/>
            <w:vAlign w:val="center"/>
          </w:tcPr>
          <w:p>
            <w:pPr>
              <w:spacing w:line="300" w:lineRule="exact"/>
              <w:jc w:val="center"/>
              <w:rPr>
                <w:rFonts w:eastAsia="宋体"/>
                <w:sz w:val="21"/>
                <w:szCs w:val="21"/>
              </w:rPr>
            </w:pPr>
          </w:p>
        </w:tc>
        <w:tc>
          <w:tcPr>
            <w:tcW w:w="652" w:type="dxa"/>
            <w:noWrap/>
            <w:vAlign w:val="center"/>
          </w:tcPr>
          <w:p>
            <w:pPr>
              <w:spacing w:line="300" w:lineRule="exact"/>
              <w:jc w:val="center"/>
              <w:rPr>
                <w:rFonts w:eastAsia="宋体"/>
                <w:sz w:val="21"/>
                <w:szCs w:val="21"/>
              </w:rPr>
            </w:pPr>
          </w:p>
        </w:tc>
        <w:tc>
          <w:tcPr>
            <w:tcW w:w="652" w:type="dxa"/>
            <w:noWrap/>
            <w:vAlign w:val="center"/>
          </w:tcPr>
          <w:p>
            <w:pPr>
              <w:spacing w:line="300" w:lineRule="exact"/>
              <w:jc w:val="center"/>
              <w:rPr>
                <w:rFonts w:eastAsia="宋体"/>
                <w:sz w:val="21"/>
                <w:szCs w:val="21"/>
              </w:rPr>
            </w:pPr>
            <w:r>
              <w:rPr>
                <w:rFonts w:eastAsia="宋体"/>
                <w:sz w:val="21"/>
                <w:szCs w:val="21"/>
              </w:rPr>
              <w:t>●</w:t>
            </w:r>
          </w:p>
        </w:tc>
        <w:tc>
          <w:tcPr>
            <w:tcW w:w="653" w:type="dxa"/>
            <w:noWrap/>
            <w:vAlign w:val="center"/>
          </w:tcPr>
          <w:p>
            <w:pPr>
              <w:spacing w:line="300" w:lineRule="exact"/>
              <w:jc w:val="center"/>
              <w:rPr>
                <w:rFonts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3" w:hRule="atLeast"/>
          <w:jc w:val="center"/>
        </w:trPr>
        <w:tc>
          <w:tcPr>
            <w:tcW w:w="704" w:type="dxa"/>
            <w:noWrap/>
            <w:vAlign w:val="center"/>
          </w:tcPr>
          <w:p>
            <w:pPr>
              <w:widowControl/>
              <w:spacing w:line="340" w:lineRule="exact"/>
              <w:jc w:val="center"/>
              <w:rPr>
                <w:rFonts w:eastAsia="宋体"/>
                <w:sz w:val="21"/>
              </w:rPr>
            </w:pPr>
            <w:r>
              <w:rPr>
                <w:rFonts w:eastAsia="宋体"/>
                <w:sz w:val="21"/>
              </w:rPr>
              <w:t>6</w:t>
            </w:r>
          </w:p>
        </w:tc>
        <w:tc>
          <w:tcPr>
            <w:tcW w:w="1559" w:type="dxa"/>
            <w:noWrap/>
            <w:vAlign w:val="center"/>
          </w:tcPr>
          <w:p>
            <w:pPr>
              <w:snapToGrid w:val="0"/>
              <w:spacing w:line="300" w:lineRule="exact"/>
              <w:jc w:val="center"/>
              <w:rPr>
                <w:rFonts w:eastAsia="宋体"/>
                <w:sz w:val="21"/>
                <w:szCs w:val="21"/>
              </w:rPr>
            </w:pPr>
            <w:r>
              <w:rPr>
                <w:rFonts w:eastAsia="宋体"/>
                <w:sz w:val="21"/>
                <w:szCs w:val="21"/>
              </w:rPr>
              <w:t>密度</w:t>
            </w:r>
            <w:r>
              <w:rPr>
                <w:rFonts w:eastAsia="宋体"/>
                <w:sz w:val="21"/>
              </w:rPr>
              <w:t>(20</w:t>
            </w:r>
            <w:r>
              <w:rPr>
                <w:rFonts w:hint="eastAsia" w:ascii="宋体" w:hAnsi="宋体" w:eastAsia="宋体" w:cs="宋体"/>
                <w:sz w:val="21"/>
              </w:rPr>
              <w:t>℃</w:t>
            </w:r>
            <w:r>
              <w:rPr>
                <w:rFonts w:eastAsia="宋体"/>
                <w:sz w:val="21"/>
              </w:rPr>
              <w:t>)</w:t>
            </w:r>
          </w:p>
        </w:tc>
        <w:tc>
          <w:tcPr>
            <w:tcW w:w="2268" w:type="dxa"/>
            <w:vMerge w:val="continue"/>
            <w:noWrap/>
            <w:vAlign w:val="center"/>
          </w:tcPr>
          <w:p>
            <w:pPr>
              <w:spacing w:line="340" w:lineRule="exact"/>
              <w:jc w:val="center"/>
              <w:rPr>
                <w:rFonts w:eastAsia="宋体"/>
                <w:sz w:val="21"/>
              </w:rPr>
            </w:pPr>
          </w:p>
        </w:tc>
        <w:tc>
          <w:tcPr>
            <w:tcW w:w="652" w:type="dxa"/>
            <w:noWrap/>
            <w:vAlign w:val="center"/>
          </w:tcPr>
          <w:p>
            <w:pPr>
              <w:spacing w:line="340" w:lineRule="exact"/>
              <w:jc w:val="center"/>
              <w:rPr>
                <w:rFonts w:eastAsia="宋体"/>
                <w:sz w:val="21"/>
              </w:rPr>
            </w:pPr>
            <w:r>
              <w:rPr>
                <w:rFonts w:eastAsia="宋体"/>
                <w:sz w:val="21"/>
              </w:rPr>
              <w:t>●</w:t>
            </w:r>
          </w:p>
        </w:tc>
        <w:tc>
          <w:tcPr>
            <w:tcW w:w="652" w:type="dxa"/>
            <w:noWrap/>
            <w:vAlign w:val="center"/>
          </w:tcPr>
          <w:p>
            <w:pPr>
              <w:widowControl/>
              <w:snapToGrid w:val="0"/>
              <w:spacing w:line="300" w:lineRule="exact"/>
              <w:jc w:val="center"/>
              <w:rPr>
                <w:rFonts w:eastAsia="宋体"/>
                <w:sz w:val="21"/>
                <w:szCs w:val="21"/>
              </w:rPr>
            </w:pPr>
          </w:p>
        </w:tc>
        <w:tc>
          <w:tcPr>
            <w:tcW w:w="652" w:type="dxa"/>
            <w:noWrap/>
            <w:vAlign w:val="center"/>
          </w:tcPr>
          <w:p>
            <w:pPr>
              <w:spacing w:line="300" w:lineRule="exact"/>
              <w:jc w:val="center"/>
              <w:rPr>
                <w:rFonts w:eastAsia="宋体"/>
                <w:sz w:val="21"/>
                <w:szCs w:val="21"/>
              </w:rPr>
            </w:pPr>
          </w:p>
        </w:tc>
        <w:tc>
          <w:tcPr>
            <w:tcW w:w="652" w:type="dxa"/>
            <w:noWrap/>
            <w:vAlign w:val="center"/>
          </w:tcPr>
          <w:p>
            <w:pPr>
              <w:spacing w:line="300" w:lineRule="exact"/>
              <w:jc w:val="center"/>
              <w:rPr>
                <w:rFonts w:eastAsia="宋体"/>
                <w:sz w:val="21"/>
                <w:szCs w:val="21"/>
              </w:rPr>
            </w:pPr>
            <w:r>
              <w:rPr>
                <w:rFonts w:eastAsia="宋体"/>
                <w:sz w:val="21"/>
                <w:szCs w:val="21"/>
              </w:rPr>
              <w:t>●</w:t>
            </w:r>
          </w:p>
        </w:tc>
        <w:tc>
          <w:tcPr>
            <w:tcW w:w="653" w:type="dxa"/>
            <w:noWrap/>
            <w:vAlign w:val="center"/>
          </w:tcPr>
          <w:p>
            <w:pPr>
              <w:spacing w:line="300" w:lineRule="exact"/>
              <w:jc w:val="center"/>
              <w:rPr>
                <w:rFonts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3" w:hRule="atLeast"/>
          <w:jc w:val="center"/>
        </w:trPr>
        <w:tc>
          <w:tcPr>
            <w:tcW w:w="704" w:type="dxa"/>
            <w:noWrap/>
            <w:vAlign w:val="center"/>
          </w:tcPr>
          <w:p>
            <w:pPr>
              <w:widowControl/>
              <w:spacing w:line="340" w:lineRule="exact"/>
              <w:jc w:val="center"/>
              <w:rPr>
                <w:rFonts w:eastAsia="宋体"/>
                <w:sz w:val="21"/>
              </w:rPr>
            </w:pPr>
            <w:r>
              <w:rPr>
                <w:rFonts w:eastAsia="宋体"/>
                <w:sz w:val="21"/>
              </w:rPr>
              <w:t>7</w:t>
            </w:r>
          </w:p>
        </w:tc>
        <w:tc>
          <w:tcPr>
            <w:tcW w:w="1559" w:type="dxa"/>
            <w:noWrap/>
            <w:vAlign w:val="center"/>
          </w:tcPr>
          <w:p>
            <w:pPr>
              <w:snapToGrid w:val="0"/>
              <w:spacing w:line="300" w:lineRule="exact"/>
              <w:jc w:val="center"/>
              <w:rPr>
                <w:rFonts w:eastAsia="宋体"/>
                <w:sz w:val="21"/>
                <w:szCs w:val="21"/>
              </w:rPr>
            </w:pPr>
            <w:r>
              <w:rPr>
                <w:rFonts w:eastAsia="宋体"/>
                <w:sz w:val="21"/>
                <w:szCs w:val="21"/>
              </w:rPr>
              <w:t>十六烷值</w:t>
            </w:r>
          </w:p>
        </w:tc>
        <w:tc>
          <w:tcPr>
            <w:tcW w:w="2268" w:type="dxa"/>
            <w:vMerge w:val="continue"/>
            <w:noWrap/>
            <w:vAlign w:val="center"/>
          </w:tcPr>
          <w:p>
            <w:pPr>
              <w:spacing w:line="340" w:lineRule="exact"/>
              <w:jc w:val="center"/>
              <w:rPr>
                <w:rFonts w:eastAsia="宋体"/>
                <w:sz w:val="21"/>
              </w:rPr>
            </w:pPr>
          </w:p>
        </w:tc>
        <w:tc>
          <w:tcPr>
            <w:tcW w:w="652" w:type="dxa"/>
            <w:noWrap/>
            <w:vAlign w:val="center"/>
          </w:tcPr>
          <w:p>
            <w:pPr>
              <w:spacing w:line="340" w:lineRule="exact"/>
              <w:jc w:val="center"/>
              <w:rPr>
                <w:rFonts w:eastAsia="宋体"/>
                <w:sz w:val="21"/>
              </w:rPr>
            </w:pPr>
            <w:r>
              <w:rPr>
                <w:rFonts w:eastAsia="宋体"/>
                <w:sz w:val="21"/>
              </w:rPr>
              <w:t>●</w:t>
            </w:r>
          </w:p>
        </w:tc>
        <w:tc>
          <w:tcPr>
            <w:tcW w:w="652" w:type="dxa"/>
            <w:noWrap/>
            <w:vAlign w:val="center"/>
          </w:tcPr>
          <w:p>
            <w:pPr>
              <w:spacing w:line="300" w:lineRule="exact"/>
              <w:jc w:val="center"/>
              <w:rPr>
                <w:rFonts w:eastAsia="宋体"/>
                <w:sz w:val="21"/>
                <w:szCs w:val="21"/>
              </w:rPr>
            </w:pPr>
          </w:p>
        </w:tc>
        <w:tc>
          <w:tcPr>
            <w:tcW w:w="652" w:type="dxa"/>
            <w:noWrap/>
            <w:vAlign w:val="center"/>
          </w:tcPr>
          <w:p>
            <w:pPr>
              <w:spacing w:line="300" w:lineRule="exact"/>
              <w:jc w:val="center"/>
              <w:rPr>
                <w:rFonts w:eastAsia="宋体"/>
                <w:sz w:val="21"/>
                <w:szCs w:val="21"/>
              </w:rPr>
            </w:pPr>
            <w:r>
              <w:rPr>
                <w:rFonts w:eastAsia="宋体"/>
                <w:sz w:val="21"/>
                <w:szCs w:val="21"/>
              </w:rPr>
              <w:t>●</w:t>
            </w:r>
          </w:p>
        </w:tc>
        <w:tc>
          <w:tcPr>
            <w:tcW w:w="652" w:type="dxa"/>
            <w:noWrap/>
            <w:vAlign w:val="center"/>
          </w:tcPr>
          <w:p>
            <w:pPr>
              <w:spacing w:line="300" w:lineRule="exact"/>
              <w:jc w:val="center"/>
              <w:rPr>
                <w:rFonts w:eastAsia="宋体"/>
                <w:sz w:val="21"/>
                <w:szCs w:val="21"/>
              </w:rPr>
            </w:pPr>
          </w:p>
        </w:tc>
        <w:tc>
          <w:tcPr>
            <w:tcW w:w="653" w:type="dxa"/>
            <w:noWrap/>
            <w:vAlign w:val="center"/>
          </w:tcPr>
          <w:p>
            <w:pPr>
              <w:spacing w:line="300" w:lineRule="exact"/>
              <w:jc w:val="center"/>
              <w:rPr>
                <w:rFonts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3" w:hRule="atLeast"/>
          <w:jc w:val="center"/>
        </w:trPr>
        <w:tc>
          <w:tcPr>
            <w:tcW w:w="704" w:type="dxa"/>
            <w:noWrap/>
            <w:vAlign w:val="center"/>
          </w:tcPr>
          <w:p>
            <w:pPr>
              <w:widowControl/>
              <w:spacing w:line="340" w:lineRule="exact"/>
              <w:jc w:val="center"/>
              <w:rPr>
                <w:rFonts w:eastAsia="宋体"/>
                <w:sz w:val="21"/>
              </w:rPr>
            </w:pPr>
            <w:r>
              <w:rPr>
                <w:rFonts w:eastAsia="宋体"/>
                <w:sz w:val="21"/>
              </w:rPr>
              <w:t>8</w:t>
            </w:r>
          </w:p>
        </w:tc>
        <w:tc>
          <w:tcPr>
            <w:tcW w:w="1559" w:type="dxa"/>
            <w:noWrap/>
            <w:vAlign w:val="center"/>
          </w:tcPr>
          <w:p>
            <w:pPr>
              <w:snapToGrid w:val="0"/>
              <w:spacing w:line="300" w:lineRule="exact"/>
              <w:jc w:val="center"/>
              <w:rPr>
                <w:rFonts w:eastAsia="宋体"/>
                <w:sz w:val="21"/>
                <w:szCs w:val="21"/>
              </w:rPr>
            </w:pPr>
            <w:r>
              <w:rPr>
                <w:rFonts w:eastAsia="宋体"/>
                <w:sz w:val="21"/>
                <w:szCs w:val="21"/>
              </w:rPr>
              <w:t>多环芳烃</w:t>
            </w:r>
          </w:p>
        </w:tc>
        <w:tc>
          <w:tcPr>
            <w:tcW w:w="2268" w:type="dxa"/>
            <w:vMerge w:val="continue"/>
            <w:noWrap/>
            <w:vAlign w:val="center"/>
          </w:tcPr>
          <w:p>
            <w:pPr>
              <w:spacing w:line="340" w:lineRule="exact"/>
              <w:jc w:val="center"/>
              <w:rPr>
                <w:rFonts w:eastAsia="宋体"/>
                <w:sz w:val="21"/>
              </w:rPr>
            </w:pPr>
          </w:p>
        </w:tc>
        <w:tc>
          <w:tcPr>
            <w:tcW w:w="652" w:type="dxa"/>
            <w:noWrap/>
            <w:vAlign w:val="center"/>
          </w:tcPr>
          <w:p>
            <w:pPr>
              <w:spacing w:line="340" w:lineRule="exact"/>
              <w:jc w:val="center"/>
              <w:rPr>
                <w:rFonts w:eastAsia="宋体"/>
                <w:sz w:val="21"/>
              </w:rPr>
            </w:pPr>
            <w:r>
              <w:rPr>
                <w:rFonts w:eastAsia="宋体"/>
                <w:sz w:val="21"/>
              </w:rPr>
              <w:t>●</w:t>
            </w:r>
          </w:p>
        </w:tc>
        <w:tc>
          <w:tcPr>
            <w:tcW w:w="652" w:type="dxa"/>
            <w:noWrap/>
            <w:vAlign w:val="center"/>
          </w:tcPr>
          <w:p>
            <w:pPr>
              <w:widowControl/>
              <w:snapToGrid w:val="0"/>
              <w:spacing w:line="300" w:lineRule="exact"/>
              <w:jc w:val="center"/>
              <w:rPr>
                <w:rFonts w:eastAsia="宋体"/>
                <w:sz w:val="21"/>
                <w:szCs w:val="21"/>
              </w:rPr>
            </w:pPr>
          </w:p>
        </w:tc>
        <w:tc>
          <w:tcPr>
            <w:tcW w:w="652" w:type="dxa"/>
            <w:noWrap/>
            <w:vAlign w:val="center"/>
          </w:tcPr>
          <w:p>
            <w:pPr>
              <w:spacing w:line="300" w:lineRule="exact"/>
              <w:jc w:val="center"/>
              <w:rPr>
                <w:rFonts w:eastAsia="宋体"/>
                <w:sz w:val="21"/>
                <w:szCs w:val="21"/>
              </w:rPr>
            </w:pPr>
            <w:r>
              <w:rPr>
                <w:rFonts w:eastAsia="宋体"/>
                <w:sz w:val="21"/>
                <w:szCs w:val="21"/>
              </w:rPr>
              <w:t>●</w:t>
            </w:r>
          </w:p>
        </w:tc>
        <w:tc>
          <w:tcPr>
            <w:tcW w:w="652" w:type="dxa"/>
            <w:noWrap/>
            <w:vAlign w:val="center"/>
          </w:tcPr>
          <w:p>
            <w:pPr>
              <w:spacing w:line="300" w:lineRule="exact"/>
              <w:jc w:val="center"/>
              <w:rPr>
                <w:rFonts w:eastAsia="宋体"/>
                <w:sz w:val="21"/>
                <w:szCs w:val="21"/>
              </w:rPr>
            </w:pPr>
          </w:p>
        </w:tc>
        <w:tc>
          <w:tcPr>
            <w:tcW w:w="653" w:type="dxa"/>
            <w:noWrap/>
            <w:vAlign w:val="center"/>
          </w:tcPr>
          <w:p>
            <w:pPr>
              <w:spacing w:line="300" w:lineRule="exact"/>
              <w:jc w:val="center"/>
              <w:rPr>
                <w:rFonts w:eastAsia="宋体"/>
                <w:sz w:val="21"/>
                <w:szCs w:val="21"/>
              </w:rPr>
            </w:pPr>
          </w:p>
        </w:tc>
      </w:tr>
    </w:tbl>
    <w:p>
      <w:pPr>
        <w:adjustRightInd w:val="0"/>
        <w:snapToGrid w:val="0"/>
        <w:spacing w:line="400" w:lineRule="exact"/>
        <w:ind w:firstLine="480" w:firstLineChars="200"/>
        <w:jc w:val="left"/>
        <w:rPr>
          <w:rFonts w:ascii="宋体" w:hAnsi="宋体" w:eastAsia="宋体" w:cs="宋体"/>
          <w:color w:val="000000"/>
          <w:sz w:val="24"/>
        </w:rPr>
      </w:pPr>
      <w:r>
        <w:rPr>
          <w:rFonts w:hint="eastAsia" w:ascii="宋体" w:hAnsi="宋体" w:eastAsia="宋体" w:cs="宋体"/>
          <w:color w:val="000000"/>
          <w:sz w:val="24"/>
        </w:rPr>
        <w:t>注：执行企业标准、团体标准、地方标准的产品，检验项目参照上述内容执行。</w:t>
      </w:r>
    </w:p>
    <w:p>
      <w:pPr>
        <w:adjustRightInd w:val="0"/>
        <w:snapToGrid w:val="0"/>
        <w:spacing w:line="400" w:lineRule="exact"/>
        <w:ind w:firstLine="480" w:firstLineChars="200"/>
        <w:jc w:val="left"/>
        <w:rPr>
          <w:rFonts w:ascii="宋体" w:hAnsi="宋体" w:eastAsia="宋体" w:cs="宋体"/>
        </w:rPr>
      </w:pPr>
      <w:r>
        <w:rPr>
          <w:rFonts w:hint="eastAsia" w:ascii="宋体" w:hAnsi="宋体" w:eastAsia="宋体" w:cs="宋体"/>
          <w:color w:val="000000"/>
          <w:sz w:val="24"/>
        </w:rPr>
        <w:t>凡是注日期的文件，其随后所有的修改单（不包括勘误的内容）或修订版不适用于本细则。凡是不注日期的文件，其最新版本适用于本细则。</w:t>
      </w:r>
    </w:p>
    <w:p>
      <w:pPr>
        <w:spacing w:line="520" w:lineRule="exact"/>
        <w:ind w:firstLine="640" w:firstLineChars="200"/>
        <w:rPr>
          <w:rFonts w:eastAsia="黑体" w:cs="黑体"/>
          <w:szCs w:val="32"/>
        </w:rPr>
      </w:pPr>
      <w:r>
        <w:rPr>
          <w:rFonts w:hint="eastAsia" w:eastAsia="黑体" w:cs="黑体"/>
          <w:szCs w:val="32"/>
        </w:rPr>
        <w:t>三、判定规则</w:t>
      </w:r>
    </w:p>
    <w:p>
      <w:pPr>
        <w:spacing w:line="520" w:lineRule="exact"/>
        <w:ind w:firstLine="640" w:firstLineChars="200"/>
        <w:jc w:val="left"/>
        <w:rPr>
          <w:rFonts w:eastAsia="楷体_GB2312" w:cs="楷体_GB2312"/>
          <w:kern w:val="0"/>
          <w:szCs w:val="32"/>
        </w:rPr>
      </w:pPr>
      <w:r>
        <w:rPr>
          <w:rFonts w:hint="eastAsia" w:eastAsia="楷体_GB2312" w:cs="楷体_GB2312"/>
          <w:szCs w:val="32"/>
        </w:rPr>
        <w:t>（一）</w:t>
      </w:r>
      <w:r>
        <w:rPr>
          <w:rFonts w:hint="eastAsia" w:eastAsia="楷体_GB2312" w:cs="楷体_GB2312"/>
          <w:kern w:val="0"/>
          <w:szCs w:val="32"/>
        </w:rPr>
        <w:t>依据标准</w:t>
      </w:r>
    </w:p>
    <w:p>
      <w:pPr>
        <w:pStyle w:val="7"/>
        <w:spacing w:line="520" w:lineRule="exact"/>
        <w:ind w:firstLine="640"/>
        <w:rPr>
          <w:rFonts w:ascii="Times New Roman" w:hAnsi="Times New Roman" w:eastAsia="仿宋_GB2312" w:cs="仿宋_GB2312"/>
          <w:sz w:val="32"/>
          <w:szCs w:val="32"/>
        </w:rPr>
      </w:pPr>
      <w:r>
        <w:rPr>
          <w:rFonts w:hint="eastAsia" w:ascii="Times New Roman" w:hAnsi="Times New Roman" w:eastAsia="仿宋_GB2312" w:cs="仿宋_GB2312"/>
          <w:sz w:val="32"/>
          <w:szCs w:val="32"/>
        </w:rPr>
        <w:t>GB 17930-2016 车用汽油</w:t>
      </w:r>
    </w:p>
    <w:p>
      <w:pPr>
        <w:pStyle w:val="7"/>
        <w:spacing w:line="520" w:lineRule="exact"/>
        <w:ind w:firstLine="640"/>
        <w:rPr>
          <w:rFonts w:ascii="Times New Roman" w:hAnsi="Times New Roman" w:eastAsia="仿宋_GB2312" w:cs="仿宋_GB2312"/>
          <w:sz w:val="32"/>
          <w:szCs w:val="32"/>
        </w:rPr>
      </w:pPr>
      <w:r>
        <w:rPr>
          <w:rFonts w:hint="eastAsia" w:ascii="Times New Roman" w:hAnsi="Times New Roman" w:eastAsia="仿宋_GB2312" w:cs="仿宋_GB2312"/>
          <w:sz w:val="32"/>
          <w:szCs w:val="32"/>
        </w:rPr>
        <w:t>GB 19147-2016 车用柴油</w:t>
      </w:r>
    </w:p>
    <w:p>
      <w:pPr>
        <w:pStyle w:val="7"/>
        <w:spacing w:line="520" w:lineRule="exact"/>
        <w:ind w:firstLine="640"/>
        <w:rPr>
          <w:rFonts w:ascii="Times New Roman" w:hAnsi="Times New Roman" w:eastAsia="仿宋_GB2312" w:cs="仿宋_GB2312"/>
          <w:sz w:val="32"/>
          <w:szCs w:val="32"/>
        </w:rPr>
      </w:pPr>
      <w:r>
        <w:rPr>
          <w:rFonts w:hint="eastAsia" w:ascii="Times New Roman" w:hAnsi="Times New Roman" w:eastAsia="仿宋_GB2312" w:cs="仿宋_GB2312"/>
          <w:sz w:val="32"/>
          <w:szCs w:val="32"/>
        </w:rPr>
        <w:t>GB 19147-2016 车用柴油 第1号修改单</w:t>
      </w:r>
    </w:p>
    <w:p>
      <w:pPr>
        <w:spacing w:line="520" w:lineRule="exact"/>
        <w:ind w:firstLine="640" w:firstLineChars="200"/>
        <w:rPr>
          <w:szCs w:val="32"/>
        </w:rPr>
      </w:pPr>
      <w:r>
        <w:rPr>
          <w:rFonts w:hint="eastAsia"/>
          <w:szCs w:val="32"/>
        </w:rPr>
        <w:t>现行有效的企业标准、团体标准、地方标准及产品明示质量要求</w:t>
      </w:r>
    </w:p>
    <w:p>
      <w:pPr>
        <w:widowControl/>
        <w:spacing w:line="560" w:lineRule="exact"/>
        <w:ind w:firstLine="640" w:firstLineChars="200"/>
        <w:rPr>
          <w:rFonts w:eastAsia="楷体_GB2312"/>
          <w:bCs/>
          <w:kern w:val="0"/>
          <w:szCs w:val="32"/>
        </w:rPr>
      </w:pPr>
      <w:r>
        <w:rPr>
          <w:rFonts w:eastAsia="楷体_GB2312"/>
          <w:bCs/>
          <w:kern w:val="0"/>
          <w:szCs w:val="32"/>
        </w:rPr>
        <w:t>（二）判定原则</w:t>
      </w:r>
    </w:p>
    <w:p>
      <w:pPr>
        <w:snapToGrid w:val="0"/>
        <w:spacing w:line="560" w:lineRule="exact"/>
        <w:ind w:firstLine="640" w:firstLineChars="200"/>
        <w:rPr>
          <w:rFonts w:ascii="仿宋_GB2312" w:hAnsi="仿宋_GB2312" w:cs="仿宋_GB2312"/>
          <w:szCs w:val="32"/>
        </w:rPr>
      </w:pPr>
      <w:r>
        <w:rPr>
          <w:rFonts w:hint="eastAsia" w:ascii="仿宋_GB2312" w:hAnsi="仿宋_GB2312" w:cs="仿宋_GB2312"/>
          <w:szCs w:val="32"/>
        </w:rPr>
        <w:t>经检验，检验项目全部合格，判定为抽取的样本所检项目未检出不合格；检验项目中任一项或一项以上不合格，判定为被抽查产品疑似不合格。</w:t>
      </w:r>
    </w:p>
    <w:p>
      <w:pPr>
        <w:pStyle w:val="7"/>
        <w:tabs>
          <w:tab w:val="clear" w:pos="4201"/>
          <w:tab w:val="clear" w:pos="9298"/>
        </w:tabs>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当被检样品明示的质量要求优于监督抽查实施细则中依据的标准要求时，应按被检样品明示的质量要求判定；</w:t>
      </w:r>
    </w:p>
    <w:p>
      <w:pPr>
        <w:pStyle w:val="7"/>
        <w:tabs>
          <w:tab w:val="clear" w:pos="4201"/>
          <w:tab w:val="clear" w:pos="9298"/>
        </w:tabs>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当被检样品明示的质量要求劣于或不包含监督抽查实施细则中依据的强制性标准要求时，应按照强制性标准要求判定；</w:t>
      </w:r>
    </w:p>
    <w:p>
      <w:pPr>
        <w:pStyle w:val="7"/>
        <w:widowControl w:val="0"/>
        <w:tabs>
          <w:tab w:val="clear" w:pos="4201"/>
          <w:tab w:val="clear" w:pos="9298"/>
        </w:tabs>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当被检样品明示的质量要求劣于或包含监督抽查实施细则中依据的推荐性标准要求时，应以被检样品明示的质量要求判定，如相应检验结果不符合相关推荐性标准要求时，应在检验报告中予以说明；</w:t>
      </w:r>
    </w:p>
    <w:p>
      <w:pPr>
        <w:pStyle w:val="7"/>
        <w:widowControl w:val="0"/>
        <w:tabs>
          <w:tab w:val="clear" w:pos="4201"/>
          <w:tab w:val="clear" w:pos="9298"/>
        </w:tabs>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当被检样品明示的质量要求不包含监督抽查实施细则中依据的推荐性标准要求时，该指标不参与判定，但应在检验报告中作出说明；</w:t>
      </w:r>
    </w:p>
    <w:p>
      <w:pPr>
        <w:pStyle w:val="7"/>
        <w:widowControl w:val="0"/>
        <w:tabs>
          <w:tab w:val="clear" w:pos="4201"/>
          <w:tab w:val="clear" w:pos="9298"/>
        </w:tabs>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当被检样品未能提供有效的企业标准时，按相关国家或行业标准进行判定；</w:t>
      </w:r>
    </w:p>
    <w:p>
      <w:pPr>
        <w:pStyle w:val="7"/>
        <w:widowControl w:val="0"/>
        <w:tabs>
          <w:tab w:val="clear" w:pos="4201"/>
          <w:tab w:val="clear" w:pos="9298"/>
        </w:tabs>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当被检样品标签标识中执行标准信息和产品类别信息不明或有误，影响检测和判定时，可根据相关强制性标准要求，同时结合产品特点等信息判断和选择相关标准进行检验，并应在检验报告中作出相关说明；</w:t>
      </w:r>
    </w:p>
    <w:p>
      <w:pPr>
        <w:pStyle w:val="7"/>
        <w:widowControl w:val="0"/>
        <w:tabs>
          <w:tab w:val="clear" w:pos="4201"/>
          <w:tab w:val="clear" w:pos="9298"/>
        </w:tabs>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按照产品质量相关法律法规的规定判定。</w:t>
      </w:r>
    </w:p>
    <w:p>
      <w:pPr>
        <w:pStyle w:val="7"/>
        <w:tabs>
          <w:tab w:val="clear" w:pos="4201"/>
          <w:tab w:val="clear" w:pos="9298"/>
        </w:tabs>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检验中发现因样品失效或者其他原因致使检验无法进行的，检验人员应如实记录，并提供相关证明材料，报送组织监督抽查的市场监管部门。</w:t>
      </w:r>
    </w:p>
    <w:p>
      <w:pPr>
        <w:spacing w:line="520" w:lineRule="exact"/>
        <w:ind w:firstLine="640" w:firstLineChars="200"/>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DRiYjVjNWI5MzAzZTZmMWUwMWJlOWMwMWQxNmZkMjMifQ=="/>
  </w:docVars>
  <w:rsids>
    <w:rsidRoot w:val="007D2026"/>
    <w:rsid w:val="0017059B"/>
    <w:rsid w:val="00194CF3"/>
    <w:rsid w:val="004209F2"/>
    <w:rsid w:val="00702422"/>
    <w:rsid w:val="007D2026"/>
    <w:rsid w:val="00890421"/>
    <w:rsid w:val="008F521B"/>
    <w:rsid w:val="00D804C5"/>
    <w:rsid w:val="076636BF"/>
    <w:rsid w:val="407A07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Plain Text"/>
    <w:basedOn w:val="1"/>
    <w:link w:val="9"/>
    <w:semiHidden/>
    <w:unhideWhenUsed/>
    <w:qFormat/>
    <w:uiPriority w:val="99"/>
    <w:rPr>
      <w:rFonts w:ascii="宋体" w:hAnsi="Courier New" w:eastAsia="宋体" w:cs="Courier New"/>
      <w:sz w:val="21"/>
      <w:szCs w:val="21"/>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7">
    <w:name w:val="段"/>
    <w:qFormat/>
    <w:uiPriority w:val="0"/>
    <w:pPr>
      <w:tabs>
        <w:tab w:val="center" w:pos="4201"/>
        <w:tab w:val="right" w:leader="dot" w:pos="9298"/>
      </w:tabs>
      <w:autoSpaceDE w:val="0"/>
      <w:autoSpaceDN w:val="0"/>
      <w:ind w:firstLine="420" w:firstLineChars="200"/>
      <w:jc w:val="both"/>
    </w:pPr>
    <w:rPr>
      <w:rFonts w:ascii="宋体" w:hAnsi="Calibri" w:eastAsia="宋体" w:cs="Times New Roman"/>
      <w:kern w:val="0"/>
      <w:sz w:val="21"/>
      <w:szCs w:val="22"/>
      <w:lang w:val="en-US" w:eastAsia="zh-CN" w:bidi="ar-SA"/>
    </w:rPr>
  </w:style>
  <w:style w:type="paragraph" w:customStyle="1" w:styleId="8">
    <w:name w:val="目次、标准名称标题"/>
    <w:basedOn w:val="1"/>
    <w:next w:val="7"/>
    <w:qFormat/>
    <w:uiPriority w:val="0"/>
    <w:pPr>
      <w:keepNext/>
      <w:pageBreakBefore/>
      <w:widowControl/>
      <w:shd w:val="clear" w:color="FFFFFF" w:fill="FFFFFF"/>
      <w:spacing w:before="640" w:after="560" w:line="460" w:lineRule="exact"/>
      <w:jc w:val="center"/>
      <w:outlineLvl w:val="0"/>
    </w:pPr>
    <w:rPr>
      <w:rFonts w:ascii="黑体" w:eastAsia="黑体"/>
      <w:kern w:val="0"/>
      <w:sz w:val="30"/>
      <w:szCs w:val="20"/>
    </w:rPr>
  </w:style>
  <w:style w:type="character" w:customStyle="1" w:styleId="9">
    <w:name w:val="纯文本 Char"/>
    <w:basedOn w:val="6"/>
    <w:link w:val="2"/>
    <w:semiHidden/>
    <w:qFormat/>
    <w:uiPriority w:val="99"/>
    <w:rPr>
      <w:rFonts w:ascii="宋体" w:hAnsi="Courier New" w:eastAsia="宋体" w:cs="Courier New"/>
      <w:szCs w:val="21"/>
    </w:rPr>
  </w:style>
  <w:style w:type="character" w:customStyle="1" w:styleId="10">
    <w:name w:val="页眉 Char"/>
    <w:basedOn w:val="6"/>
    <w:link w:val="4"/>
    <w:qFormat/>
    <w:uiPriority w:val="99"/>
    <w:rPr>
      <w:rFonts w:ascii="Times New Roman" w:hAnsi="Times New Roman" w:eastAsia="仿宋_GB2312" w:cs="Times New Roman"/>
      <w:sz w:val="18"/>
      <w:szCs w:val="18"/>
    </w:rPr>
  </w:style>
  <w:style w:type="character" w:customStyle="1" w:styleId="11">
    <w:name w:val="页脚 Char"/>
    <w:basedOn w:val="6"/>
    <w:link w:val="3"/>
    <w:qFormat/>
    <w:uiPriority w:val="99"/>
    <w:rPr>
      <w:rFonts w:ascii="Times New Roman" w:hAnsi="Times New Roman" w:eastAsia="仿宋_GB2312"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SMQ</Company>
  <Pages>3</Pages>
  <Words>1221</Words>
  <Characters>1322</Characters>
  <Lines>10</Lines>
  <Paragraphs>3</Paragraphs>
  <TotalTime>58</TotalTime>
  <ScaleCrop>false</ScaleCrop>
  <LinksUpToDate>false</LinksUpToDate>
  <CharactersWithSpaces>1333</CharactersWithSpaces>
  <Application>WPS Office_11.8.2.8950_F1E327BC-269C-435d-A152-05C5408002CA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2022-06-16T01:43:00Z</dcterms:created>
  <dc:creator>SMQ</dc:creator>
  <cp:lastModifiedBy>李文湘</cp:lastModifiedBy>
  <dcterms:modified xsi:type="dcterms:W3CDTF">2023-08-14T02:25:21Z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2052-11.8.2.8950</vt:lpwstr>
  </property>
  <property fmtid="{D5CDD505-2E9C-101B-9397-08002B2CF9AE}" pid="3" name="ICV">
    <vt:lpwstr>5AAC70702CF040138AB69D3D5A4E8855_12</vt:lpwstr>
  </property>
</Properties>
</file>