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汕尾市鞋类产品质量监督抽查</w:t>
      </w:r>
      <w:bookmarkStart w:id="0" w:name="_GoBack"/>
      <w:bookmarkEnd w:id="0"/>
      <w:r>
        <w:rPr>
          <w:rFonts w:hint="eastAsia" w:ascii="方正小标宋简体" w:hAnsi="Courier New" w:eastAsia="方正小标宋简体" w:cs="Courier New"/>
          <w:bCs/>
          <w:sz w:val="44"/>
          <w:szCs w:val="44"/>
        </w:rPr>
        <w:t>实施细则</w:t>
      </w:r>
    </w:p>
    <w:p>
      <w:pPr>
        <w:spacing w:line="600" w:lineRule="exact"/>
        <w:jc w:val="center"/>
        <w:rPr>
          <w:rFonts w:ascii="方正小标宋简体" w:hAnsi="Courier New" w:eastAsia="方正小标宋简体" w:cs="Courier New"/>
          <w:bCs/>
          <w:sz w:val="44"/>
          <w:szCs w:val="44"/>
        </w:rPr>
      </w:pPr>
    </w:p>
    <w:p>
      <w:pPr>
        <w:spacing w:line="600" w:lineRule="exact"/>
        <w:ind w:firstLine="640" w:firstLineChars="200"/>
        <w:rPr>
          <w:rFonts w:ascii="黑体" w:hAnsi="黑体" w:eastAsia="黑体" w:cs="Courier New"/>
        </w:rPr>
      </w:pPr>
      <w:r>
        <w:rPr>
          <w:rFonts w:hint="eastAsia" w:ascii="黑体" w:hAnsi="黑体" w:eastAsia="黑体" w:cs="Courier New"/>
        </w:rPr>
        <w:t>一、抽样方法</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以随机抽样的方式在被抽样经营者的待销产品中抽取。</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随机数一般可使用随机数表等方法产生。</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抽查数量：每款产品抽取2组样本，第1组用于检验，第2组用于备样。具体抽样数量和方法如下：</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361"/>
        <w:gridCol w:w="2693"/>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758" w:type="dxa"/>
            <w:vAlign w:val="center"/>
          </w:tcPr>
          <w:p>
            <w:pPr>
              <w:jc w:val="center"/>
              <w:rPr>
                <w:rFonts w:eastAsia="仿宋_GB2312"/>
                <w:bCs/>
                <w:sz w:val="21"/>
                <w:szCs w:val="21"/>
              </w:rPr>
            </w:pPr>
            <w:r>
              <w:rPr>
                <w:rFonts w:eastAsia="仿宋_GB2312"/>
                <w:bCs/>
                <w:sz w:val="21"/>
                <w:szCs w:val="21"/>
              </w:rPr>
              <w:t>序号</w:t>
            </w:r>
          </w:p>
        </w:tc>
        <w:tc>
          <w:tcPr>
            <w:tcW w:w="2361" w:type="dxa"/>
            <w:vAlign w:val="center"/>
          </w:tcPr>
          <w:p>
            <w:pPr>
              <w:jc w:val="center"/>
              <w:rPr>
                <w:rFonts w:eastAsia="仿宋_GB2312"/>
                <w:bCs/>
                <w:sz w:val="21"/>
                <w:szCs w:val="21"/>
              </w:rPr>
            </w:pPr>
            <w:r>
              <w:rPr>
                <w:rFonts w:eastAsia="仿宋_GB2312"/>
                <w:bCs/>
                <w:sz w:val="21"/>
                <w:szCs w:val="21"/>
              </w:rPr>
              <w:t>产品名称</w:t>
            </w:r>
          </w:p>
        </w:tc>
        <w:tc>
          <w:tcPr>
            <w:tcW w:w="2693" w:type="dxa"/>
            <w:vAlign w:val="center"/>
          </w:tcPr>
          <w:p>
            <w:pPr>
              <w:jc w:val="center"/>
              <w:rPr>
                <w:rFonts w:eastAsia="仿宋_GB2312"/>
                <w:bCs/>
                <w:sz w:val="21"/>
                <w:szCs w:val="21"/>
              </w:rPr>
            </w:pPr>
            <w:r>
              <w:rPr>
                <w:rFonts w:eastAsia="仿宋_GB2312"/>
                <w:bCs/>
                <w:sz w:val="21"/>
                <w:szCs w:val="21"/>
              </w:rPr>
              <w:t>第1组数量</w:t>
            </w:r>
          </w:p>
        </w:tc>
        <w:tc>
          <w:tcPr>
            <w:tcW w:w="2547" w:type="dxa"/>
            <w:vAlign w:val="center"/>
          </w:tcPr>
          <w:p>
            <w:pPr>
              <w:jc w:val="center"/>
              <w:rPr>
                <w:rFonts w:eastAsia="仿宋_GB2312"/>
                <w:bCs/>
                <w:sz w:val="21"/>
                <w:szCs w:val="21"/>
              </w:rPr>
            </w:pPr>
            <w:r>
              <w:rPr>
                <w:rFonts w:eastAsia="仿宋_GB2312"/>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758" w:type="dxa"/>
            <w:vAlign w:val="center"/>
          </w:tcPr>
          <w:p>
            <w:pPr>
              <w:jc w:val="center"/>
              <w:rPr>
                <w:rFonts w:eastAsia="仿宋_GB2312"/>
                <w:sz w:val="21"/>
                <w:szCs w:val="21"/>
              </w:rPr>
            </w:pPr>
            <w:r>
              <w:rPr>
                <w:rFonts w:eastAsia="仿宋_GB2312"/>
                <w:sz w:val="21"/>
                <w:szCs w:val="21"/>
              </w:rPr>
              <w:t>1</w:t>
            </w:r>
          </w:p>
        </w:tc>
        <w:tc>
          <w:tcPr>
            <w:tcW w:w="2361" w:type="dxa"/>
            <w:vAlign w:val="center"/>
          </w:tcPr>
          <w:p>
            <w:pPr>
              <w:jc w:val="center"/>
              <w:rPr>
                <w:rFonts w:eastAsia="仿宋_GB2312"/>
                <w:sz w:val="21"/>
                <w:szCs w:val="21"/>
              </w:rPr>
            </w:pPr>
            <w:r>
              <w:rPr>
                <w:rFonts w:hint="eastAsia" w:eastAsia="仿宋_GB2312"/>
                <w:sz w:val="21"/>
                <w:szCs w:val="21"/>
              </w:rPr>
              <w:t>旅游鞋</w:t>
            </w:r>
          </w:p>
        </w:tc>
        <w:tc>
          <w:tcPr>
            <w:tcW w:w="2693" w:type="dxa"/>
            <w:vAlign w:val="center"/>
          </w:tcPr>
          <w:p>
            <w:pPr>
              <w:jc w:val="center"/>
              <w:rPr>
                <w:rFonts w:eastAsia="仿宋_GB2312"/>
                <w:sz w:val="21"/>
                <w:szCs w:val="21"/>
              </w:rPr>
            </w:pPr>
            <w:r>
              <w:rPr>
                <w:rFonts w:hint="eastAsia" w:eastAsia="仿宋_GB2312"/>
                <w:sz w:val="21"/>
                <w:szCs w:val="21"/>
              </w:rPr>
              <w:t>2双</w:t>
            </w:r>
          </w:p>
        </w:tc>
        <w:tc>
          <w:tcPr>
            <w:tcW w:w="2547" w:type="dxa"/>
            <w:vAlign w:val="center"/>
          </w:tcPr>
          <w:p>
            <w:pPr>
              <w:jc w:val="center"/>
              <w:rPr>
                <w:rFonts w:eastAsia="仿宋_GB2312"/>
                <w:sz w:val="21"/>
                <w:szCs w:val="21"/>
              </w:rPr>
            </w:pPr>
            <w:r>
              <w:rPr>
                <w:rFonts w:hint="eastAsia" w:eastAsia="仿宋_GB2312"/>
                <w:sz w:val="21"/>
                <w:szCs w:val="21"/>
              </w:rPr>
              <w:t>1双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758" w:type="dxa"/>
            <w:vAlign w:val="center"/>
          </w:tcPr>
          <w:p>
            <w:pPr>
              <w:jc w:val="center"/>
              <w:rPr>
                <w:rFonts w:eastAsia="仿宋_GB2312"/>
                <w:sz w:val="21"/>
                <w:szCs w:val="21"/>
              </w:rPr>
            </w:pPr>
            <w:r>
              <w:rPr>
                <w:rFonts w:eastAsia="仿宋_GB2312"/>
                <w:sz w:val="21"/>
                <w:szCs w:val="21"/>
              </w:rPr>
              <w:t>2</w:t>
            </w:r>
          </w:p>
        </w:tc>
        <w:tc>
          <w:tcPr>
            <w:tcW w:w="2361" w:type="dxa"/>
            <w:vAlign w:val="center"/>
          </w:tcPr>
          <w:p>
            <w:pPr>
              <w:jc w:val="center"/>
              <w:rPr>
                <w:rFonts w:eastAsia="仿宋_GB2312"/>
                <w:sz w:val="21"/>
                <w:szCs w:val="21"/>
              </w:rPr>
            </w:pPr>
            <w:r>
              <w:rPr>
                <w:rFonts w:hint="eastAsia" w:eastAsia="仿宋_GB2312"/>
                <w:sz w:val="21"/>
                <w:szCs w:val="21"/>
              </w:rPr>
              <w:t>皮凉鞋</w:t>
            </w:r>
          </w:p>
        </w:tc>
        <w:tc>
          <w:tcPr>
            <w:tcW w:w="2693" w:type="dxa"/>
            <w:vAlign w:val="center"/>
          </w:tcPr>
          <w:p>
            <w:pPr>
              <w:jc w:val="center"/>
              <w:rPr>
                <w:rFonts w:eastAsia="仿宋_GB2312"/>
                <w:sz w:val="21"/>
                <w:szCs w:val="21"/>
              </w:rPr>
            </w:pPr>
            <w:r>
              <w:rPr>
                <w:rFonts w:hint="eastAsia" w:eastAsia="仿宋_GB2312"/>
                <w:sz w:val="21"/>
                <w:szCs w:val="21"/>
              </w:rPr>
              <w:t>2双</w:t>
            </w:r>
          </w:p>
        </w:tc>
        <w:tc>
          <w:tcPr>
            <w:tcW w:w="2547" w:type="dxa"/>
            <w:vAlign w:val="center"/>
          </w:tcPr>
          <w:p>
            <w:pPr>
              <w:jc w:val="center"/>
              <w:rPr>
                <w:rFonts w:eastAsia="仿宋_GB2312"/>
                <w:sz w:val="21"/>
                <w:szCs w:val="21"/>
              </w:rPr>
            </w:pPr>
            <w:r>
              <w:rPr>
                <w:rFonts w:hint="eastAsia" w:eastAsia="仿宋_GB2312"/>
                <w:sz w:val="21"/>
                <w:szCs w:val="21"/>
              </w:rPr>
              <w:t>1双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758" w:type="dxa"/>
            <w:vAlign w:val="center"/>
          </w:tcPr>
          <w:p>
            <w:pPr>
              <w:jc w:val="center"/>
              <w:rPr>
                <w:rFonts w:eastAsia="仿宋_GB2312"/>
                <w:sz w:val="21"/>
                <w:szCs w:val="21"/>
              </w:rPr>
            </w:pPr>
            <w:r>
              <w:rPr>
                <w:rFonts w:hint="eastAsia" w:eastAsia="仿宋_GB2312"/>
                <w:sz w:val="21"/>
                <w:szCs w:val="21"/>
              </w:rPr>
              <w:t>3</w:t>
            </w:r>
          </w:p>
        </w:tc>
        <w:tc>
          <w:tcPr>
            <w:tcW w:w="2361" w:type="dxa"/>
            <w:vAlign w:val="center"/>
          </w:tcPr>
          <w:p>
            <w:pPr>
              <w:jc w:val="center"/>
              <w:rPr>
                <w:rFonts w:eastAsia="仿宋_GB2312"/>
                <w:sz w:val="21"/>
                <w:szCs w:val="21"/>
              </w:rPr>
            </w:pPr>
            <w:r>
              <w:rPr>
                <w:rFonts w:hint="eastAsia" w:eastAsia="仿宋_GB2312"/>
                <w:sz w:val="21"/>
                <w:szCs w:val="21"/>
              </w:rPr>
              <w:t>休闲鞋</w:t>
            </w:r>
          </w:p>
        </w:tc>
        <w:tc>
          <w:tcPr>
            <w:tcW w:w="2693" w:type="dxa"/>
            <w:vAlign w:val="center"/>
          </w:tcPr>
          <w:p>
            <w:pPr>
              <w:jc w:val="center"/>
              <w:rPr>
                <w:rFonts w:eastAsia="仿宋_GB2312"/>
                <w:sz w:val="21"/>
                <w:szCs w:val="21"/>
              </w:rPr>
            </w:pPr>
            <w:r>
              <w:rPr>
                <w:rFonts w:hint="eastAsia" w:eastAsia="仿宋_GB2312"/>
                <w:sz w:val="21"/>
                <w:szCs w:val="21"/>
              </w:rPr>
              <w:t>2双</w:t>
            </w:r>
          </w:p>
        </w:tc>
        <w:tc>
          <w:tcPr>
            <w:tcW w:w="2547" w:type="dxa"/>
            <w:vAlign w:val="center"/>
          </w:tcPr>
          <w:p>
            <w:pPr>
              <w:jc w:val="center"/>
              <w:rPr>
                <w:rFonts w:eastAsia="仿宋_GB2312"/>
                <w:sz w:val="21"/>
                <w:szCs w:val="21"/>
              </w:rPr>
            </w:pPr>
            <w:r>
              <w:rPr>
                <w:rFonts w:hint="eastAsia" w:eastAsia="仿宋_GB2312"/>
                <w:sz w:val="21"/>
                <w:szCs w:val="21"/>
              </w:rPr>
              <w:t>1双</w:t>
            </w:r>
          </w:p>
        </w:tc>
      </w:tr>
    </w:tbl>
    <w:p>
      <w:pPr>
        <w:autoSpaceDE w:val="0"/>
        <w:autoSpaceDN w:val="0"/>
        <w:spacing w:line="60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抽取同一款式（货/款号）、同一规格范围、同一花型和同一颜色的产品。</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抽查样品基数满足抽样数量即可。</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样品和备用样品应分别签封，确保防止拆封、封条完整、清晰，并注明“检验样品”或“备用样品”，一起寄/送给检验机构。封样单上应有被抽查企业和抽样人员双方的签名，注明抽样日期，并采用透明胶带缠裹。封好样后，可采取拍照、封样单骑缝签名、漆封、特殊材料等其他附加的防拆封措施。</w:t>
      </w:r>
    </w:p>
    <w:p>
      <w:pPr>
        <w:spacing w:line="600" w:lineRule="exact"/>
        <w:rPr>
          <w:rFonts w:eastAsia="黑体"/>
        </w:rPr>
      </w:pPr>
      <w:r>
        <w:rPr>
          <w:rFonts w:hint="eastAsia" w:eastAsia="黑体"/>
        </w:rPr>
        <w:t>二、主要检验项目及检验项目属性划分</w:t>
      </w:r>
    </w:p>
    <w:p>
      <w:pPr>
        <w:spacing w:line="600" w:lineRule="exact"/>
        <w:rPr>
          <w:rFonts w:eastAsia="黑体"/>
          <w:sz w:val="28"/>
        </w:rPr>
      </w:pPr>
      <w:r>
        <w:rPr>
          <w:rFonts w:hint="eastAsia" w:eastAsia="黑体"/>
          <w:sz w:val="28"/>
        </w:rPr>
        <w:t>旅游鞋：</w:t>
      </w:r>
    </w:p>
    <w:tbl>
      <w:tblPr>
        <w:tblStyle w:val="6"/>
        <w:tblW w:w="9214" w:type="dxa"/>
        <w:jc w:val="center"/>
        <w:tblLayout w:type="fixed"/>
        <w:tblCellMar>
          <w:top w:w="0" w:type="dxa"/>
          <w:left w:w="108" w:type="dxa"/>
          <w:bottom w:w="0" w:type="dxa"/>
          <w:right w:w="108" w:type="dxa"/>
        </w:tblCellMar>
      </w:tblPr>
      <w:tblGrid>
        <w:gridCol w:w="846"/>
        <w:gridCol w:w="1559"/>
        <w:gridCol w:w="2397"/>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序号</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检验项目</w:t>
            </w:r>
          </w:p>
        </w:tc>
        <w:tc>
          <w:tcPr>
            <w:tcW w:w="23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游离或可部分水解的甲醛含量</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19941-2005；</w:t>
            </w:r>
          </w:p>
          <w:p>
            <w:pPr>
              <w:spacing w:line="360" w:lineRule="exact"/>
              <w:jc w:val="center"/>
              <w:rPr>
                <w:rFonts w:ascii="仿宋_GB2312" w:eastAsia="仿宋_GB2312"/>
                <w:sz w:val="21"/>
                <w:szCs w:val="21"/>
              </w:rPr>
            </w:pPr>
            <w:r>
              <w:rPr>
                <w:rFonts w:hint="eastAsia" w:ascii="仿宋_GB2312" w:eastAsia="仿宋_GB2312"/>
                <w:sz w:val="21"/>
                <w:szCs w:val="21"/>
              </w:rPr>
              <w:t>GB/T 2912.1-2009</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可分解致癌芳香胺染料含量</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19942-2005；</w:t>
            </w:r>
          </w:p>
          <w:p>
            <w:pPr>
              <w:spacing w:line="360" w:lineRule="exact"/>
              <w:jc w:val="center"/>
              <w:rPr>
                <w:rFonts w:ascii="仿宋_GB2312" w:eastAsia="仿宋_GB2312"/>
                <w:sz w:val="21"/>
                <w:szCs w:val="21"/>
              </w:rPr>
            </w:pPr>
            <w:r>
              <w:rPr>
                <w:rFonts w:hint="eastAsia" w:ascii="仿宋_GB2312" w:eastAsia="仿宋_GB2312"/>
                <w:sz w:val="21"/>
                <w:szCs w:val="21"/>
              </w:rPr>
              <w:t>GB/T 17592-2011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成鞋耐折性能</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 xml:space="preserve">GB/T 3903.1-2008      </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外底耐磨性能</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 xml:space="preserve">GB/T 3903.2-2008   </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90"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帮底剥离强度或底墙与帮面剥离强度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 xml:space="preserve">GB/T 3903.3-2011       </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衬里和内垫摩擦色牢度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QB/T 2882-2007</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外底与外中底粘合强度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21396-2008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帮面材料低温屈挠指数</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ascii="仿宋_GB2312" w:eastAsia="仿宋_GB2312"/>
                <w:sz w:val="21"/>
                <w:szCs w:val="21"/>
              </w:rPr>
              <w:t>QB/T 2224-2012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bl>
    <w:p>
      <w:pPr>
        <w:spacing w:line="600" w:lineRule="exact"/>
        <w:rPr>
          <w:rFonts w:eastAsia="黑体"/>
          <w:sz w:val="28"/>
        </w:rPr>
      </w:pPr>
      <w:r>
        <w:rPr>
          <w:rFonts w:hint="eastAsia" w:eastAsia="黑体"/>
          <w:sz w:val="28"/>
        </w:rPr>
        <w:t>皮凉鞋：</w:t>
      </w:r>
    </w:p>
    <w:tbl>
      <w:tblPr>
        <w:tblStyle w:val="6"/>
        <w:tblW w:w="9214" w:type="dxa"/>
        <w:jc w:val="center"/>
        <w:tblLayout w:type="fixed"/>
        <w:tblCellMar>
          <w:top w:w="0" w:type="dxa"/>
          <w:left w:w="108" w:type="dxa"/>
          <w:bottom w:w="0" w:type="dxa"/>
          <w:right w:w="108" w:type="dxa"/>
        </w:tblCellMar>
      </w:tblPr>
      <w:tblGrid>
        <w:gridCol w:w="846"/>
        <w:gridCol w:w="1559"/>
        <w:gridCol w:w="2397"/>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序号</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检验项目</w:t>
            </w:r>
          </w:p>
        </w:tc>
        <w:tc>
          <w:tcPr>
            <w:tcW w:w="23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剥离强度</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3903.3-2011</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耐折性能</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3903.1-2008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耐磨性能</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3903.2-2008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鞋跟硬度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3903.4-2008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90"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衬里和内垫摩擦色牢度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QB/T 2882-2007</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钢勾心长度下限值</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28011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勾心抗弯刚度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28011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勾心硬度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230.1</w:t>
            </w:r>
          </w:p>
          <w:p>
            <w:pPr>
              <w:spacing w:line="360" w:lineRule="exact"/>
              <w:jc w:val="center"/>
              <w:rPr>
                <w:rFonts w:ascii="仿宋_GB2312" w:eastAsia="仿宋_GB2312"/>
                <w:sz w:val="21"/>
                <w:szCs w:val="21"/>
              </w:rPr>
            </w:pPr>
            <w:r>
              <w:rPr>
                <w:rFonts w:ascii="仿宋_GB2312" w:eastAsia="仿宋_GB2312"/>
                <w:sz w:val="21"/>
                <w:szCs w:val="21"/>
              </w:rPr>
              <w:t>GB/T</w:t>
            </w:r>
            <w:r>
              <w:rPr>
                <w:rFonts w:hint="eastAsia" w:ascii="仿宋_GB2312" w:eastAsia="仿宋_GB2312"/>
                <w:sz w:val="21"/>
                <w:szCs w:val="21"/>
              </w:rPr>
              <w:t xml:space="preserve"> </w:t>
            </w:r>
            <w:r>
              <w:rPr>
                <w:rFonts w:ascii="仿宋_GB2312" w:eastAsia="仿宋_GB2312"/>
                <w:sz w:val="21"/>
                <w:szCs w:val="21"/>
              </w:rPr>
              <w:t>3903.4-2017</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游离甲醛</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19941-2005；</w:t>
            </w:r>
          </w:p>
          <w:p>
            <w:pPr>
              <w:spacing w:line="360" w:lineRule="exact"/>
              <w:ind w:firstLine="210" w:firstLineChars="100"/>
              <w:rPr>
                <w:rFonts w:ascii="仿宋_GB2312" w:eastAsia="仿宋_GB2312"/>
                <w:sz w:val="21"/>
                <w:szCs w:val="21"/>
              </w:rPr>
            </w:pPr>
            <w:r>
              <w:rPr>
                <w:rFonts w:hint="eastAsia" w:ascii="仿宋_GB2312" w:eastAsia="仿宋_GB2312"/>
                <w:sz w:val="21"/>
                <w:szCs w:val="21"/>
              </w:rPr>
              <w:t>GB/T 2912.1-2009</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可分解有害芳香胺染料</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19942-2005；</w:t>
            </w:r>
          </w:p>
          <w:p>
            <w:pPr>
              <w:spacing w:line="360" w:lineRule="exact"/>
              <w:ind w:firstLine="210" w:firstLineChars="100"/>
              <w:rPr>
                <w:rFonts w:ascii="仿宋_GB2312" w:eastAsia="仿宋_GB2312"/>
                <w:sz w:val="21"/>
                <w:szCs w:val="21"/>
              </w:rPr>
            </w:pPr>
            <w:r>
              <w:rPr>
                <w:rFonts w:hint="eastAsia" w:ascii="仿宋_GB2312" w:eastAsia="仿宋_GB2312"/>
                <w:sz w:val="21"/>
                <w:szCs w:val="21"/>
              </w:rPr>
              <w:t>GB/T 17592-2011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鞋帮拉出强度</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22756 6.6</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外底与外中底粘合强度</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21396-2008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鞋跟结合力</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11413-2015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纤维板屈挠指数</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ascii="仿宋_GB2312" w:eastAsia="仿宋_GB2312"/>
                <w:sz w:val="21"/>
                <w:szCs w:val="21"/>
              </w:rPr>
              <w:t>QB/T 1472-2013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bl>
    <w:p>
      <w:pPr>
        <w:spacing w:line="600" w:lineRule="exact"/>
        <w:rPr>
          <w:rFonts w:eastAsia="黑体"/>
          <w:sz w:val="28"/>
        </w:rPr>
      </w:pPr>
      <w:r>
        <w:rPr>
          <w:rFonts w:hint="eastAsia" w:eastAsia="黑体"/>
          <w:sz w:val="28"/>
        </w:rPr>
        <w:t>休闲鞋：</w:t>
      </w:r>
    </w:p>
    <w:tbl>
      <w:tblPr>
        <w:tblStyle w:val="6"/>
        <w:tblW w:w="9214" w:type="dxa"/>
        <w:jc w:val="center"/>
        <w:tblLayout w:type="fixed"/>
        <w:tblCellMar>
          <w:top w:w="0" w:type="dxa"/>
          <w:left w:w="108" w:type="dxa"/>
          <w:bottom w:w="0" w:type="dxa"/>
          <w:right w:w="108" w:type="dxa"/>
        </w:tblCellMar>
      </w:tblPr>
      <w:tblGrid>
        <w:gridCol w:w="846"/>
        <w:gridCol w:w="1559"/>
        <w:gridCol w:w="2397"/>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序号</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检验项目</w:t>
            </w:r>
          </w:p>
        </w:tc>
        <w:tc>
          <w:tcPr>
            <w:tcW w:w="23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游离甲醛</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GB/T 19941-2005；</w:t>
            </w:r>
          </w:p>
          <w:p>
            <w:pPr>
              <w:spacing w:line="360" w:lineRule="exact"/>
              <w:ind w:firstLine="210" w:firstLineChars="100"/>
              <w:rPr>
                <w:rFonts w:ascii="仿宋_GB2312" w:eastAsia="仿宋_GB2312"/>
                <w:sz w:val="21"/>
                <w:szCs w:val="21"/>
              </w:rPr>
            </w:pPr>
            <w:r>
              <w:rPr>
                <w:rFonts w:hint="eastAsia" w:ascii="仿宋_GB2312" w:eastAsia="仿宋_GB2312"/>
                <w:sz w:val="21"/>
                <w:szCs w:val="21"/>
              </w:rPr>
              <w:t>GB/T 2912.1-2009</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可分解有害芳香胺染料</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GB/T 17592-2011；</w:t>
            </w:r>
          </w:p>
          <w:p>
            <w:pPr>
              <w:spacing w:line="360" w:lineRule="exact"/>
              <w:ind w:firstLine="210" w:firstLineChars="100"/>
              <w:rPr>
                <w:rFonts w:ascii="仿宋_GB2312" w:eastAsia="仿宋_GB2312"/>
                <w:sz w:val="21"/>
                <w:szCs w:val="21"/>
              </w:rPr>
            </w:pPr>
            <w:r>
              <w:rPr>
                <w:rFonts w:hint="eastAsia" w:ascii="仿宋_GB2312" w:eastAsia="仿宋_GB2312"/>
                <w:sz w:val="21"/>
                <w:szCs w:val="21"/>
              </w:rPr>
              <w:t>GB/T 19942-2005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耐折性能</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耐磨性能</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90"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剥离强度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3903.3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衬里和内垫摩擦色牢度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QB/T 2882-2007</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外底与外中底粘合强度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 21396-2008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ascii="仿宋_GB2312" w:eastAsia="仿宋_GB2312"/>
                <w:sz w:val="21"/>
                <w:szCs w:val="21"/>
              </w:rPr>
              <w:t>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帮面材料低温屈挠指数</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ascii="仿宋_GB2312" w:eastAsia="仿宋_GB2312"/>
                <w:sz w:val="21"/>
                <w:szCs w:val="21"/>
              </w:rPr>
              <w:t>QB/T 2224-2012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ascii="仿宋_GB2312" w:eastAsia="仿宋_GB2312"/>
                <w:sz w:val="21"/>
                <w:szCs w:val="21"/>
              </w:rPr>
              <w:t>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eastAsia="仿宋_GB2312"/>
                <w:sz w:val="21"/>
                <w:szCs w:val="21"/>
              </w:rPr>
            </w:pPr>
            <w:r>
              <w:rPr>
                <w:rFonts w:hint="eastAsia" w:ascii="仿宋_GB2312" w:eastAsia="仿宋_GB2312"/>
                <w:sz w:val="21"/>
                <w:szCs w:val="21"/>
              </w:rPr>
              <w:t>鞋帮拉出强度</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QB/T 2955 6.3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bl>
    <w:p>
      <w:pPr>
        <w:rPr>
          <w:rFonts w:eastAsia="黑体"/>
        </w:rPr>
      </w:pPr>
    </w:p>
    <w:p>
      <w:pPr>
        <w:rPr>
          <w:rFonts w:eastAsia="黑体"/>
        </w:rPr>
      </w:pPr>
      <w:r>
        <w:rPr>
          <w:rFonts w:hint="eastAsia" w:eastAsia="黑体"/>
        </w:rPr>
        <w:t>三、判定规则</w:t>
      </w:r>
    </w:p>
    <w:p>
      <w:pPr>
        <w:rPr>
          <w:rFonts w:ascii="楷体_GB2312" w:hAnsi="楷体_GB2312" w:eastAsia="楷体_GB2312" w:cs="楷体_GB2312"/>
        </w:rPr>
      </w:pPr>
      <w:r>
        <w:rPr>
          <w:rFonts w:hint="eastAsia" w:ascii="楷体_GB2312" w:hAnsi="楷体_GB2312" w:eastAsia="楷体_GB2312" w:cs="楷体_GB2312"/>
        </w:rPr>
        <w:t>（一）依据标准</w:t>
      </w:r>
    </w:p>
    <w:p>
      <w:pPr>
        <w:autoSpaceDE w:val="0"/>
        <w:autoSpaceDN w:val="0"/>
        <w:spacing w:line="600" w:lineRule="exact"/>
        <w:ind w:firstLine="640" w:firstLineChars="200"/>
        <w:rPr>
          <w:rFonts w:hint="eastAsia" w:ascii="仿宋_GB2312" w:hAnsi="仿宋_GB2312" w:eastAsia="仿宋_GB2312" w:cs="仿宋_GB2312"/>
          <w:kern w:val="0"/>
        </w:rPr>
      </w:pPr>
      <w:r>
        <w:rPr>
          <w:rFonts w:ascii="仿宋_GB2312" w:hAnsi="仿宋_GB2312" w:eastAsia="仿宋_GB2312" w:cs="仿宋_GB2312"/>
          <w:kern w:val="0"/>
        </w:rPr>
        <w:t>GB/T 5107-2013</w:t>
      </w:r>
      <w:r>
        <w:rPr>
          <w:rFonts w:hint="eastAsia" w:ascii="仿宋_GB2312" w:hAnsi="仿宋_GB2312" w:eastAsia="仿宋_GB2312" w:cs="仿宋_GB2312"/>
          <w:kern w:val="0"/>
        </w:rPr>
        <w:t>《旅游鞋》</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GB/T 22756-2017</w:t>
      </w:r>
      <w:r>
        <w:rPr>
          <w:rFonts w:hint="eastAsia" w:ascii="仿宋_GB2312" w:hAnsi="仿宋_GB2312" w:eastAsia="仿宋_GB2312" w:cs="仿宋_GB2312"/>
          <w:kern w:val="0"/>
        </w:rPr>
        <w:t>《皮凉鞋》</w:t>
      </w:r>
    </w:p>
    <w:p>
      <w:pPr>
        <w:autoSpaceDE w:val="0"/>
        <w:autoSpaceDN w:val="0"/>
        <w:spacing w:line="600" w:lineRule="exact"/>
        <w:ind w:firstLine="640" w:firstLineChars="200"/>
        <w:rPr>
          <w:rFonts w:hint="eastAsia" w:ascii="仿宋_GB2312" w:hAnsi="仿宋_GB2312" w:eastAsia="仿宋_GB2312" w:cs="仿宋_GB2312"/>
          <w:kern w:val="0"/>
        </w:rPr>
      </w:pPr>
      <w:r>
        <w:rPr>
          <w:rFonts w:ascii="仿宋_GB2312" w:hAnsi="仿宋_GB2312" w:eastAsia="仿宋_GB2312" w:cs="仿宋_GB2312"/>
          <w:kern w:val="0"/>
        </w:rPr>
        <w:t xml:space="preserve">QB/T 2955-2017 </w:t>
      </w:r>
      <w:r>
        <w:rPr>
          <w:rFonts w:hint="eastAsia" w:ascii="仿宋_GB2312" w:hAnsi="仿宋_GB2312" w:eastAsia="仿宋_GB2312" w:cs="仿宋_GB2312"/>
          <w:kern w:val="0"/>
        </w:rPr>
        <w:t>《休闲鞋》</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相关的法律法规、部门规章和规范、现行有效的企业标准、团体标准、地方标准及产品明示质量要求。</w:t>
      </w:r>
    </w:p>
    <w:p>
      <w:pPr>
        <w:rPr>
          <w:rFonts w:ascii="楷体_GB2312" w:hAnsi="楷体_GB2312" w:eastAsia="楷体_GB2312" w:cs="楷体_GB2312"/>
        </w:rPr>
      </w:pPr>
      <w:r>
        <w:rPr>
          <w:rFonts w:hint="eastAsia" w:ascii="楷体_GB2312" w:hAnsi="楷体_GB2312" w:eastAsia="楷体_GB2312" w:cs="楷体_GB2312"/>
        </w:rPr>
        <w:t>（二）判定原则</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经检验，检验项目全部合格，判定为被抽查产品合格；检验项目中任一项或一项以上不合格，判定为被抽查产品不合格。</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被检产品明示的质量要求高于本细则中检验项目依据的标准要求时，应按被检产品明示的质量要求判定。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被检产品明示的质量要求低于或包含本细则中检验项目依据的推荐性标准要求时，应以被检产品明示的质量要求判定。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被检产品明示的质量要求缺少本细则中检验项目依据的推荐性标准要求时，该项目不参与判定。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当被检样品未能提供有效的企业标准时，按相关国家或行业标准进行判定。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当被检样品标签标识中执行标准信息和产品类别信息不明或有误，影响检测和判定时，可根据产品特点等信息判断和选择相关标准进行检验，并应在检验报告中作出相关说明。</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按照产品质量相关法律法规的规定判定。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检验中发现因样品失效或者其他原因致使检验无法进行的，检验人员应如实记录，并提供相关证明材料，报送组织监督抽查的市场监管部门</w:t>
      </w:r>
      <w:r>
        <w:rPr>
          <w:rFonts w:ascii="仿宋_GB2312" w:hAnsi="仿宋_GB2312" w:eastAsia="仿宋_GB2312" w:cs="仿宋_GB2312"/>
          <w:kern w:val="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YjVjNWI5MzAzZTZmMWUwMWJlOWMwMWQxNmZkMjMifQ=="/>
  </w:docVars>
  <w:rsids>
    <w:rsidRoot w:val="00FA7094"/>
    <w:rsid w:val="00036BC7"/>
    <w:rsid w:val="0005045D"/>
    <w:rsid w:val="00063BD5"/>
    <w:rsid w:val="00092ABD"/>
    <w:rsid w:val="00105ECB"/>
    <w:rsid w:val="00116270"/>
    <w:rsid w:val="00120EFB"/>
    <w:rsid w:val="001221DB"/>
    <w:rsid w:val="00165BEE"/>
    <w:rsid w:val="00192BBD"/>
    <w:rsid w:val="001B01DB"/>
    <w:rsid w:val="001F5DD4"/>
    <w:rsid w:val="001F6ECB"/>
    <w:rsid w:val="00201CDD"/>
    <w:rsid w:val="00223348"/>
    <w:rsid w:val="00232F4F"/>
    <w:rsid w:val="00250DFA"/>
    <w:rsid w:val="002923B9"/>
    <w:rsid w:val="00294579"/>
    <w:rsid w:val="002A44A5"/>
    <w:rsid w:val="00310C73"/>
    <w:rsid w:val="00315028"/>
    <w:rsid w:val="0039338B"/>
    <w:rsid w:val="003E2CB7"/>
    <w:rsid w:val="003E376E"/>
    <w:rsid w:val="003F599D"/>
    <w:rsid w:val="004015F5"/>
    <w:rsid w:val="004757C1"/>
    <w:rsid w:val="004A5090"/>
    <w:rsid w:val="004B2573"/>
    <w:rsid w:val="00544BE4"/>
    <w:rsid w:val="00575170"/>
    <w:rsid w:val="00592C01"/>
    <w:rsid w:val="005A0994"/>
    <w:rsid w:val="006238A1"/>
    <w:rsid w:val="00624315"/>
    <w:rsid w:val="0064183F"/>
    <w:rsid w:val="00695250"/>
    <w:rsid w:val="006D4F7A"/>
    <w:rsid w:val="006D505E"/>
    <w:rsid w:val="006F4E7D"/>
    <w:rsid w:val="00724700"/>
    <w:rsid w:val="00724894"/>
    <w:rsid w:val="00732793"/>
    <w:rsid w:val="00734D56"/>
    <w:rsid w:val="00735F9B"/>
    <w:rsid w:val="0074286E"/>
    <w:rsid w:val="00752F93"/>
    <w:rsid w:val="0075545D"/>
    <w:rsid w:val="007646E1"/>
    <w:rsid w:val="007914F7"/>
    <w:rsid w:val="007A0EE2"/>
    <w:rsid w:val="007A10C3"/>
    <w:rsid w:val="007A29E9"/>
    <w:rsid w:val="007B0EC6"/>
    <w:rsid w:val="007C593B"/>
    <w:rsid w:val="007F204B"/>
    <w:rsid w:val="00841ED0"/>
    <w:rsid w:val="00864370"/>
    <w:rsid w:val="00895950"/>
    <w:rsid w:val="008C102E"/>
    <w:rsid w:val="008C280B"/>
    <w:rsid w:val="008C40B7"/>
    <w:rsid w:val="008E2601"/>
    <w:rsid w:val="008E2990"/>
    <w:rsid w:val="008F74C7"/>
    <w:rsid w:val="00926BC7"/>
    <w:rsid w:val="00955B1A"/>
    <w:rsid w:val="009F07C3"/>
    <w:rsid w:val="00A02A33"/>
    <w:rsid w:val="00A40122"/>
    <w:rsid w:val="00A66D10"/>
    <w:rsid w:val="00A97411"/>
    <w:rsid w:val="00AC1C38"/>
    <w:rsid w:val="00AD49D1"/>
    <w:rsid w:val="00B00411"/>
    <w:rsid w:val="00B22262"/>
    <w:rsid w:val="00B25DB1"/>
    <w:rsid w:val="00B46273"/>
    <w:rsid w:val="00B71752"/>
    <w:rsid w:val="00B7736F"/>
    <w:rsid w:val="00B803BD"/>
    <w:rsid w:val="00BA2151"/>
    <w:rsid w:val="00BA664E"/>
    <w:rsid w:val="00BB0B4C"/>
    <w:rsid w:val="00BC667E"/>
    <w:rsid w:val="00BD50D2"/>
    <w:rsid w:val="00C070D8"/>
    <w:rsid w:val="00C17D35"/>
    <w:rsid w:val="00C25348"/>
    <w:rsid w:val="00C4082C"/>
    <w:rsid w:val="00C450FD"/>
    <w:rsid w:val="00C47CC9"/>
    <w:rsid w:val="00C512B6"/>
    <w:rsid w:val="00CC19A7"/>
    <w:rsid w:val="00CC5785"/>
    <w:rsid w:val="00D1464E"/>
    <w:rsid w:val="00D224DD"/>
    <w:rsid w:val="00D357A6"/>
    <w:rsid w:val="00D4495B"/>
    <w:rsid w:val="00D539A7"/>
    <w:rsid w:val="00D554F8"/>
    <w:rsid w:val="00D629E1"/>
    <w:rsid w:val="00E54840"/>
    <w:rsid w:val="00E56737"/>
    <w:rsid w:val="00E61CE3"/>
    <w:rsid w:val="00E66D66"/>
    <w:rsid w:val="00E72969"/>
    <w:rsid w:val="00E94DFB"/>
    <w:rsid w:val="00E9624B"/>
    <w:rsid w:val="00E977EC"/>
    <w:rsid w:val="00EC3EBE"/>
    <w:rsid w:val="00EE24A1"/>
    <w:rsid w:val="00F1323C"/>
    <w:rsid w:val="00F3265E"/>
    <w:rsid w:val="00F3497A"/>
    <w:rsid w:val="00F5376E"/>
    <w:rsid w:val="00F60942"/>
    <w:rsid w:val="00F8007C"/>
    <w:rsid w:val="00FA671C"/>
    <w:rsid w:val="00FA7094"/>
    <w:rsid w:val="00FA791E"/>
    <w:rsid w:val="00FB22F7"/>
    <w:rsid w:val="00FE6536"/>
    <w:rsid w:val="4769005C"/>
    <w:rsid w:val="4FB235F0"/>
    <w:rsid w:val="58956C88"/>
    <w:rsid w:val="5BEB6052"/>
    <w:rsid w:val="60F92C2B"/>
    <w:rsid w:val="631F0B45"/>
    <w:rsid w:val="70981F36"/>
    <w:rsid w:val="72E4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9"/>
    <w:qFormat/>
    <w:uiPriority w:val="0"/>
    <w:pPr>
      <w:jc w:val="center"/>
      <w:outlineLvl w:val="0"/>
    </w:pPr>
    <w:rPr>
      <w:rFonts w:ascii="方正小标宋简体" w:eastAsia="方正小标宋简体"/>
      <w:kern w:val="44"/>
      <w:sz w:val="38"/>
      <w:szCs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unhideWhenUsed/>
    <w:qFormat/>
    <w:uiPriority w:val="0"/>
    <w:rPr>
      <w:rFonts w:ascii="宋体" w:hAnsi="Courier New" w:eastAsia="宋体" w:cs="Courier New"/>
      <w:sz w:val="21"/>
      <w:szCs w:val="21"/>
    </w:rPr>
  </w:style>
  <w:style w:type="paragraph" w:styleId="4">
    <w:name w:val="footer"/>
    <w:basedOn w:val="1"/>
    <w:link w:val="15"/>
    <w:uiPriority w:val="0"/>
    <w:pPr>
      <w:tabs>
        <w:tab w:val="center" w:pos="4153"/>
        <w:tab w:val="right" w:pos="8306"/>
      </w:tabs>
      <w:snapToGrid w:val="0"/>
      <w:jc w:val="left"/>
    </w:pPr>
    <w:rPr>
      <w:rFonts w:eastAsia="仿宋_GB2312"/>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rFonts w:eastAsia="仿宋_GB2312"/>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uiPriority w:val="0"/>
    <w:rPr>
      <w:rFonts w:ascii="方正小标宋简体" w:eastAsia="方正小标宋简体"/>
      <w:kern w:val="44"/>
      <w:sz w:val="38"/>
      <w:szCs w:val="24"/>
    </w:rPr>
  </w:style>
  <w:style w:type="character" w:customStyle="1" w:styleId="10">
    <w:name w:val="纯文本 字符"/>
    <w:basedOn w:val="8"/>
    <w:link w:val="3"/>
    <w:qFormat/>
    <w:uiPriority w:val="0"/>
    <w:rPr>
      <w:rFonts w:ascii="宋体" w:hAnsi="Courier New" w:cs="Courier New"/>
      <w:kern w:val="2"/>
      <w:sz w:val="21"/>
      <w:szCs w:val="21"/>
    </w:rPr>
  </w:style>
  <w:style w:type="table" w:customStyle="1" w:styleId="11">
    <w:name w:val="网格型1"/>
    <w:basedOn w:val="6"/>
    <w:unhideWhenUse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_Style 14"/>
    <w:basedOn w:val="1"/>
    <w:qFormat/>
    <w:uiPriority w:val="34"/>
    <w:pPr>
      <w:ind w:firstLine="420" w:firstLineChars="200"/>
    </w:pPr>
    <w:rPr>
      <w:rFonts w:eastAsia="仿宋_GB2312"/>
      <w:sz w:val="30"/>
      <w:szCs w:val="24"/>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4">
    <w:name w:val="页眉 字符"/>
    <w:basedOn w:val="8"/>
    <w:link w:val="5"/>
    <w:uiPriority w:val="0"/>
    <w:rPr>
      <w:rFonts w:eastAsia="仿宋_GB2312"/>
      <w:kern w:val="2"/>
      <w:sz w:val="18"/>
      <w:szCs w:val="18"/>
    </w:rPr>
  </w:style>
  <w:style w:type="character" w:customStyle="1" w:styleId="15">
    <w:name w:val="页脚 字符"/>
    <w:basedOn w:val="8"/>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1416</Words>
  <Characters>1882</Characters>
  <Lines>16</Lines>
  <Paragraphs>4</Paragraphs>
  <TotalTime>80</TotalTime>
  <ScaleCrop>false</ScaleCrop>
  <LinksUpToDate>false</LinksUpToDate>
  <CharactersWithSpaces>1942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2022-01-17T15:49:00Z</dcterms:created>
  <dc:creator>范士平</dc:creator>
  <cp:lastModifiedBy>李文湘</cp:lastModifiedBy>
  <dcterms:modified xsi:type="dcterms:W3CDTF">2023-08-14T02:51:32Z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8F4D1DBC55CD45E4ACC3E4D7A166320D</vt:lpwstr>
  </property>
</Properties>
</file>