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Courier New" w:eastAsia="方正小标宋简体" w:cs="Courier New"/>
          <w:bCs/>
          <w:sz w:val="44"/>
          <w:szCs w:val="44"/>
          <w:lang w:eastAsia="zh-CN"/>
        </w:rPr>
      </w:pPr>
      <w:r>
        <w:rPr>
          <w:rFonts w:hint="eastAsia" w:ascii="方正小标宋简体" w:hAnsi="Courier New" w:eastAsia="方正小标宋简体" w:cs="Courier New"/>
          <w:bCs/>
          <w:sz w:val="44"/>
          <w:szCs w:val="44"/>
          <w:lang w:eastAsia="zh-CN"/>
        </w:rPr>
        <w:t>汕尾市</w:t>
      </w:r>
      <w:r>
        <w:rPr>
          <w:rFonts w:hint="eastAsia" w:ascii="方正小标宋简体" w:hAnsi="Courier New" w:eastAsia="方正小标宋简体" w:cs="Courier New"/>
          <w:bCs/>
          <w:sz w:val="44"/>
          <w:szCs w:val="44"/>
          <w:lang w:eastAsia="zh-CN"/>
        </w:rPr>
        <w:t>钢化</w:t>
      </w:r>
      <w:r>
        <w:rPr>
          <w:rFonts w:hint="eastAsia" w:ascii="方正小标宋简体" w:hAnsi="Courier New" w:eastAsia="方正小标宋简体" w:cs="Courier New"/>
          <w:bCs/>
          <w:sz w:val="44"/>
          <w:szCs w:val="44"/>
          <w:lang w:eastAsia="zh-CN"/>
        </w:rPr>
        <w:t>玻璃产品质量监督抽查</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简体" w:hAnsi="Courier New" w:eastAsia="方正小标宋简体" w:cs="Courier New"/>
          <w:bCs/>
          <w:sz w:val="44"/>
          <w:szCs w:val="44"/>
          <w:lang w:eastAsia="zh-CN"/>
        </w:rPr>
      </w:pPr>
      <w:r>
        <w:rPr>
          <w:rFonts w:hint="eastAsia" w:ascii="方正小标宋简体" w:hAnsi="Courier New" w:eastAsia="方正小标宋简体" w:cs="Courier New"/>
          <w:bCs/>
          <w:sz w:val="44"/>
          <w:szCs w:val="44"/>
          <w:lang w:eastAsia="zh-CN"/>
        </w:rPr>
        <w:t>实施细则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黑体" w:hAnsi="黑体" w:eastAsia="黑体" w:cs="Courier New"/>
          <w:sz w:val="30"/>
          <w:szCs w:val="30"/>
        </w:rPr>
      </w:pPr>
    </w:p>
    <w:p>
      <w:pPr>
        <w:keepNext w:val="0"/>
        <w:keepLines w:val="0"/>
        <w:pageBreakBefore w:val="0"/>
        <w:widowControl w:val="0"/>
        <w:kinsoku/>
        <w:wordWrap/>
        <w:overflowPunct/>
        <w:topLinePunct w:val="0"/>
        <w:bidi w:val="0"/>
        <w:snapToGrid/>
        <w:spacing w:line="240" w:lineRule="auto"/>
        <w:ind w:firstLine="640" w:firstLineChars="200"/>
        <w:textAlignment w:val="auto"/>
        <w:rPr>
          <w:rFonts w:hint="eastAsia" w:ascii="黑体" w:hAnsi="黑体" w:eastAsia="黑体" w:cs="Courier New"/>
          <w:sz w:val="32"/>
          <w:szCs w:val="32"/>
        </w:rPr>
      </w:pPr>
      <w:r>
        <w:rPr>
          <w:rFonts w:hint="eastAsia" w:ascii="黑体" w:hAnsi="黑体" w:eastAsia="黑体" w:cs="Courier New"/>
          <w:sz w:val="32"/>
          <w:szCs w:val="32"/>
        </w:rPr>
        <w:t>一、抽样方法</w:t>
      </w:r>
    </w:p>
    <w:p>
      <w:pPr>
        <w:autoSpaceDE w:val="0"/>
        <w:autoSpaceDN w:val="0"/>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从企业的成品库内（包括成品堆放区）或市场待销产品中随机抽取有产品质量检验合格证明或者以其他形式表明合格的、近期生产的产品，抽样基数大于</w:t>
      </w:r>
      <w:r>
        <w:rPr>
          <w:rFonts w:hint="eastAsia" w:ascii="仿宋_GB2312" w:hAnsi="仿宋_GB2312" w:eastAsia="仿宋_GB2312" w:cs="仿宋_GB2312"/>
          <w:kern w:val="0"/>
          <w:sz w:val="32"/>
          <w:szCs w:val="32"/>
          <w:lang w:val="en-US" w:eastAsia="zh-CN"/>
        </w:rPr>
        <w:t>26</w:t>
      </w:r>
      <w:r>
        <w:rPr>
          <w:rFonts w:hint="eastAsia" w:ascii="仿宋_GB2312" w:hAnsi="仿宋_GB2312" w:eastAsia="仿宋_GB2312" w:cs="仿宋_GB2312"/>
          <w:kern w:val="0"/>
          <w:sz w:val="32"/>
          <w:szCs w:val="32"/>
        </w:rPr>
        <w:t>块，采用简单随机抽样法抽取样品8块。</w:t>
      </w:r>
    </w:p>
    <w:p>
      <w:pPr>
        <w:autoSpaceDE w:val="0"/>
        <w:autoSpaceDN w:val="0"/>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因钢化玻璃不可切裁，标准中要求的特定规格的试样由企业采用与抽查产品相同材料、相同工艺条件现场制作的方式提供。制作的试样数量可大于等于抽样数，企业对试样进行自检并提供质量检验合格证明，抽样人员在其自检合格的试样中随机抽取样品。</w:t>
      </w:r>
    </w:p>
    <w:p>
      <w:pPr>
        <w:autoSpaceDE w:val="0"/>
        <w:autoSpaceDN w:val="0"/>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随机数一般可以使用随机数表、骰子或扑克牌等方法产生。</w:t>
      </w:r>
      <w:r>
        <w:rPr>
          <w:rFonts w:hint="eastAsia" w:ascii="仿宋_GB2312" w:hAnsi="仿宋_GB2312" w:eastAsia="仿宋_GB2312" w:cs="仿宋_GB2312"/>
          <w:kern w:val="0"/>
          <w:sz w:val="32"/>
          <w:szCs w:val="32"/>
          <w:lang w:val="en-US" w:eastAsia="zh-CN"/>
        </w:rPr>
        <w:t xml:space="preserve">  </w:t>
      </w:r>
    </w:p>
    <w:p>
      <w:pPr>
        <w:autoSpaceDE w:val="0"/>
        <w:autoSpaceDN w:val="0"/>
        <w:spacing w:line="600" w:lineRule="exact"/>
        <w:ind w:firstLine="640" w:firstLineChars="200"/>
        <w:rPr>
          <w:rFonts w:hint="eastAsia" w:ascii="宋体" w:hAnsi="宋体"/>
        </w:rPr>
      </w:pPr>
      <w:r>
        <w:rPr>
          <w:rFonts w:hint="eastAsia" w:ascii="仿宋_GB2312" w:hAnsi="仿宋_GB2312" w:eastAsia="仿宋_GB2312" w:cs="仿宋_GB2312"/>
          <w:kern w:val="0"/>
          <w:sz w:val="32"/>
          <w:szCs w:val="32"/>
        </w:rPr>
        <w:t>抽取样品应为同一原材料、同一厚度、同一批次、玻璃公称厚度≥3mm且≤10mm的任意一种厚度的产品。</w:t>
      </w:r>
    </w:p>
    <w:tbl>
      <w:tblPr>
        <w:tblStyle w:val="5"/>
        <w:tblW w:w="97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3"/>
        <w:gridCol w:w="1745"/>
        <w:gridCol w:w="2882"/>
        <w:gridCol w:w="1578"/>
        <w:gridCol w:w="955"/>
        <w:gridCol w:w="956"/>
        <w:gridCol w:w="9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atLeast"/>
          <w:jc w:val="center"/>
        </w:trPr>
        <w:tc>
          <w:tcPr>
            <w:tcW w:w="763" w:type="dxa"/>
            <w:vMerge w:val="restart"/>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745" w:type="dxa"/>
            <w:vMerge w:val="restart"/>
            <w:vAlign w:val="center"/>
          </w:tcPr>
          <w:p>
            <w:pPr>
              <w:tabs>
                <w:tab w:val="left" w:pos="360"/>
              </w:tabs>
              <w:autoSpaceDE w:val="0"/>
              <w:autoSpaceDN w:val="0"/>
              <w:adjustRightInd w:val="0"/>
              <w:spacing w:line="360" w:lineRule="auto"/>
              <w:ind w:firstLine="210" w:firstLineChars="10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检验项目</w:t>
            </w:r>
          </w:p>
        </w:tc>
        <w:tc>
          <w:tcPr>
            <w:tcW w:w="2882" w:type="dxa"/>
            <w:vMerge w:val="restart"/>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样品规格</w:t>
            </w:r>
          </w:p>
        </w:tc>
        <w:tc>
          <w:tcPr>
            <w:tcW w:w="1578" w:type="dxa"/>
            <w:vMerge w:val="restart"/>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抽样方法</w:t>
            </w:r>
          </w:p>
        </w:tc>
        <w:tc>
          <w:tcPr>
            <w:tcW w:w="2828" w:type="dxa"/>
            <w:gridSpan w:val="3"/>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样品规格/数量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jc w:val="center"/>
        </w:trPr>
        <w:tc>
          <w:tcPr>
            <w:tcW w:w="763" w:type="dxa"/>
            <w:vMerge w:val="continue"/>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p>
        </w:tc>
        <w:tc>
          <w:tcPr>
            <w:tcW w:w="1745" w:type="dxa"/>
            <w:vMerge w:val="continue"/>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p>
        </w:tc>
        <w:tc>
          <w:tcPr>
            <w:tcW w:w="2882" w:type="dxa"/>
            <w:vMerge w:val="continue"/>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p>
        </w:tc>
        <w:tc>
          <w:tcPr>
            <w:tcW w:w="1578" w:type="dxa"/>
            <w:vMerge w:val="continue"/>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p>
        </w:tc>
        <w:tc>
          <w:tcPr>
            <w:tcW w:w="95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检验样</w:t>
            </w:r>
          </w:p>
        </w:tc>
        <w:tc>
          <w:tcPr>
            <w:tcW w:w="956"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备用样</w:t>
            </w:r>
          </w:p>
        </w:tc>
        <w:tc>
          <w:tcPr>
            <w:tcW w:w="917"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小计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63"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w:t>
            </w:r>
          </w:p>
        </w:tc>
        <w:tc>
          <w:tcPr>
            <w:tcW w:w="174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碎片状态</w:t>
            </w:r>
          </w:p>
        </w:tc>
        <w:tc>
          <w:tcPr>
            <w:tcW w:w="2882"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每块玻璃面积不应小于0.5m</w:t>
            </w:r>
            <w:r>
              <w:rPr>
                <w:rFonts w:ascii="宋体" w:hAnsi="宋体" w:cs="Sim Sun"/>
                <w:color w:val="000000" w:themeColor="text1"/>
                <w:kern w:val="0"/>
                <w:sz w:val="21"/>
                <w:szCs w:val="21"/>
                <w:vertAlign w:val="superscript"/>
                <w14:textFill>
                  <w14:solidFill>
                    <w14:schemeClr w14:val="tx1"/>
                  </w14:solidFill>
                </w14:textFill>
              </w:rPr>
              <w:t>2</w:t>
            </w:r>
          </w:p>
        </w:tc>
        <w:tc>
          <w:tcPr>
            <w:tcW w:w="1578"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ascii="宋体" w:hAnsi="宋体"/>
                <w:color w:val="000000" w:themeColor="text1"/>
                <w:sz w:val="21"/>
                <w:szCs w:val="21"/>
                <w14:textFill>
                  <w14:solidFill>
                    <w14:schemeClr w14:val="tx1"/>
                  </w14:solidFill>
                </w14:textFill>
              </w:rPr>
              <w:t>随机抽取产品</w:t>
            </w:r>
          </w:p>
        </w:tc>
        <w:tc>
          <w:tcPr>
            <w:tcW w:w="95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4</w:t>
            </w:r>
          </w:p>
        </w:tc>
        <w:tc>
          <w:tcPr>
            <w:tcW w:w="956"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4</w:t>
            </w:r>
          </w:p>
        </w:tc>
        <w:tc>
          <w:tcPr>
            <w:tcW w:w="917"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63"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w:t>
            </w:r>
          </w:p>
        </w:tc>
        <w:tc>
          <w:tcPr>
            <w:tcW w:w="174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抗冲击性</w:t>
            </w:r>
          </w:p>
        </w:tc>
        <w:tc>
          <w:tcPr>
            <w:tcW w:w="2882"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610mm×610mm</w:t>
            </w:r>
          </w:p>
        </w:tc>
        <w:tc>
          <w:tcPr>
            <w:tcW w:w="1578"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现场制作</w:t>
            </w:r>
          </w:p>
        </w:tc>
        <w:tc>
          <w:tcPr>
            <w:tcW w:w="95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12</w:t>
            </w:r>
          </w:p>
        </w:tc>
        <w:tc>
          <w:tcPr>
            <w:tcW w:w="956"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12</w:t>
            </w:r>
          </w:p>
        </w:tc>
        <w:tc>
          <w:tcPr>
            <w:tcW w:w="917"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63" w:type="dxa"/>
            <w:vAlign w:val="center"/>
          </w:tcPr>
          <w:p>
            <w:pPr>
              <w:tabs>
                <w:tab w:val="left" w:pos="360"/>
              </w:tabs>
              <w:autoSpaceDE w:val="0"/>
              <w:autoSpaceDN w:val="0"/>
              <w:adjustRightInd w:val="0"/>
              <w:spacing w:line="360" w:lineRule="auto"/>
              <w:jc w:val="center"/>
              <w:rPr>
                <w:rFonts w:hint="eastAsia" w:ascii="宋体" w:hAnsi="宋体" w:eastAsia="宋体"/>
                <w:color w:val="000000" w:themeColor="text1"/>
                <w:sz w:val="21"/>
                <w:szCs w:val="21"/>
                <w:lang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3</w:t>
            </w:r>
          </w:p>
        </w:tc>
        <w:tc>
          <w:tcPr>
            <w:tcW w:w="174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霰弹袋冲击性能</w:t>
            </w:r>
          </w:p>
        </w:tc>
        <w:tc>
          <w:tcPr>
            <w:tcW w:w="2882"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1930mm×860mm</w:t>
            </w:r>
          </w:p>
        </w:tc>
        <w:tc>
          <w:tcPr>
            <w:tcW w:w="1578"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现场制作</w:t>
            </w:r>
          </w:p>
        </w:tc>
        <w:tc>
          <w:tcPr>
            <w:tcW w:w="955"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4</w:t>
            </w:r>
          </w:p>
        </w:tc>
        <w:tc>
          <w:tcPr>
            <w:tcW w:w="956"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4</w:t>
            </w:r>
          </w:p>
        </w:tc>
        <w:tc>
          <w:tcPr>
            <w:tcW w:w="917" w:type="dxa"/>
            <w:vAlign w:val="center"/>
          </w:tcPr>
          <w:p>
            <w:pPr>
              <w:tabs>
                <w:tab w:val="left" w:pos="360"/>
              </w:tabs>
              <w:autoSpaceDE w:val="0"/>
              <w:autoSpaceDN w:val="0"/>
              <w:adjustRightInd w:val="0"/>
              <w:spacing w:line="360" w:lineRule="auto"/>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8</w:t>
            </w:r>
          </w:p>
        </w:tc>
      </w:tr>
    </w:tbl>
    <w:p>
      <w:pPr>
        <w:autoSpaceDE w:val="0"/>
        <w:autoSpaceDN w:val="0"/>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注：检验样和备用样均包括了标准允许追加试验的样品。表面应力是非破坏性检验,检验样品可以留样以备复检使用，无需备用样。</w:t>
      </w:r>
    </w:p>
    <w:p>
      <w:pPr>
        <w:snapToGrid w:val="0"/>
        <w:spacing w:line="440" w:lineRule="exact"/>
        <w:ind w:left="0" w:leftChars="0" w:firstLine="640" w:firstLineChars="200"/>
        <w:rPr>
          <w:rFonts w:hint="eastAsia" w:ascii="宋体" w:hAnsi="宋体" w:eastAsia="宋体" w:cs="宋体"/>
          <w:color w:val="000000"/>
          <w:sz w:val="28"/>
          <w:szCs w:val="28"/>
        </w:rPr>
      </w:pPr>
      <w:r>
        <w:rPr>
          <w:rFonts w:hint="eastAsia" w:ascii="黑体" w:hAnsi="黑体" w:eastAsia="黑体" w:cs="Courier New"/>
          <w:sz w:val="32"/>
          <w:szCs w:val="32"/>
        </w:rPr>
        <w:t>二、</w:t>
      </w:r>
      <w:r>
        <w:rPr>
          <w:rFonts w:hint="eastAsia" w:ascii="黑体" w:hAnsi="黑体" w:eastAsia="黑体" w:cs="Courier New"/>
          <w:sz w:val="32"/>
          <w:szCs w:val="32"/>
          <w:lang w:val="en-US" w:eastAsia="zh-CN"/>
        </w:rPr>
        <w:t>主要检验项目及不合格类别的划分指标</w:t>
      </w:r>
    </w:p>
    <w:p>
      <w:pPr>
        <w:snapToGrid w:val="0"/>
        <w:spacing w:line="360" w:lineRule="auto"/>
        <w:jc w:val="center"/>
        <w:rPr>
          <w:rFonts w:ascii="宋体" w:hAnsi="宋体"/>
          <w:b/>
          <w:sz w:val="21"/>
          <w:szCs w:val="21"/>
        </w:rPr>
      </w:pPr>
      <w:r>
        <w:rPr>
          <w:rFonts w:hint="eastAsia" w:ascii="宋体" w:hAnsi="宋体"/>
          <w:b/>
          <w:sz w:val="21"/>
          <w:szCs w:val="21"/>
        </w:rPr>
        <w:t>表</w:t>
      </w:r>
      <w:r>
        <w:rPr>
          <w:rFonts w:hint="eastAsia" w:ascii="宋体" w:hAnsi="宋体"/>
          <w:b/>
          <w:sz w:val="21"/>
          <w:szCs w:val="21"/>
          <w:lang w:val="en-US" w:eastAsia="zh-CN"/>
        </w:rPr>
        <w:t>1建筑用钢化玻璃</w:t>
      </w:r>
      <w:r>
        <w:rPr>
          <w:rFonts w:hint="eastAsia" w:ascii="宋体" w:hAnsi="宋体"/>
          <w:b/>
          <w:sz w:val="21"/>
          <w:szCs w:val="21"/>
        </w:rPr>
        <w:t>检验项目及重要程度分类</w:t>
      </w:r>
    </w:p>
    <w:tbl>
      <w:tblPr>
        <w:tblStyle w:val="5"/>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7"/>
        <w:gridCol w:w="1572"/>
        <w:gridCol w:w="1818"/>
        <w:gridCol w:w="945"/>
        <w:gridCol w:w="945"/>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37"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572"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818"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572"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碎片状态</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6.6</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572"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抗冲击性</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6.5</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572"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霰弹袋冲击性能</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 15763.2-2005 6.7</w:t>
            </w: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tabs>
                <w:tab w:val="center" w:pos="4153"/>
                <w:tab w:val="right" w:pos="8306"/>
              </w:tabs>
              <w:snapToGrid w:val="0"/>
              <w:jc w:val="center"/>
              <w:rPr>
                <w:rFonts w:ascii="宋体" w:hAnsi="宋体" w:eastAsia="宋体"/>
                <w:sz w:val="21"/>
                <w:szCs w:val="21"/>
              </w:rPr>
            </w:pPr>
            <w:r>
              <w:rPr>
                <w:rFonts w:hint="eastAsia" w:ascii="宋体" w:hAnsi="宋体"/>
                <w:sz w:val="18"/>
                <w:szCs w:val="18"/>
              </w:rPr>
              <w:t>●</w:t>
            </w: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c>
          <w:tcPr>
            <w:tcW w:w="945" w:type="dxa"/>
            <w:noWrap w:val="0"/>
            <w:vAlign w:val="center"/>
          </w:tcPr>
          <w:p>
            <w:pPr>
              <w:pStyle w:val="11"/>
              <w:adjustRightInd w:val="0"/>
              <w:snapToGrid w:val="0"/>
              <w:spacing w:line="360" w:lineRule="auto"/>
              <w:jc w:val="center"/>
              <w:rPr>
                <w:rFonts w:ascii="宋体" w:hAnsi="宋体" w:eastAsia="宋体"/>
                <w:sz w:val="21"/>
                <w:szCs w:val="21"/>
              </w:rPr>
            </w:pPr>
          </w:p>
        </w:tc>
      </w:tr>
    </w:tbl>
    <w:p>
      <w:pPr>
        <w:snapToGrid w:val="0"/>
        <w:spacing w:line="360" w:lineRule="auto"/>
        <w:jc w:val="center"/>
        <w:rPr>
          <w:rFonts w:hint="eastAsia" w:ascii="宋体" w:hAnsi="宋体"/>
          <w:b/>
          <w:sz w:val="21"/>
          <w:szCs w:val="21"/>
        </w:rPr>
      </w:pPr>
    </w:p>
    <w:p>
      <w:pPr>
        <w:autoSpaceDE w:val="0"/>
        <w:autoSpaceDN w:val="0"/>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凡是注日期的文件，其随后所有的修改单（不包括勘误的内容）或修订版不适用于本细则。凡是不注日期的文件，其最新版本适用于本细则。</w:t>
      </w:r>
    </w:p>
    <w:p>
      <w:pPr>
        <w:autoSpaceDE w:val="0"/>
        <w:autoSpaceDN w:val="0"/>
        <w:spacing w:line="600" w:lineRule="exact"/>
        <w:ind w:firstLine="640" w:firstLineChars="200"/>
        <w:rPr>
          <w:rFonts w:hint="eastAsia" w:ascii="仿宋_GB2312" w:hAnsi="仿宋_GB2312" w:eastAsia="仿宋_GB2312" w:cs="仿宋_GB2312"/>
          <w:kern w:val="0"/>
          <w:sz w:val="32"/>
          <w:szCs w:val="32"/>
        </w:rPr>
      </w:pPr>
      <w:r>
        <w:rPr>
          <w:rFonts w:hint="eastAsia" w:ascii="黑体" w:hAnsi="黑体" w:eastAsia="黑体" w:cs="Courier New"/>
          <w:sz w:val="32"/>
          <w:szCs w:val="32"/>
        </w:rPr>
        <w:t>三、判定规则</w:t>
      </w:r>
    </w:p>
    <w:p>
      <w:pPr>
        <w:snapToGrid w:val="0"/>
        <w:spacing w:line="440" w:lineRule="exact"/>
        <w:ind w:left="0" w:leftChars="0" w:firstLine="640" w:firstLineChars="200"/>
        <w:rPr>
          <w:rFonts w:ascii="宋体"/>
          <w:szCs w:val="21"/>
        </w:rPr>
      </w:pPr>
      <w:r>
        <w:rPr>
          <w:rFonts w:hint="eastAsia" w:ascii="楷体_GB2312" w:hAnsi="楷体_GB2312" w:eastAsia="楷体_GB2312" w:cs="楷体_GB2312"/>
          <w:sz w:val="32"/>
          <w:szCs w:val="32"/>
        </w:rPr>
        <w:t>（一）依据标准</w:t>
      </w:r>
    </w:p>
    <w:p>
      <w:pPr>
        <w:autoSpaceDE w:val="0"/>
        <w:autoSpaceDN w:val="0"/>
        <w:spacing w:line="600" w:lineRule="exact"/>
        <w:ind w:left="0" w:leftChars="0" w:firstLine="638" w:firstLineChars="304"/>
        <w:rPr>
          <w:rFonts w:hint="default" w:ascii="仿宋_GB2312" w:hAnsi="仿宋_GB2312" w:eastAsia="仿宋_GB2312" w:cs="仿宋_GB2312"/>
          <w:kern w:val="0"/>
          <w:sz w:val="32"/>
          <w:szCs w:val="32"/>
          <w:lang w:val="en-US" w:eastAsia="zh-CN"/>
        </w:rPr>
      </w:pPr>
      <w:r>
        <w:rPr>
          <w:rFonts w:hint="eastAsia" w:ascii="宋体" w:hAnsi="宋体" w:cs="HTJ-PK748200003b2-Identity-H"/>
          <w:b w:val="0"/>
          <w:bCs/>
          <w:kern w:val="0"/>
          <w:lang w:val="en-US" w:eastAsia="zh-CN"/>
        </w:rPr>
        <w:t xml:space="preserve">  </w:t>
      </w:r>
      <w:r>
        <w:rPr>
          <w:rFonts w:hint="eastAsia" w:ascii="仿宋_GB2312" w:hAnsi="仿宋_GB2312" w:eastAsia="仿宋_GB2312" w:cs="仿宋_GB2312"/>
          <w:kern w:val="0"/>
          <w:sz w:val="32"/>
          <w:szCs w:val="32"/>
          <w:lang w:val="en-US" w:eastAsia="zh-CN"/>
        </w:rPr>
        <w:t>GB 15763.2-2005 建筑用安全玻璃 第2部分：钢化玻璃</w:t>
      </w:r>
    </w:p>
    <w:p>
      <w:pPr>
        <w:autoSpaceDE w:val="0"/>
        <w:autoSpaceDN w:val="0"/>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现行</w:t>
      </w:r>
      <w:r>
        <w:rPr>
          <w:rFonts w:hint="eastAsia" w:ascii="仿宋_GB2312" w:hAnsi="仿宋_GB2312" w:eastAsia="仿宋_GB2312" w:cs="仿宋_GB2312"/>
          <w:kern w:val="0"/>
          <w:sz w:val="32"/>
          <w:szCs w:val="32"/>
        </w:rPr>
        <w:t>有效的企业标准、团体标准、地方标准及产品明示质量要求</w:t>
      </w:r>
    </w:p>
    <w:p>
      <w:pPr>
        <w:spacing w:line="360" w:lineRule="auto"/>
        <w:ind w:left="0" w:leftChars="0" w:right="-311" w:rightChars="-148" w:firstLine="640" w:firstLineChars="200"/>
        <w:rPr>
          <w:rFonts w:hint="eastAsia" w:ascii="宋体" w:hAnsi="宋体" w:eastAsia="宋体" w:cs="Times New Roman"/>
          <w:b/>
          <w:bCs/>
          <w:sz w:val="28"/>
          <w:szCs w:val="28"/>
          <w:lang w:val="en-US" w:eastAsia="zh-CN"/>
        </w:rPr>
      </w:pPr>
      <w:r>
        <w:rPr>
          <w:rFonts w:hint="eastAsia" w:ascii="楷体_GB2312" w:hAnsi="楷体_GB2312" w:eastAsia="楷体_GB2312" w:cs="楷体_GB2312"/>
          <w:sz w:val="32"/>
          <w:szCs w:val="32"/>
        </w:rPr>
        <w:t>（二）判定原则</w:t>
      </w:r>
    </w:p>
    <w:p>
      <w:pPr>
        <w:snapToGrid w:val="0"/>
        <w:spacing w:line="440" w:lineRule="exact"/>
        <w:ind w:left="0" w:leftChars="0" w:firstLine="640" w:firstLineChars="0"/>
        <w:rPr>
          <w:rFonts w:hint="default" w:ascii="宋体" w:hAnsi="宋体"/>
          <w:color w:val="000000"/>
          <w:szCs w:val="21"/>
          <w:u w:val="none"/>
          <w:lang w:val="en-US" w:eastAsia="zh-CN"/>
        </w:rPr>
      </w:pPr>
      <w:r>
        <w:rPr>
          <w:rFonts w:hint="eastAsia" w:ascii="楷体_GB2312" w:hAnsi="楷体_GB2312" w:eastAsia="楷体_GB2312" w:cs="楷体_GB2312"/>
          <w:sz w:val="32"/>
          <w:szCs w:val="32"/>
          <w:lang w:val="en-US" w:eastAsia="zh-CN"/>
        </w:rPr>
        <w:t>1.样本判定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eastAsia" w:ascii="宋体" w:hAnsi="宋体"/>
          <w:color w:val="000000"/>
          <w:szCs w:val="21"/>
          <w:u w:val="none"/>
          <w:lang w:val="en-US" w:eastAsia="zh-CN"/>
        </w:rPr>
      </w:pPr>
      <w:r>
        <w:rPr>
          <w:rFonts w:hint="eastAsia" w:ascii="仿宋_GB2312" w:hAnsi="仿宋_GB2312" w:eastAsia="仿宋_GB2312" w:cs="仿宋_GB2312"/>
          <w:kern w:val="0"/>
          <w:sz w:val="32"/>
          <w:szCs w:val="32"/>
          <w:lang w:val="en-US" w:eastAsia="zh-CN"/>
        </w:rPr>
        <w:t>依据所检质量指标的重要程度及不合格的严重程度，对样本进行综合判定。对于不合格的样本，判定结果分为严重不合格和不合格两类。样本不合格程度分类如下表所示：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4"/>
        <w:gridCol w:w="2584"/>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8" w:type="dxa"/>
            <w:gridSpan w:val="2"/>
            <w:vAlign w:val="center"/>
          </w:tcPr>
          <w:p>
            <w:pPr>
              <w:snapToGrid w:val="0"/>
              <w:spacing w:line="440" w:lineRule="exact"/>
              <w:jc w:val="center"/>
              <w:rPr>
                <w:rFonts w:hint="eastAsia" w:ascii="宋体" w:hAnsi="宋体"/>
                <w:color w:val="000000"/>
                <w:szCs w:val="21"/>
                <w:u w:val="none"/>
                <w:vertAlign w:val="baseline"/>
                <w:lang w:val="en-US" w:eastAsia="zh-CN"/>
              </w:rPr>
            </w:pPr>
            <w:r>
              <w:rPr>
                <w:rFonts w:hint="eastAsia" w:ascii="宋体" w:hAnsi="宋体"/>
                <w:color w:val="000000"/>
                <w:szCs w:val="21"/>
                <w:u w:val="none"/>
                <w:lang w:val="en-US" w:eastAsia="zh-CN"/>
              </w:rPr>
              <w:t>质量指标重要程度及不合格严重程度</w:t>
            </w:r>
          </w:p>
        </w:tc>
        <w:tc>
          <w:tcPr>
            <w:tcW w:w="2094" w:type="dxa"/>
            <w:vMerge w:val="restart"/>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84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定量型质量指标</w:t>
            </w:r>
          </w:p>
        </w:tc>
        <w:tc>
          <w:tcPr>
            <w:tcW w:w="258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定性型质量指标</w:t>
            </w:r>
          </w:p>
        </w:tc>
        <w:tc>
          <w:tcPr>
            <w:tcW w:w="2094" w:type="dxa"/>
            <w:vMerge w:val="continue"/>
            <w:vAlign w:val="center"/>
          </w:tcPr>
          <w:p>
            <w:pPr>
              <w:snapToGrid w:val="0"/>
              <w:spacing w:line="440" w:lineRule="exact"/>
              <w:jc w:val="center"/>
              <w:rPr>
                <w:rFonts w:hint="eastAsia" w:ascii="宋体" w:hAnsi="宋体" w:eastAsia="宋体" w:cs="Times New Roman"/>
                <w:color w:val="00000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重要质量指标严重不合格</w:t>
            </w:r>
          </w:p>
        </w:tc>
        <w:tc>
          <w:tcPr>
            <w:tcW w:w="258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重要质量指标不合格</w:t>
            </w:r>
          </w:p>
        </w:tc>
        <w:tc>
          <w:tcPr>
            <w:tcW w:w="209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严重不合格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重要质量指标不合格</w:t>
            </w:r>
          </w:p>
        </w:tc>
        <w:tc>
          <w:tcPr>
            <w:tcW w:w="2584" w:type="dxa"/>
            <w:vMerge w:val="restart"/>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较重要质量指标不合格</w:t>
            </w:r>
          </w:p>
        </w:tc>
        <w:tc>
          <w:tcPr>
            <w:tcW w:w="2094" w:type="dxa"/>
            <w:vMerge w:val="restart"/>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较重要质量指标严重不合格或不合格</w:t>
            </w:r>
          </w:p>
        </w:tc>
        <w:tc>
          <w:tcPr>
            <w:tcW w:w="2584" w:type="dxa"/>
            <w:vMerge w:val="continue"/>
            <w:vAlign w:val="center"/>
          </w:tcPr>
          <w:p>
            <w:pPr>
              <w:snapToGrid w:val="0"/>
              <w:spacing w:line="440" w:lineRule="exact"/>
              <w:jc w:val="center"/>
              <w:rPr>
                <w:rFonts w:hint="eastAsia" w:ascii="宋体" w:hAnsi="宋体" w:eastAsia="宋体" w:cs="Times New Roman"/>
                <w:color w:val="000000"/>
                <w:szCs w:val="21"/>
                <w:u w:val="none"/>
                <w:lang w:val="en-US" w:eastAsia="zh-CN"/>
              </w:rPr>
            </w:pPr>
          </w:p>
        </w:tc>
        <w:tc>
          <w:tcPr>
            <w:tcW w:w="2094" w:type="dxa"/>
            <w:vMerge w:val="continue"/>
            <w:vAlign w:val="center"/>
          </w:tcPr>
          <w:p>
            <w:pPr>
              <w:snapToGrid w:val="0"/>
              <w:spacing w:line="440" w:lineRule="exact"/>
              <w:jc w:val="center"/>
              <w:rPr>
                <w:rFonts w:hint="eastAsia" w:ascii="宋体" w:hAnsi="宋体" w:eastAsia="宋体" w:cs="Times New Roman"/>
                <w:color w:val="00000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4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次要质量指标严重不合格或不合格</w:t>
            </w:r>
          </w:p>
        </w:tc>
        <w:tc>
          <w:tcPr>
            <w:tcW w:w="2584" w:type="dxa"/>
            <w:vAlign w:val="center"/>
          </w:tcPr>
          <w:p>
            <w:pPr>
              <w:snapToGrid w:val="0"/>
              <w:spacing w:line="440" w:lineRule="exact"/>
              <w:jc w:val="center"/>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次要质量指标不合格</w:t>
            </w:r>
          </w:p>
        </w:tc>
        <w:tc>
          <w:tcPr>
            <w:tcW w:w="2094" w:type="dxa"/>
            <w:vMerge w:val="continue"/>
            <w:vAlign w:val="center"/>
          </w:tcPr>
          <w:p>
            <w:pPr>
              <w:snapToGrid w:val="0"/>
              <w:spacing w:line="440" w:lineRule="exact"/>
              <w:jc w:val="center"/>
              <w:rPr>
                <w:rFonts w:hint="eastAsia" w:ascii="宋体" w:hAnsi="宋体" w:eastAsia="宋体" w:cs="Times New Roman"/>
                <w:color w:val="00000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snapToGrid w:val="0"/>
              <w:spacing w:line="440" w:lineRule="exact"/>
              <w:jc w:val="left"/>
              <w:rPr>
                <w:rFonts w:hint="eastAsia" w:ascii="宋体" w:hAnsi="宋体" w:eastAsia="宋体" w:cs="Times New Roman"/>
                <w:color w:val="000000"/>
                <w:szCs w:val="21"/>
                <w:u w:val="none"/>
                <w:lang w:val="en-US" w:eastAsia="zh-CN"/>
              </w:rPr>
            </w:pPr>
            <w:r>
              <w:rPr>
                <w:rFonts w:hint="eastAsia" w:ascii="宋体" w:hAnsi="宋体" w:eastAsia="宋体" w:cs="Times New Roman"/>
                <w:color w:val="000000"/>
                <w:szCs w:val="21"/>
                <w:u w:val="none"/>
                <w:lang w:val="en-US" w:eastAsia="zh-CN"/>
              </w:rPr>
              <w:t>注：样本中累积出现 3 个及以上定量型的较重要质量指标严重不合格或重要质量指标不合格，宜判定样本为严重不合格。</w:t>
            </w:r>
          </w:p>
        </w:tc>
      </w:tr>
    </w:tbl>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3.2.2监督总体判定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若所检样本为严重不合格品，判定该监督总体为严重不合格；若所检样本为不合格，判定该监督总体为不合格若样本所检质量指标均合格， 判定为所检样本未发现不合格，不判定监督总本合格。</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当被检样品明示的质量要求优于本方案中检验指标依据的标准要求时，应按被检样品明示的质量要求判定。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当被检样品明示的质量要求劣于或不包含本方案中检验指标依据的强制性标准要求时，应按照强制性标准要求判定。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当被检样品明示的质量要求劣于或包含本方案中检验项目依据的推荐性标准要求时，应以被检样品明示的质量要求判定，如相应检验结果不符合相关推荐标准要求时，应在检验报告中予以说明。</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当被检样品明示的质量要求不包含本方案中检验指标依据的推荐性标准要求时，该指标不参与判定，但应在检验报告备注中进行说明。</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当被检样品未能提供有效的企业标准时，按相关国家或行业标准进行判定。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default"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按照产品质量相关法律法规的规定判定。</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1" w:firstLineChars="0"/>
        <w:textAlignment w:val="auto"/>
        <w:rPr>
          <w:rFonts w:hint="eastAsia" w:ascii="宋体" w:hAnsi="宋体"/>
          <w:color w:val="000000"/>
          <w:szCs w:val="21"/>
          <w:u w:val="single"/>
          <w:lang w:val="en-US" w:eastAsia="zh-CN"/>
        </w:rPr>
      </w:pPr>
      <w:r>
        <w:rPr>
          <w:rFonts w:hint="default"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TJ-PK748200003b2-Identity-H">
    <w:altName w:val="黑体"/>
    <w:panose1 w:val="00000000000000000000"/>
    <w:charset w:val="86"/>
    <w:family w:val="auto"/>
    <w:pitch w:val="default"/>
    <w:sig w:usb0="00000000" w:usb1="00000000" w:usb2="0000001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1OTY5ZTFhYjEwYzEzYzUzODU5MjE4MTQzNDdkNmYifQ=="/>
    <w:docVar w:name="KSO_WPS_MARK_KEY" w:val="36c76da9-c5a4-4e80-93e3-1f8d4b8ea204"/>
  </w:docVars>
  <w:rsids>
    <w:rsidRoot w:val="00F96988"/>
    <w:rsid w:val="001112DA"/>
    <w:rsid w:val="002541DC"/>
    <w:rsid w:val="002D7A7B"/>
    <w:rsid w:val="00405F95"/>
    <w:rsid w:val="004E5FB6"/>
    <w:rsid w:val="005751E7"/>
    <w:rsid w:val="006E74EF"/>
    <w:rsid w:val="007925AB"/>
    <w:rsid w:val="00F25FE5"/>
    <w:rsid w:val="00F96988"/>
    <w:rsid w:val="00FA0EAF"/>
    <w:rsid w:val="00FA6AC7"/>
    <w:rsid w:val="063B2EDB"/>
    <w:rsid w:val="0D752556"/>
    <w:rsid w:val="10F52943"/>
    <w:rsid w:val="2FC50DC0"/>
    <w:rsid w:val="3965427F"/>
    <w:rsid w:val="3EBA07F7"/>
    <w:rsid w:val="40B51AB8"/>
    <w:rsid w:val="46F43360"/>
    <w:rsid w:val="51304D4A"/>
    <w:rsid w:val="56D47CDD"/>
    <w:rsid w:val="57EB12A9"/>
    <w:rsid w:val="58511D58"/>
    <w:rsid w:val="64083D62"/>
    <w:rsid w:val="64AC26D1"/>
    <w:rsid w:val="6AD32E18"/>
    <w:rsid w:val="6B3561BF"/>
    <w:rsid w:val="6C1B3E73"/>
    <w:rsid w:val="785635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rFonts w:ascii="Times New Roman" w:hAnsi="Times New Roman" w:eastAsia="宋体" w:cs="Times New Roman"/>
      <w:sz w:val="18"/>
      <w:szCs w:val="18"/>
    </w:rPr>
  </w:style>
  <w:style w:type="character" w:customStyle="1" w:styleId="9">
    <w:name w:val="页脚 Char"/>
    <w:basedOn w:val="7"/>
    <w:link w:val="3"/>
    <w:semiHidden/>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 w:type="paragraph" w:customStyle="1" w:styleId="11">
    <w:name w:val="Table Paragraph"/>
    <w:basedOn w:val="1"/>
    <w:qFormat/>
    <w:uiPriority w:val="99"/>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1616</Words>
  <Characters>1712</Characters>
  <Lines>23</Lines>
  <Paragraphs>6</Paragraphs>
  <TotalTime>2</TotalTime>
  <ScaleCrop>false</ScaleCrop>
  <LinksUpToDate>false</LinksUpToDate>
  <CharactersWithSpaces>1792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2017-09-25T04:03:00Z</dcterms:created>
  <dc:creator>dragonsky</dc:creator>
  <cp:lastModifiedBy>李文湘</cp:lastModifiedBy>
  <dcterms:modified xsi:type="dcterms:W3CDTF">2023-08-03T09:15:01Z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81D012498C244F77946FAB35FA31A428</vt:lpwstr>
  </property>
</Properties>
</file>