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仿宋" w:hAnsi="仿宋" w:eastAsia="仿宋" w:cs="仿宋"/>
          <w:sz w:val="32"/>
          <w:szCs w:val="32"/>
        </w:rPr>
        <w:t>附件：</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政府性投资项目招标文件检查表</w:t>
      </w:r>
    </w:p>
    <w:p>
      <w:pPr>
        <w:ind w:firstLine="4800" w:firstLineChars="1500"/>
        <w:jc w:val="left"/>
        <w:rPr>
          <w:rFonts w:hint="eastAsia" w:ascii="仿宋" w:hAnsi="仿宋" w:eastAsia="仿宋" w:cs="仿宋"/>
          <w:sz w:val="32"/>
          <w:szCs w:val="32"/>
        </w:rPr>
      </w:pPr>
      <w:r>
        <w:rPr>
          <w:rFonts w:hint="eastAsia" w:ascii="仿宋" w:hAnsi="仿宋" w:eastAsia="仿宋" w:cs="仿宋"/>
          <w:sz w:val="32"/>
          <w:szCs w:val="32"/>
        </w:rPr>
        <w:t>检查时间：20</w:t>
      </w:r>
      <w:r>
        <w:rPr>
          <w:rFonts w:hint="eastAsia" w:ascii="仿宋" w:hAnsi="仿宋" w:eastAsia="仿宋" w:cs="仿宋"/>
          <w:sz w:val="32"/>
          <w:szCs w:val="32"/>
          <w:lang w:val="en-US" w:eastAsia="zh-CN"/>
        </w:rPr>
        <w:t>23</w:t>
      </w:r>
      <w:r>
        <w:rPr>
          <w:rFonts w:hint="eastAsia" w:ascii="仿宋" w:hAnsi="仿宋" w:eastAsia="仿宋" w:cs="仿宋"/>
          <w:sz w:val="32"/>
          <w:szCs w:val="32"/>
        </w:rPr>
        <w:t>年 月 日</w:t>
      </w:r>
    </w:p>
    <w:tbl>
      <w:tblPr>
        <w:tblStyle w:val="3"/>
        <w:tblW w:w="13454" w:type="dxa"/>
        <w:jc w:val="center"/>
        <w:shd w:val="clear" w:color="auto" w:fill="auto"/>
        <w:tblLayout w:type="fixed"/>
        <w:tblCellMar>
          <w:top w:w="0" w:type="dxa"/>
          <w:left w:w="0" w:type="dxa"/>
          <w:bottom w:w="0" w:type="dxa"/>
          <w:right w:w="0" w:type="dxa"/>
        </w:tblCellMar>
      </w:tblPr>
      <w:tblGrid>
        <w:gridCol w:w="2607"/>
        <w:gridCol w:w="1950"/>
        <w:gridCol w:w="2118"/>
        <w:gridCol w:w="5374"/>
        <w:gridCol w:w="1405"/>
      </w:tblGrid>
      <w:tr>
        <w:tblPrEx>
          <w:shd w:val="clear" w:color="auto" w:fill="auto"/>
          <w:tblCellMar>
            <w:top w:w="0" w:type="dxa"/>
            <w:left w:w="0" w:type="dxa"/>
            <w:bottom w:w="0" w:type="dxa"/>
            <w:right w:w="0" w:type="dxa"/>
          </w:tblCellMar>
        </w:tblPrEx>
        <w:trPr>
          <w:trHeight w:val="540" w:hRule="atLeast"/>
          <w:jc w:val="center"/>
        </w:trPr>
        <w:tc>
          <w:tcPr>
            <w:tcW w:w="2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企业名称</w:t>
            </w:r>
          </w:p>
        </w:tc>
        <w:tc>
          <w:tcPr>
            <w:tcW w:w="108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8"/>
                <w:szCs w:val="28"/>
                <w:u w:val="none"/>
              </w:rPr>
            </w:pPr>
          </w:p>
        </w:tc>
      </w:tr>
      <w:tr>
        <w:tblPrEx>
          <w:shd w:val="clear" w:color="auto" w:fill="auto"/>
          <w:tblCellMar>
            <w:top w:w="0" w:type="dxa"/>
            <w:left w:w="0" w:type="dxa"/>
            <w:bottom w:w="0" w:type="dxa"/>
            <w:right w:w="0" w:type="dxa"/>
          </w:tblCellMar>
        </w:tblPrEx>
        <w:trPr>
          <w:trHeight w:val="540" w:hRule="atLeast"/>
          <w:jc w:val="center"/>
        </w:trPr>
        <w:tc>
          <w:tcPr>
            <w:tcW w:w="2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项目名称</w:t>
            </w:r>
          </w:p>
        </w:tc>
        <w:tc>
          <w:tcPr>
            <w:tcW w:w="108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8"/>
                <w:szCs w:val="28"/>
                <w:u w:val="none"/>
              </w:rPr>
            </w:pPr>
          </w:p>
        </w:tc>
      </w:tr>
      <w:tr>
        <w:tblPrEx>
          <w:shd w:val="clear" w:color="auto" w:fill="auto"/>
          <w:tblCellMar>
            <w:top w:w="0" w:type="dxa"/>
            <w:left w:w="0" w:type="dxa"/>
            <w:bottom w:w="0" w:type="dxa"/>
            <w:right w:w="0" w:type="dxa"/>
          </w:tblCellMar>
        </w:tblPrEx>
        <w:trPr>
          <w:trHeight w:val="540" w:hRule="atLeast"/>
          <w:jc w:val="center"/>
        </w:trPr>
        <w:tc>
          <w:tcPr>
            <w:tcW w:w="2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项目阶段</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8"/>
                <w:szCs w:val="28"/>
                <w:u w:val="none"/>
              </w:rPr>
            </w:pPr>
          </w:p>
        </w:tc>
        <w:tc>
          <w:tcPr>
            <w:tcW w:w="7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工程造价</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黑体" w:hAnsi="宋体" w:eastAsia="黑体" w:cs="黑体"/>
                <w:i w:val="0"/>
                <w:color w:val="000000"/>
                <w:sz w:val="28"/>
                <w:szCs w:val="28"/>
                <w:u w:val="none"/>
              </w:rPr>
            </w:pPr>
          </w:p>
        </w:tc>
      </w:tr>
      <w:tr>
        <w:tblPrEx>
          <w:shd w:val="clear" w:color="auto" w:fill="auto"/>
          <w:tblCellMar>
            <w:top w:w="0" w:type="dxa"/>
            <w:left w:w="0" w:type="dxa"/>
            <w:bottom w:w="0" w:type="dxa"/>
            <w:right w:w="0" w:type="dxa"/>
          </w:tblCellMar>
        </w:tblPrEx>
        <w:trPr>
          <w:trHeight w:val="540" w:hRule="atLeast"/>
          <w:jc w:val="center"/>
        </w:trPr>
        <w:tc>
          <w:tcPr>
            <w:tcW w:w="120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检查内容</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检查情况</w:t>
            </w:r>
          </w:p>
        </w:tc>
      </w:tr>
      <w:tr>
        <w:tblPrEx>
          <w:tblCellMar>
            <w:top w:w="0" w:type="dxa"/>
            <w:left w:w="0" w:type="dxa"/>
            <w:bottom w:w="0" w:type="dxa"/>
            <w:right w:w="0" w:type="dxa"/>
          </w:tblCellMar>
        </w:tblPrEx>
        <w:trPr>
          <w:trHeight w:val="1053" w:hRule="atLeast"/>
          <w:jc w:val="center"/>
        </w:trPr>
        <w:tc>
          <w:tcPr>
            <w:tcW w:w="120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cs="黑体"/>
                <w:i w:val="0"/>
                <w:color w:val="000000"/>
                <w:sz w:val="28"/>
                <w:szCs w:val="28"/>
                <w:u w:val="none"/>
              </w:rPr>
            </w:pPr>
            <w:r>
              <w:rPr>
                <w:rFonts w:hint="eastAsia" w:eastAsia="仿宋_GB2312"/>
                <w:sz w:val="32"/>
                <w:szCs w:val="32"/>
                <w:lang w:val="en-US" w:eastAsia="zh-CN"/>
              </w:rPr>
              <w:t>1.</w:t>
            </w:r>
            <w:r>
              <w:rPr>
                <w:rFonts w:hint="eastAsia" w:eastAsia="仿宋_GB2312"/>
                <w:sz w:val="32"/>
                <w:szCs w:val="32"/>
              </w:rPr>
              <w:t>违法设置的限制、排斥不同所有制企业参与招投标的规定，以及虽然没有直接限制、排斥，但实质上起到变相限制、排斥效果的规定。</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right="-288" w:rightChars="-137" w:firstLine="0" w:firstLineChars="0"/>
              <w:jc w:val="center"/>
              <w:textAlignment w:val="center"/>
              <w:outlineLvl w:val="9"/>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sym w:font="Wingdings 2" w:char="00A3"/>
            </w:r>
            <w:r>
              <w:rPr>
                <w:rFonts w:hint="eastAsia" w:ascii="黑体" w:hAnsi="宋体" w:eastAsia="黑体" w:cs="黑体"/>
                <w:i w:val="0"/>
                <w:color w:val="000000"/>
                <w:kern w:val="0"/>
                <w:sz w:val="28"/>
                <w:szCs w:val="28"/>
                <w:u w:val="none"/>
                <w:lang w:val="en-US" w:eastAsia="zh-CN" w:bidi="ar"/>
              </w:rPr>
              <w:t xml:space="preserve">是    </w:t>
            </w:r>
          </w:p>
          <w:p>
            <w:pPr>
              <w:keepNext w:val="0"/>
              <w:keepLines w:val="0"/>
              <w:pageBreakBefore w:val="0"/>
              <w:widowControl/>
              <w:suppressLineNumbers w:val="0"/>
              <w:kinsoku/>
              <w:wordWrap/>
              <w:overflowPunct/>
              <w:topLinePunct w:val="0"/>
              <w:autoSpaceDE/>
              <w:autoSpaceDN/>
              <w:bidi w:val="0"/>
              <w:adjustRightInd/>
              <w:snapToGrid/>
              <w:spacing w:line="560" w:lineRule="exact"/>
              <w:ind w:left="-420" w:leftChars="-200" w:right="-288" w:rightChars="-137" w:firstLine="0" w:firstLineChars="0"/>
              <w:jc w:val="center"/>
              <w:textAlignment w:val="center"/>
              <w:outlineLvl w:val="9"/>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1029" w:hRule="atLeast"/>
          <w:jc w:val="center"/>
        </w:trPr>
        <w:tc>
          <w:tcPr>
            <w:tcW w:w="120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cs="黑体"/>
                <w:i w:val="0"/>
                <w:color w:val="000000"/>
                <w:sz w:val="28"/>
                <w:szCs w:val="28"/>
                <w:u w:val="none"/>
              </w:rPr>
            </w:pPr>
            <w:r>
              <w:rPr>
                <w:rFonts w:hint="eastAsia" w:eastAsia="仿宋_GB2312"/>
                <w:sz w:val="32"/>
                <w:szCs w:val="32"/>
              </w:rPr>
              <w:t>2.违法限定潜在投标人或者投标人的所有制形式或者组织形式，对不同所有制投标人采取不同的资格审查标准。</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sym w:font="Wingdings 2" w:char="00A3"/>
            </w:r>
            <w:r>
              <w:rPr>
                <w:rFonts w:hint="eastAsia" w:ascii="黑体" w:hAnsi="宋体" w:eastAsia="黑体" w:cs="黑体"/>
                <w:i w:val="0"/>
                <w:color w:val="000000"/>
                <w:kern w:val="0"/>
                <w:sz w:val="28"/>
                <w:szCs w:val="28"/>
                <w:u w:val="none"/>
                <w:lang w:val="en-US" w:eastAsia="zh-CN" w:bidi="ar"/>
              </w:rPr>
              <w:t xml:space="preserve">是              </w:t>
            </w:r>
            <w:r>
              <w:rPr>
                <w:rFonts w:hint="eastAsia" w:ascii="黑体" w:hAnsi="宋体" w:eastAsia="黑体" w:cs="黑体"/>
                <w:i w:val="0"/>
                <w:color w:val="000000"/>
                <w:kern w:val="0"/>
                <w:sz w:val="28"/>
                <w:szCs w:val="28"/>
                <w:u w:val="none"/>
                <w:lang w:val="en-US" w:eastAsia="zh-CN" w:bidi="ar"/>
              </w:rPr>
              <w:sym w:font="Wingdings 2" w:char="00A3"/>
            </w:r>
            <w:r>
              <w:rPr>
                <w:rFonts w:hint="eastAsia" w:ascii="黑体" w:hAnsi="宋体" w:eastAsia="黑体" w:cs="黑体"/>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540" w:hRule="atLeast"/>
          <w:jc w:val="center"/>
        </w:trPr>
        <w:tc>
          <w:tcPr>
            <w:tcW w:w="120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cs="黑体"/>
                <w:i w:val="0"/>
                <w:color w:val="000000"/>
                <w:sz w:val="28"/>
                <w:szCs w:val="28"/>
                <w:u w:val="none"/>
              </w:rPr>
            </w:pPr>
            <w:r>
              <w:rPr>
                <w:rFonts w:hint="eastAsia" w:eastAsia="仿宋_GB2312"/>
                <w:sz w:val="32"/>
                <w:szCs w:val="32"/>
              </w:rPr>
              <w:t>3.设定企业股东背景、年平均承接项目数量或者金额、从业人员、纳税额、营业场所面积等规模条件；设置超过项目实际需要的企业注册资本、资产总额、净资产规模、营业收入、利润、授信额度等财务指标。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sym w:font="Wingdings 2" w:char="00A3"/>
            </w:r>
            <w:r>
              <w:rPr>
                <w:rFonts w:hint="eastAsia" w:ascii="黑体" w:hAnsi="宋体" w:eastAsia="黑体" w:cs="黑体"/>
                <w:i w:val="0"/>
                <w:color w:val="000000"/>
                <w:kern w:val="0"/>
                <w:sz w:val="28"/>
                <w:szCs w:val="28"/>
                <w:u w:val="none"/>
                <w:lang w:val="en-US" w:eastAsia="zh-CN" w:bidi="ar"/>
              </w:rPr>
              <w:t>是              □否</w:t>
            </w:r>
          </w:p>
        </w:tc>
      </w:tr>
      <w:tr>
        <w:tblPrEx>
          <w:tblCellMar>
            <w:top w:w="0" w:type="dxa"/>
            <w:left w:w="0" w:type="dxa"/>
            <w:bottom w:w="0" w:type="dxa"/>
            <w:right w:w="0" w:type="dxa"/>
          </w:tblCellMar>
        </w:tblPrEx>
        <w:trPr>
          <w:trHeight w:val="992" w:hRule="atLeast"/>
          <w:jc w:val="center"/>
        </w:trPr>
        <w:tc>
          <w:tcPr>
            <w:tcW w:w="120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ind w:firstLine="640" w:firstLineChars="200"/>
              <w:rPr>
                <w:rFonts w:hint="eastAsia" w:ascii="黑体" w:hAnsi="宋体" w:eastAsia="黑体" w:cs="黑体"/>
                <w:i w:val="0"/>
                <w:color w:val="000000"/>
                <w:sz w:val="28"/>
                <w:szCs w:val="28"/>
                <w:u w:val="none"/>
              </w:rPr>
            </w:pPr>
            <w:r>
              <w:rPr>
                <w:rFonts w:hint="eastAsia" w:eastAsia="仿宋_GB2312"/>
                <w:sz w:val="32"/>
                <w:szCs w:val="32"/>
              </w:rPr>
              <w:t>4.设定明显超出招标项目具体特点和实际需要的过高的资质资格、技术、商务条件或者业绩、奖项要求。</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□是              □否</w:t>
            </w:r>
          </w:p>
        </w:tc>
      </w:tr>
      <w:tr>
        <w:tblPrEx>
          <w:tblCellMar>
            <w:top w:w="0" w:type="dxa"/>
            <w:left w:w="0" w:type="dxa"/>
            <w:bottom w:w="0" w:type="dxa"/>
            <w:right w:w="0" w:type="dxa"/>
          </w:tblCellMar>
        </w:tblPrEx>
        <w:trPr>
          <w:trHeight w:val="540" w:hRule="atLeast"/>
          <w:jc w:val="center"/>
        </w:trPr>
        <w:tc>
          <w:tcPr>
            <w:tcW w:w="120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640" w:firstLineChars="200"/>
              <w:jc w:val="both"/>
              <w:textAlignment w:val="center"/>
              <w:outlineLvl w:val="9"/>
              <w:rPr>
                <w:rFonts w:hint="eastAsia" w:ascii="黑体" w:hAnsi="宋体" w:eastAsia="黑体" w:cs="黑体"/>
                <w:i w:val="0"/>
                <w:color w:val="000000"/>
                <w:sz w:val="28"/>
                <w:szCs w:val="28"/>
                <w:u w:val="none"/>
              </w:rPr>
            </w:pPr>
            <w:r>
              <w:rPr>
                <w:rFonts w:hint="eastAsia" w:eastAsia="仿宋_GB2312"/>
                <w:sz w:val="32"/>
                <w:szCs w:val="32"/>
              </w:rPr>
              <w:t>5.将国家已经明令取消的</w:t>
            </w:r>
            <w:r>
              <w:fldChar w:fldCharType="begin"/>
            </w:r>
            <w:r>
              <w:instrText xml:space="preserve"> HYPERLINK "http://www.cngjg.com/" </w:instrText>
            </w:r>
            <w:r>
              <w:fldChar w:fldCharType="separate"/>
            </w:r>
            <w:r>
              <w:rPr>
                <w:rFonts w:hint="eastAsia" w:eastAsia="仿宋_GB2312"/>
                <w:sz w:val="32"/>
                <w:szCs w:val="32"/>
              </w:rPr>
              <w:t>资质</w:t>
            </w:r>
            <w:r>
              <w:rPr>
                <w:rFonts w:hint="eastAsia" w:eastAsia="仿宋_GB2312"/>
                <w:sz w:val="32"/>
                <w:szCs w:val="32"/>
              </w:rPr>
              <w:fldChar w:fldCharType="end"/>
            </w:r>
            <w:r>
              <w:rPr>
                <w:rFonts w:hint="eastAsia" w:eastAsia="仿宋_GB2312"/>
                <w:sz w:val="32"/>
                <w:szCs w:val="32"/>
              </w:rPr>
              <w:t>资格作为投标条件、加分条件、中标条件；在国家已经明令取消资质资格的领域，将其他资质资格作为投标条件、加分条件、中标条件。</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□是              □否</w:t>
            </w:r>
          </w:p>
        </w:tc>
      </w:tr>
      <w:tr>
        <w:tblPrEx>
          <w:tblCellMar>
            <w:top w:w="0" w:type="dxa"/>
            <w:left w:w="0" w:type="dxa"/>
            <w:bottom w:w="0" w:type="dxa"/>
            <w:right w:w="0" w:type="dxa"/>
          </w:tblCellMar>
        </w:tblPrEx>
        <w:trPr>
          <w:trHeight w:val="540" w:hRule="atLeast"/>
          <w:jc w:val="center"/>
        </w:trPr>
        <w:tc>
          <w:tcPr>
            <w:tcW w:w="120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640" w:firstLineChars="200"/>
              <w:jc w:val="both"/>
              <w:textAlignment w:val="center"/>
              <w:outlineLvl w:val="9"/>
              <w:rPr>
                <w:rFonts w:hint="eastAsia" w:ascii="黑体" w:hAnsi="宋体" w:eastAsia="黑体" w:cs="黑体"/>
                <w:i w:val="0"/>
                <w:color w:val="000000"/>
                <w:sz w:val="28"/>
                <w:szCs w:val="28"/>
                <w:u w:val="none"/>
              </w:rPr>
            </w:pPr>
            <w:r>
              <w:rPr>
                <w:rFonts w:hint="eastAsia" w:eastAsia="仿宋_GB2312"/>
                <w:sz w:val="32"/>
                <w:szCs w:val="32"/>
              </w:rPr>
              <w:t>6.将特定行政区域、特定行业的业绩、奖项作为投标条件、加分条件、中标条件；将政府部门、行业协会商会或者其他机构对投标人作出的荣誉奖励和慈善公益证明等作为投标条件、中标条件。</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□是              □否</w:t>
            </w:r>
          </w:p>
        </w:tc>
      </w:tr>
      <w:tr>
        <w:tblPrEx>
          <w:tblCellMar>
            <w:top w:w="0" w:type="dxa"/>
            <w:left w:w="0" w:type="dxa"/>
            <w:bottom w:w="0" w:type="dxa"/>
            <w:right w:w="0" w:type="dxa"/>
          </w:tblCellMar>
        </w:tblPrEx>
        <w:trPr>
          <w:trHeight w:val="540" w:hRule="atLeast"/>
          <w:jc w:val="center"/>
        </w:trPr>
        <w:tc>
          <w:tcPr>
            <w:tcW w:w="120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ind w:firstLine="640" w:firstLineChars="200"/>
              <w:rPr>
                <w:rFonts w:hint="eastAsia" w:ascii="黑体" w:hAnsi="宋体" w:eastAsia="黑体" w:cs="黑体"/>
                <w:i w:val="0"/>
                <w:color w:val="000000"/>
                <w:sz w:val="28"/>
                <w:szCs w:val="28"/>
                <w:u w:val="none"/>
              </w:rPr>
            </w:pPr>
            <w:r>
              <w:rPr>
                <w:rFonts w:hint="eastAsia" w:eastAsia="仿宋_GB2312"/>
                <w:sz w:val="32"/>
                <w:szCs w:val="32"/>
              </w:rPr>
              <w:t>7.限定或者指定特定的专利、商标、品牌、原产地、供应商或者检验检测认证机构（法律法规有明确要求的除外）。</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□是              □否</w:t>
            </w:r>
          </w:p>
        </w:tc>
      </w:tr>
      <w:tr>
        <w:tblPrEx>
          <w:tblCellMar>
            <w:top w:w="0" w:type="dxa"/>
            <w:left w:w="0" w:type="dxa"/>
            <w:bottom w:w="0" w:type="dxa"/>
            <w:right w:w="0" w:type="dxa"/>
          </w:tblCellMar>
        </w:tblPrEx>
        <w:trPr>
          <w:trHeight w:val="1040" w:hRule="atLeast"/>
          <w:jc w:val="center"/>
        </w:trPr>
        <w:tc>
          <w:tcPr>
            <w:tcW w:w="120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ind w:firstLine="640" w:firstLineChars="200"/>
              <w:rPr>
                <w:rFonts w:hint="eastAsia" w:ascii="黑体" w:hAnsi="宋体" w:eastAsia="黑体" w:cs="黑体"/>
                <w:i w:val="0"/>
                <w:color w:val="000000"/>
                <w:sz w:val="28"/>
                <w:szCs w:val="28"/>
                <w:u w:val="none"/>
              </w:rPr>
            </w:pPr>
            <w:r>
              <w:rPr>
                <w:rFonts w:hint="eastAsia" w:eastAsia="仿宋_GB2312"/>
                <w:sz w:val="32"/>
                <w:szCs w:val="32"/>
              </w:rPr>
              <w:t>8.要求投标人在本地注册设立子公司、分公司、分支机构，在本地拥有一定办公面积，在本地缴纳社会保险等。</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□是              □否</w:t>
            </w:r>
          </w:p>
        </w:tc>
      </w:tr>
      <w:tr>
        <w:tblPrEx>
          <w:tblCellMar>
            <w:top w:w="0" w:type="dxa"/>
            <w:left w:w="0" w:type="dxa"/>
            <w:bottom w:w="0" w:type="dxa"/>
            <w:right w:w="0" w:type="dxa"/>
          </w:tblCellMar>
        </w:tblPrEx>
        <w:trPr>
          <w:trHeight w:val="908" w:hRule="atLeast"/>
          <w:jc w:val="center"/>
        </w:trPr>
        <w:tc>
          <w:tcPr>
            <w:tcW w:w="120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640" w:firstLineChars="200"/>
              <w:jc w:val="both"/>
              <w:textAlignment w:val="center"/>
              <w:outlineLvl w:val="9"/>
              <w:rPr>
                <w:rFonts w:hint="default" w:ascii="黑体" w:hAnsi="宋体" w:eastAsia="黑体" w:cs="黑体"/>
                <w:i w:val="0"/>
                <w:color w:val="000000"/>
                <w:kern w:val="0"/>
                <w:sz w:val="28"/>
                <w:szCs w:val="28"/>
                <w:u w:val="none"/>
                <w:lang w:val="en-US" w:eastAsia="zh-CN" w:bidi="ar"/>
              </w:rPr>
            </w:pPr>
            <w:r>
              <w:rPr>
                <w:rFonts w:hint="eastAsia" w:eastAsia="仿宋_GB2312"/>
                <w:sz w:val="32"/>
                <w:szCs w:val="32"/>
              </w:rPr>
              <w:t>9.没有法律法规依据设定投标报名、招标文件审查等事前审批或者审核环节</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□是              □否</w:t>
            </w:r>
          </w:p>
        </w:tc>
      </w:tr>
      <w:tr>
        <w:tblPrEx>
          <w:tblCellMar>
            <w:top w:w="0" w:type="dxa"/>
            <w:left w:w="0" w:type="dxa"/>
            <w:bottom w:w="0" w:type="dxa"/>
            <w:right w:w="0" w:type="dxa"/>
          </w:tblCellMar>
        </w:tblPrEx>
        <w:trPr>
          <w:trHeight w:val="897" w:hRule="atLeast"/>
          <w:jc w:val="center"/>
        </w:trPr>
        <w:tc>
          <w:tcPr>
            <w:tcW w:w="120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ind w:firstLine="640" w:firstLineChars="200"/>
              <w:rPr>
                <w:rFonts w:hint="default" w:ascii="黑体" w:hAnsi="宋体" w:eastAsia="黑体" w:cs="黑体"/>
                <w:i w:val="0"/>
                <w:color w:val="000000"/>
                <w:kern w:val="0"/>
                <w:sz w:val="28"/>
                <w:szCs w:val="28"/>
                <w:u w:val="none"/>
                <w:lang w:val="en-US" w:eastAsia="zh-CN" w:bidi="ar"/>
              </w:rPr>
            </w:pPr>
            <w:r>
              <w:rPr>
                <w:rFonts w:hint="eastAsia" w:eastAsia="仿宋_GB2312"/>
                <w:sz w:val="32"/>
                <w:szCs w:val="32"/>
              </w:rPr>
              <w:t>1</w:t>
            </w:r>
            <w:r>
              <w:rPr>
                <w:rFonts w:hint="eastAsia" w:eastAsia="仿宋_GB2312"/>
                <w:sz w:val="32"/>
                <w:szCs w:val="32"/>
                <w:lang w:val="en-US" w:eastAsia="zh-CN"/>
              </w:rPr>
              <w:t>0</w:t>
            </w:r>
            <w:r>
              <w:rPr>
                <w:rFonts w:hint="eastAsia" w:eastAsia="仿宋_GB2312"/>
                <w:sz w:val="32"/>
                <w:szCs w:val="32"/>
              </w:rPr>
              <w:t>.在开标环节要求</w:t>
            </w:r>
            <w:r>
              <w:fldChar w:fldCharType="begin"/>
            </w:r>
            <w:r>
              <w:instrText xml:space="preserve"> HYPERLINK "http://www.cngjg.com/" </w:instrText>
            </w:r>
            <w:r>
              <w:fldChar w:fldCharType="separate"/>
            </w:r>
            <w:r>
              <w:rPr>
                <w:rFonts w:hint="eastAsia" w:eastAsia="仿宋_GB2312"/>
                <w:sz w:val="32"/>
                <w:szCs w:val="32"/>
              </w:rPr>
              <w:t>投标人</w:t>
            </w:r>
            <w:r>
              <w:rPr>
                <w:rFonts w:hint="eastAsia" w:eastAsia="仿宋_GB2312"/>
                <w:sz w:val="32"/>
                <w:szCs w:val="32"/>
              </w:rPr>
              <w:fldChar w:fldCharType="end"/>
            </w:r>
            <w:r>
              <w:rPr>
                <w:rFonts w:hint="eastAsia" w:eastAsia="仿宋_GB2312"/>
                <w:sz w:val="32"/>
                <w:szCs w:val="32"/>
              </w:rPr>
              <w:t>的法定代表人必须到场，不接受经授权委托的投标人代表到场。</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□是              □否</w:t>
            </w:r>
          </w:p>
        </w:tc>
      </w:tr>
      <w:tr>
        <w:tblPrEx>
          <w:tblCellMar>
            <w:top w:w="0" w:type="dxa"/>
            <w:left w:w="0" w:type="dxa"/>
            <w:bottom w:w="0" w:type="dxa"/>
            <w:right w:w="0" w:type="dxa"/>
          </w:tblCellMar>
        </w:tblPrEx>
        <w:trPr>
          <w:trHeight w:val="1017" w:hRule="atLeast"/>
          <w:jc w:val="center"/>
        </w:trPr>
        <w:tc>
          <w:tcPr>
            <w:tcW w:w="120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11.行政监督部门加强对招投标领域保证金收取和退还的监管，开展对项目台账查验工作。</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□是              □否</w:t>
            </w:r>
          </w:p>
        </w:tc>
      </w:tr>
      <w:tr>
        <w:tblPrEx>
          <w:tblCellMar>
            <w:top w:w="0" w:type="dxa"/>
            <w:left w:w="0" w:type="dxa"/>
            <w:bottom w:w="0" w:type="dxa"/>
            <w:right w:w="0" w:type="dxa"/>
          </w:tblCellMar>
        </w:tblPrEx>
        <w:trPr>
          <w:trHeight w:val="1266" w:hRule="atLeast"/>
          <w:jc w:val="center"/>
        </w:trPr>
        <w:tc>
          <w:tcPr>
            <w:tcW w:w="2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综合评述</w:t>
            </w:r>
          </w:p>
        </w:tc>
        <w:tc>
          <w:tcPr>
            <w:tcW w:w="108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8"/>
                <w:szCs w:val="28"/>
                <w:u w:val="none"/>
              </w:rPr>
            </w:pPr>
          </w:p>
        </w:tc>
      </w:tr>
      <w:tr>
        <w:tblPrEx>
          <w:shd w:val="clear" w:color="auto" w:fill="auto"/>
          <w:tblCellMar>
            <w:top w:w="0" w:type="dxa"/>
            <w:left w:w="0" w:type="dxa"/>
            <w:bottom w:w="0" w:type="dxa"/>
            <w:right w:w="0" w:type="dxa"/>
          </w:tblCellMar>
        </w:tblPrEx>
        <w:trPr>
          <w:trHeight w:val="1150" w:hRule="atLeast"/>
          <w:jc w:val="center"/>
        </w:trPr>
        <w:tc>
          <w:tcPr>
            <w:tcW w:w="667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黑体" w:hAnsi="宋体" w:eastAsia="黑体" w:cs="黑体"/>
                <w:i w:val="0"/>
                <w:color w:val="000000"/>
                <w:sz w:val="28"/>
                <w:szCs w:val="28"/>
                <w:u w:val="none"/>
                <w:lang w:eastAsia="zh-CN"/>
              </w:rPr>
            </w:pPr>
            <w:r>
              <w:rPr>
                <w:rFonts w:hint="eastAsia" w:ascii="黑体" w:hAnsi="宋体" w:eastAsia="黑体" w:cs="黑体"/>
                <w:i w:val="0"/>
                <w:color w:val="000000"/>
                <w:sz w:val="28"/>
                <w:szCs w:val="28"/>
                <w:u w:val="none"/>
                <w:lang w:eastAsia="zh-CN"/>
              </w:rPr>
              <w:t>检查组成员签名</w:t>
            </w:r>
          </w:p>
        </w:tc>
        <w:tc>
          <w:tcPr>
            <w:tcW w:w="6779"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黑体" w:hAnsi="宋体" w:eastAsia="黑体" w:cs="黑体"/>
                <w:i w:val="0"/>
                <w:color w:val="000000"/>
                <w:sz w:val="28"/>
                <w:szCs w:val="28"/>
                <w:u w:val="none"/>
              </w:rPr>
            </w:pPr>
          </w:p>
        </w:tc>
      </w:tr>
    </w:tbl>
    <w:p>
      <w:pPr>
        <w:rPr>
          <w:rFonts w:hint="eastAsia" w:ascii="仿宋_GB2312" w:hAnsi="仿宋_GB2312"/>
          <w:sz w:val="24"/>
          <w:szCs w:val="24"/>
        </w:rPr>
      </w:pPr>
      <w:bookmarkStart w:id="0" w:name="_GoBack"/>
      <w:bookmarkEnd w:id="0"/>
    </w:p>
    <w:sectPr>
      <w:pgSz w:w="16838" w:h="11906" w:orient="landscape"/>
      <w:pgMar w:top="890" w:right="1440" w:bottom="890"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99"/>
    <w:rsid w:val="003B1799"/>
    <w:rsid w:val="00F00971"/>
    <w:rsid w:val="02AA3C47"/>
    <w:rsid w:val="05C9063B"/>
    <w:rsid w:val="0A4E0DE7"/>
    <w:rsid w:val="0DF90308"/>
    <w:rsid w:val="113651A8"/>
    <w:rsid w:val="14017FBD"/>
    <w:rsid w:val="253954F2"/>
    <w:rsid w:val="2D236298"/>
    <w:rsid w:val="2D5A2562"/>
    <w:rsid w:val="32437185"/>
    <w:rsid w:val="39A065F7"/>
    <w:rsid w:val="3D252176"/>
    <w:rsid w:val="3D855C25"/>
    <w:rsid w:val="3E0C0B8E"/>
    <w:rsid w:val="4226784F"/>
    <w:rsid w:val="46572DB0"/>
    <w:rsid w:val="48174CEE"/>
    <w:rsid w:val="4DD95A8B"/>
    <w:rsid w:val="509542EA"/>
    <w:rsid w:val="523C5A5B"/>
    <w:rsid w:val="52461CE2"/>
    <w:rsid w:val="534A05BB"/>
    <w:rsid w:val="5C4A5ED4"/>
    <w:rsid w:val="60A30277"/>
    <w:rsid w:val="639F2026"/>
    <w:rsid w:val="64473058"/>
    <w:rsid w:val="65AC0576"/>
    <w:rsid w:val="6D114F31"/>
    <w:rsid w:val="6FFD4AF2"/>
    <w:rsid w:val="7031125D"/>
    <w:rsid w:val="73751633"/>
    <w:rsid w:val="73871FC0"/>
    <w:rsid w:val="74576A39"/>
    <w:rsid w:val="783448A9"/>
    <w:rsid w:val="7B094526"/>
    <w:rsid w:val="7DEB3A0D"/>
    <w:rsid w:val="7E1E33DA"/>
    <w:rsid w:val="7EFF7D57"/>
    <w:rsid w:val="7FE25639"/>
    <w:rsid w:val="AB9FA141"/>
    <w:rsid w:val="BF3E73CB"/>
    <w:rsid w:val="FB6FF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lang w:bidi="ar-SA"/>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137</Words>
  <Characters>784</Characters>
  <Lines>6</Lines>
  <Paragraphs>1</Paragraphs>
  <TotalTime>9</TotalTime>
  <ScaleCrop>false</ScaleCrop>
  <LinksUpToDate>false</LinksUpToDate>
  <CharactersWithSpaces>920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2021-07-22T03:45:00Z</dcterms:created>
  <dc:creator>陈海民</dc:creator>
  <cp:lastModifiedBy>pengyushen</cp:lastModifiedBy>
  <cp:lastPrinted>2023-05-12T14:20:22Z</cp:lastPrinted>
  <dcterms:modified xsi:type="dcterms:W3CDTF">2023-05-12T14:22:26Z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1423F70AAAAC4D72950A766A9FF33ADA</vt:lpwstr>
  </property>
</Properties>
</file>