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both"/>
        <w:rPr>
          <w:rFonts w:hint="eastAsia" w:ascii="仿宋" w:hAnsi="仿宋" w:eastAsia="仿宋" w:cs="仿宋"/>
          <w:b/>
          <w:bCs/>
          <w:sz w:val="32"/>
          <w:szCs w:val="32"/>
          <w:lang w:eastAsia="zh-CN"/>
        </w:rPr>
      </w:pPr>
    </w:p>
    <w:p>
      <w:pPr>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1</w:t>
      </w:r>
    </w:p>
    <w:p>
      <w:pPr>
        <w:ind w:firstLine="883"/>
        <w:jc w:val="center"/>
        <w:rPr>
          <w:b/>
          <w:bCs/>
          <w:sz w:val="44"/>
          <w:szCs w:val="36"/>
        </w:rPr>
      </w:pPr>
      <w:r>
        <w:rPr>
          <w:rFonts w:hint="eastAsia"/>
          <w:b/>
          <w:bCs/>
          <w:sz w:val="44"/>
          <w:szCs w:val="36"/>
          <w:lang w:eastAsia="zh-CN"/>
        </w:rPr>
        <w:t>汕尾</w:t>
      </w:r>
      <w:r>
        <w:rPr>
          <w:rFonts w:hint="eastAsia"/>
          <w:b/>
          <w:bCs/>
          <w:sz w:val="44"/>
          <w:szCs w:val="36"/>
        </w:rPr>
        <w:t>市生态环境局2</w:t>
      </w:r>
      <w:r>
        <w:rPr>
          <w:b/>
          <w:bCs/>
          <w:sz w:val="44"/>
          <w:szCs w:val="36"/>
        </w:rPr>
        <w:t>02</w:t>
      </w:r>
      <w:r>
        <w:rPr>
          <w:rFonts w:hint="eastAsia"/>
          <w:b/>
          <w:bCs/>
          <w:sz w:val="44"/>
          <w:szCs w:val="36"/>
          <w:lang w:val="en-US" w:eastAsia="zh-CN"/>
        </w:rPr>
        <w:t>3</w:t>
      </w:r>
      <w:r>
        <w:rPr>
          <w:rFonts w:hint="eastAsia"/>
          <w:b/>
          <w:bCs/>
          <w:sz w:val="44"/>
          <w:szCs w:val="36"/>
        </w:rPr>
        <w:t>年度</w:t>
      </w:r>
      <w:r>
        <w:rPr>
          <w:rFonts w:hint="eastAsia"/>
          <w:b/>
          <w:bCs/>
          <w:sz w:val="44"/>
          <w:szCs w:val="36"/>
          <w:lang w:eastAsia="zh-CN"/>
        </w:rPr>
        <w:t>“</w:t>
      </w:r>
      <w:r>
        <w:rPr>
          <w:rFonts w:hint="eastAsia"/>
          <w:b/>
          <w:bCs/>
          <w:sz w:val="44"/>
          <w:szCs w:val="36"/>
        </w:rPr>
        <w:t>双随机</w:t>
      </w:r>
      <w:r>
        <w:rPr>
          <w:rFonts w:hint="eastAsia"/>
          <w:b/>
          <w:bCs/>
          <w:sz w:val="44"/>
          <w:szCs w:val="36"/>
          <w:lang w:eastAsia="zh-CN"/>
        </w:rPr>
        <w:t>、一公开”</w:t>
      </w:r>
      <w:r>
        <w:rPr>
          <w:rFonts w:hint="eastAsia"/>
          <w:b/>
          <w:bCs/>
          <w:sz w:val="44"/>
          <w:szCs w:val="36"/>
        </w:rPr>
        <w:t>抽查</w:t>
      </w:r>
      <w:r>
        <w:rPr>
          <w:rFonts w:hint="eastAsia"/>
          <w:b/>
          <w:bCs/>
          <w:sz w:val="44"/>
          <w:szCs w:val="36"/>
          <w:lang w:eastAsia="zh-CN"/>
        </w:rPr>
        <w:t>工作</w:t>
      </w:r>
      <w:r>
        <w:rPr>
          <w:rFonts w:hint="eastAsia"/>
          <w:b/>
          <w:bCs/>
          <w:sz w:val="44"/>
          <w:szCs w:val="36"/>
        </w:rPr>
        <w:t>计划</w:t>
      </w:r>
    </w:p>
    <w:p>
      <w:pPr>
        <w:ind w:firstLine="0" w:firstLineChars="0"/>
        <w:jc w:val="center"/>
        <w:rPr>
          <w:b/>
          <w:bCs/>
          <w:sz w:val="40"/>
          <w:szCs w:val="32"/>
        </w:rPr>
      </w:pPr>
    </w:p>
    <w:p>
      <w:pPr>
        <w:ind w:firstLine="0" w:firstLineChars="0"/>
        <w:rPr>
          <w:sz w:val="28"/>
          <w:szCs w:val="22"/>
        </w:rPr>
      </w:pPr>
      <w:r>
        <w:rPr>
          <w:rFonts w:hint="eastAsia"/>
          <w:sz w:val="28"/>
          <w:szCs w:val="22"/>
        </w:rPr>
        <w:t>（原则上作为固定任务定期开展的随机抽查都应当列入）</w:t>
      </w:r>
    </w:p>
    <w:tbl>
      <w:tblPr>
        <w:tblStyle w:val="7"/>
        <w:tblW w:w="15150"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17"/>
        <w:gridCol w:w="2100"/>
        <w:gridCol w:w="2133"/>
        <w:gridCol w:w="1200"/>
        <w:gridCol w:w="4759"/>
        <w:gridCol w:w="1258"/>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7" w:type="dxa"/>
          </w:tcPr>
          <w:p>
            <w:pPr>
              <w:ind w:firstLine="0" w:firstLineChars="0"/>
              <w:jc w:val="center"/>
              <w:rPr>
                <w:rFonts w:ascii="楷体" w:hAnsi="楷体" w:eastAsia="楷体"/>
                <w:b/>
                <w:bCs/>
                <w:sz w:val="24"/>
              </w:rPr>
            </w:pPr>
            <w:r>
              <w:rPr>
                <w:rFonts w:hint="eastAsia" w:ascii="楷体" w:hAnsi="楷体" w:eastAsia="楷体"/>
                <w:b/>
                <w:bCs/>
                <w:sz w:val="24"/>
              </w:rPr>
              <w:t>编号</w:t>
            </w:r>
          </w:p>
        </w:tc>
        <w:tc>
          <w:tcPr>
            <w:tcW w:w="1417" w:type="dxa"/>
          </w:tcPr>
          <w:p>
            <w:pPr>
              <w:ind w:firstLine="0" w:firstLineChars="0"/>
              <w:jc w:val="center"/>
              <w:rPr>
                <w:rFonts w:hint="eastAsia" w:ascii="楷体" w:hAnsi="楷体" w:eastAsia="楷体"/>
                <w:b/>
                <w:bCs/>
                <w:sz w:val="24"/>
              </w:rPr>
            </w:pPr>
            <w:r>
              <w:rPr>
                <w:rFonts w:hint="eastAsia" w:ascii="楷体" w:hAnsi="楷体" w:eastAsia="楷体"/>
                <w:b/>
                <w:bCs/>
                <w:sz w:val="24"/>
              </w:rPr>
              <w:t>检查任务</w:t>
            </w:r>
          </w:p>
        </w:tc>
        <w:tc>
          <w:tcPr>
            <w:tcW w:w="2100" w:type="dxa"/>
          </w:tcPr>
          <w:p>
            <w:pPr>
              <w:ind w:firstLine="0" w:firstLineChars="0"/>
              <w:jc w:val="center"/>
              <w:rPr>
                <w:rFonts w:ascii="楷体" w:hAnsi="楷体" w:eastAsia="楷体"/>
                <w:b/>
                <w:bCs/>
                <w:sz w:val="24"/>
              </w:rPr>
            </w:pPr>
            <w:r>
              <w:rPr>
                <w:rFonts w:hint="eastAsia" w:ascii="楷体" w:hAnsi="楷体" w:eastAsia="楷体"/>
                <w:b/>
                <w:bCs/>
                <w:sz w:val="24"/>
              </w:rPr>
              <w:t>检查事项</w:t>
            </w:r>
          </w:p>
        </w:tc>
        <w:tc>
          <w:tcPr>
            <w:tcW w:w="2133" w:type="dxa"/>
          </w:tcPr>
          <w:p>
            <w:pPr>
              <w:ind w:firstLine="0" w:firstLineChars="0"/>
              <w:jc w:val="center"/>
              <w:rPr>
                <w:rFonts w:ascii="楷体" w:hAnsi="楷体" w:eastAsia="楷体"/>
                <w:b/>
                <w:bCs/>
                <w:sz w:val="24"/>
              </w:rPr>
            </w:pPr>
            <w:r>
              <w:rPr>
                <w:rFonts w:hint="eastAsia" w:ascii="楷体" w:hAnsi="楷体" w:eastAsia="楷体"/>
                <w:b/>
                <w:bCs/>
                <w:sz w:val="24"/>
              </w:rPr>
              <w:t>检查对象</w:t>
            </w:r>
          </w:p>
        </w:tc>
        <w:tc>
          <w:tcPr>
            <w:tcW w:w="1200" w:type="dxa"/>
          </w:tcPr>
          <w:p>
            <w:pPr>
              <w:ind w:firstLine="0" w:firstLineChars="0"/>
              <w:jc w:val="center"/>
              <w:rPr>
                <w:rFonts w:ascii="楷体" w:hAnsi="楷体" w:eastAsia="楷体"/>
                <w:b/>
                <w:bCs/>
                <w:sz w:val="24"/>
              </w:rPr>
            </w:pPr>
            <w:r>
              <w:rPr>
                <w:rFonts w:hint="eastAsia" w:ascii="楷体" w:hAnsi="楷体" w:eastAsia="楷体"/>
                <w:b/>
                <w:bCs/>
                <w:sz w:val="24"/>
              </w:rPr>
              <w:t>检查方式</w:t>
            </w:r>
          </w:p>
        </w:tc>
        <w:tc>
          <w:tcPr>
            <w:tcW w:w="4759" w:type="dxa"/>
          </w:tcPr>
          <w:p>
            <w:pPr>
              <w:ind w:firstLine="0" w:firstLineChars="0"/>
              <w:jc w:val="center"/>
              <w:rPr>
                <w:rFonts w:ascii="楷体" w:hAnsi="楷体" w:eastAsia="楷体"/>
                <w:b/>
                <w:bCs/>
                <w:sz w:val="24"/>
              </w:rPr>
            </w:pPr>
            <w:r>
              <w:rPr>
                <w:rFonts w:hint="eastAsia" w:ascii="楷体" w:hAnsi="楷体" w:eastAsia="楷体"/>
                <w:b/>
                <w:bCs/>
                <w:sz w:val="24"/>
              </w:rPr>
              <w:t>检查依据</w:t>
            </w:r>
          </w:p>
        </w:tc>
        <w:tc>
          <w:tcPr>
            <w:tcW w:w="1258" w:type="dxa"/>
          </w:tcPr>
          <w:p>
            <w:pPr>
              <w:ind w:firstLine="0" w:firstLineChars="0"/>
              <w:jc w:val="center"/>
              <w:rPr>
                <w:rFonts w:hint="eastAsia" w:ascii="楷体" w:hAnsi="楷体" w:eastAsia="楷体"/>
                <w:b/>
                <w:bCs/>
                <w:sz w:val="24"/>
                <w:lang w:eastAsia="zh-CN"/>
              </w:rPr>
            </w:pPr>
            <w:r>
              <w:rPr>
                <w:rFonts w:hint="eastAsia" w:ascii="楷体" w:hAnsi="楷体" w:eastAsia="楷体"/>
                <w:b/>
                <w:bCs/>
                <w:sz w:val="24"/>
                <w:lang w:eastAsia="zh-CN"/>
              </w:rPr>
              <w:t>责任部门</w:t>
            </w:r>
          </w:p>
        </w:tc>
        <w:tc>
          <w:tcPr>
            <w:tcW w:w="1516" w:type="dxa"/>
          </w:tcPr>
          <w:p>
            <w:pPr>
              <w:ind w:firstLine="0" w:firstLineChars="0"/>
              <w:jc w:val="center"/>
              <w:rPr>
                <w:rFonts w:ascii="楷体" w:hAnsi="楷体" w:eastAsia="楷体"/>
                <w:b/>
                <w:bCs/>
                <w:sz w:val="24"/>
              </w:rPr>
            </w:pPr>
            <w:r>
              <w:rPr>
                <w:rFonts w:hint="eastAsia" w:ascii="楷体" w:hAnsi="楷体" w:eastAsia="楷体"/>
                <w:b/>
                <w:bCs/>
                <w:sz w:val="24"/>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ind w:firstLine="0" w:firstLineChars="0"/>
              <w:jc w:val="center"/>
              <w:rPr>
                <w:rFonts w:ascii="楷体" w:hAnsi="楷体" w:eastAsia="楷体"/>
                <w:sz w:val="24"/>
              </w:rPr>
            </w:pPr>
            <w:r>
              <w:rPr>
                <w:rFonts w:hint="eastAsia" w:ascii="楷体" w:hAnsi="楷体" w:eastAsia="楷体"/>
                <w:sz w:val="24"/>
                <w:lang w:val="en-US" w:eastAsia="zh-CN"/>
              </w:rPr>
              <w:t>1</w:t>
            </w:r>
          </w:p>
        </w:tc>
        <w:tc>
          <w:tcPr>
            <w:tcW w:w="141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both"/>
              <w:textAlignment w:val="center"/>
              <w:rPr>
                <w:rFonts w:ascii="楷体" w:hAnsi="楷体" w:eastAsia="楷体"/>
                <w:sz w:val="24"/>
              </w:rPr>
            </w:pPr>
            <w:r>
              <w:rPr>
                <w:rFonts w:hint="eastAsia" w:ascii="宋体" w:hAnsi="宋体" w:cs="宋体"/>
                <w:i w:val="0"/>
                <w:caps w:val="0"/>
                <w:color w:val="000000"/>
                <w:spacing w:val="0"/>
                <w:sz w:val="21"/>
                <w:szCs w:val="21"/>
                <w:lang w:val="en-US" w:eastAsia="zh-CN"/>
              </w:rPr>
              <w:t>排污单位2023年度双随机抽查计划</w:t>
            </w:r>
          </w:p>
        </w:tc>
        <w:tc>
          <w:tcPr>
            <w:tcW w:w="2100" w:type="dxa"/>
            <w:vAlign w:val="center"/>
          </w:tcPr>
          <w:p>
            <w:pPr>
              <w:widowControl/>
              <w:spacing w:line="320" w:lineRule="exact"/>
              <w:ind w:left="0" w:leftChars="0" w:firstLine="0" w:firstLineChars="0"/>
              <w:jc w:val="both"/>
              <w:textAlignment w:val="center"/>
              <w:rPr>
                <w:rFonts w:ascii="楷体" w:hAnsi="楷体" w:eastAsia="楷体"/>
                <w:sz w:val="24"/>
              </w:rPr>
            </w:pPr>
            <w:r>
              <w:rPr>
                <w:rFonts w:hint="eastAsia" w:ascii="楷体_GB2312" w:hAnsi="楷体_GB2312" w:eastAsia="楷体_GB2312" w:cs="楷体_GB2312"/>
                <w:color w:val="000000"/>
                <w:w w:val="90"/>
                <w:kern w:val="0"/>
                <w:sz w:val="24"/>
                <w:lang w:bidi="ar"/>
              </w:rPr>
              <w:t>对排放污染物的企业事业单位和其他生产经营者的行政检查</w:t>
            </w:r>
          </w:p>
        </w:tc>
        <w:tc>
          <w:tcPr>
            <w:tcW w:w="2133" w:type="dxa"/>
            <w:vAlign w:val="center"/>
          </w:tcPr>
          <w:p>
            <w:pPr>
              <w:ind w:firstLine="0" w:firstLineChars="0"/>
              <w:jc w:val="both"/>
              <w:rPr>
                <w:rFonts w:hint="eastAsia" w:ascii="楷体" w:hAnsi="楷体" w:eastAsia="楷体"/>
                <w:sz w:val="24"/>
                <w:lang w:eastAsia="zh-CN"/>
              </w:rPr>
            </w:pPr>
            <w:r>
              <w:rPr>
                <w:rFonts w:hint="eastAsia" w:ascii="楷体" w:hAnsi="楷体" w:eastAsia="楷体"/>
                <w:sz w:val="24"/>
                <w:lang w:eastAsia="zh-CN"/>
              </w:rPr>
              <w:t>广东省环境量化监管平台排污单位</w:t>
            </w:r>
          </w:p>
        </w:tc>
        <w:tc>
          <w:tcPr>
            <w:tcW w:w="1200" w:type="dxa"/>
            <w:vAlign w:val="center"/>
          </w:tcPr>
          <w:p>
            <w:pPr>
              <w:ind w:firstLine="0" w:firstLineChars="0"/>
              <w:jc w:val="both"/>
              <w:rPr>
                <w:rFonts w:hint="eastAsia" w:ascii="楷体" w:hAnsi="楷体" w:eastAsia="楷体"/>
                <w:sz w:val="24"/>
                <w:lang w:eastAsia="zh-CN"/>
              </w:rPr>
            </w:pPr>
            <w:r>
              <w:rPr>
                <w:rFonts w:hint="eastAsia" w:ascii="楷体" w:hAnsi="楷体" w:eastAsia="楷体"/>
                <w:sz w:val="24"/>
                <w:lang w:eastAsia="zh-CN"/>
              </w:rPr>
              <w:t>现场检查</w:t>
            </w:r>
          </w:p>
        </w:tc>
        <w:tc>
          <w:tcPr>
            <w:tcW w:w="4759"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c>
          <w:tcPr>
            <w:tcW w:w="1258" w:type="dxa"/>
            <w:vAlign w:val="center"/>
          </w:tcPr>
          <w:p>
            <w:pPr>
              <w:ind w:firstLine="0" w:firstLineChars="0"/>
              <w:jc w:val="both"/>
              <w:rPr>
                <w:rFonts w:hint="eastAsia" w:ascii="楷体_GB2312" w:hAnsi="楷体_GB2312" w:eastAsia="楷体_GB2312" w:cs="楷体_GB2312"/>
                <w:color w:val="000000"/>
                <w:w w:val="90"/>
                <w:kern w:val="0"/>
                <w:sz w:val="24"/>
                <w:lang w:eastAsia="zh-CN" w:bidi="ar"/>
              </w:rPr>
            </w:pPr>
            <w:r>
              <w:rPr>
                <w:rFonts w:hint="eastAsia" w:ascii="楷体_GB2312" w:hAnsi="楷体_GB2312" w:eastAsia="楷体_GB2312" w:cs="楷体_GB2312"/>
                <w:color w:val="000000"/>
                <w:w w:val="90"/>
                <w:kern w:val="0"/>
                <w:sz w:val="24"/>
                <w:lang w:eastAsia="zh-CN" w:bidi="ar"/>
              </w:rPr>
              <w:t>执法监督科及各分局</w:t>
            </w:r>
          </w:p>
        </w:tc>
        <w:tc>
          <w:tcPr>
            <w:tcW w:w="1516" w:type="dxa"/>
            <w:vAlign w:val="center"/>
          </w:tcPr>
          <w:p>
            <w:pPr>
              <w:ind w:firstLine="0" w:firstLineChars="0"/>
              <w:jc w:val="both"/>
              <w:rPr>
                <w:rFonts w:hint="eastAsia" w:ascii="楷体" w:hAnsi="楷体" w:eastAsia="楷体"/>
                <w:sz w:val="24"/>
                <w:lang w:eastAsia="zh-CN"/>
              </w:rPr>
            </w:pPr>
            <w:r>
              <w:rPr>
                <w:rFonts w:hint="eastAsia" w:ascii="楷体" w:hAnsi="楷体" w:eastAsia="楷体"/>
                <w:sz w:val="24"/>
                <w:lang w:eastAsia="zh-CN"/>
              </w:rPr>
              <w:t>每季度抽查一次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2</w:t>
            </w:r>
          </w:p>
        </w:tc>
        <w:tc>
          <w:tcPr>
            <w:tcW w:w="1417"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center"/>
              <w:rPr>
                <w:rFonts w:hint="default" w:ascii="楷体" w:hAnsi="楷体" w:eastAsia="楷体"/>
                <w:sz w:val="24"/>
                <w:lang w:val="en-US"/>
              </w:rPr>
            </w:pPr>
            <w:r>
              <w:rPr>
                <w:rFonts w:hint="eastAsia" w:ascii="宋体" w:hAnsi="宋体" w:cs="宋体"/>
                <w:i w:val="0"/>
                <w:caps w:val="0"/>
                <w:color w:val="000000"/>
                <w:spacing w:val="0"/>
                <w:sz w:val="21"/>
                <w:szCs w:val="21"/>
                <w:lang w:val="en-US" w:eastAsia="zh-CN"/>
              </w:rPr>
              <w:t>建设项目2023年度双随机抽查计划</w:t>
            </w:r>
          </w:p>
        </w:tc>
        <w:tc>
          <w:tcPr>
            <w:tcW w:w="2100" w:type="dxa"/>
            <w:vAlign w:val="center"/>
          </w:tcPr>
          <w:p>
            <w:pPr>
              <w:widowControl/>
              <w:spacing w:line="320" w:lineRule="exact"/>
              <w:ind w:left="0" w:leftChars="0" w:firstLine="0" w:firstLineChars="0"/>
              <w:jc w:val="both"/>
              <w:textAlignment w:val="center"/>
              <w:rPr>
                <w:rFonts w:hint="default" w:ascii="楷体_GB2312" w:hAnsi="楷体_GB2312" w:eastAsia="楷体_GB2312" w:cs="楷体_GB2312"/>
                <w:color w:val="000000"/>
                <w:w w:val="90"/>
                <w:kern w:val="2"/>
                <w:sz w:val="24"/>
                <w:szCs w:val="24"/>
                <w:lang w:val="en-US" w:eastAsia="zh-CN" w:bidi="ar-SA"/>
              </w:rPr>
            </w:pPr>
            <w:r>
              <w:rPr>
                <w:rFonts w:hint="eastAsia" w:ascii="楷体_GB2312" w:hAnsi="楷体_GB2312" w:eastAsia="楷体_GB2312" w:cs="楷体_GB2312"/>
                <w:color w:val="000000"/>
                <w:w w:val="90"/>
                <w:kern w:val="0"/>
                <w:sz w:val="24"/>
                <w:lang w:bidi="ar"/>
              </w:rPr>
              <w:t>对建设项目三同时和竣工自主验收情况的检查</w:t>
            </w:r>
          </w:p>
        </w:tc>
        <w:tc>
          <w:tcPr>
            <w:tcW w:w="2133"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eastAsia="zh-CN"/>
              </w:rPr>
              <w:t>广东省环境量化监管平台排污单位</w:t>
            </w:r>
          </w:p>
        </w:tc>
        <w:tc>
          <w:tcPr>
            <w:tcW w:w="1200"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eastAsia="zh-CN"/>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《建设项目环境保护管理条例》第二十条　环境保护行政主管部门应当对建设项目环境保护设施设计、施工、验收、投入生产或者使用情况，以及有关环境影响评价文件确定的其他环境保护措施的落实情况，进行监督检查。</w:t>
            </w:r>
          </w:p>
        </w:tc>
        <w:tc>
          <w:tcPr>
            <w:tcW w:w="1258" w:type="dxa"/>
            <w:vAlign w:val="center"/>
          </w:tcPr>
          <w:p>
            <w:pPr>
              <w:ind w:left="0" w:leftChars="0"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eastAsia="zh-CN" w:bidi="ar"/>
              </w:rPr>
              <w:t>执法监督科及各分局</w:t>
            </w:r>
          </w:p>
        </w:tc>
        <w:tc>
          <w:tcPr>
            <w:tcW w:w="1516"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eastAsia="zh-CN"/>
              </w:rPr>
              <w:t>每季度抽查一次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3</w:t>
            </w:r>
          </w:p>
        </w:tc>
        <w:tc>
          <w:tcPr>
            <w:tcW w:w="1417" w:type="dxa"/>
            <w:vAlign w:val="center"/>
          </w:tcPr>
          <w:p>
            <w:pPr>
              <w:ind w:firstLine="0" w:firstLineChars="0"/>
              <w:jc w:val="both"/>
              <w:rPr>
                <w:rFonts w:hint="default" w:ascii="楷体" w:hAnsi="楷体" w:eastAsia="楷体_GB2312"/>
                <w:sz w:val="24"/>
                <w:lang w:val="en-US" w:eastAsia="zh-CN"/>
              </w:rPr>
            </w:pPr>
            <w:r>
              <w:rPr>
                <w:rFonts w:hint="eastAsia" w:ascii="楷体_GB2312" w:hAnsi="楷体_GB2312" w:eastAsia="楷体_GB2312" w:cs="楷体_GB2312"/>
                <w:color w:val="000000"/>
                <w:w w:val="90"/>
                <w:kern w:val="0"/>
                <w:sz w:val="24"/>
                <w:lang w:bidi="ar"/>
              </w:rPr>
              <w:t>风险源企事业单位</w:t>
            </w:r>
            <w:r>
              <w:rPr>
                <w:rFonts w:hint="eastAsia" w:ascii="楷体_GB2312" w:hAnsi="楷体_GB2312" w:eastAsia="楷体_GB2312" w:cs="楷体_GB2312"/>
                <w:color w:val="000000"/>
                <w:w w:val="90"/>
                <w:kern w:val="0"/>
                <w:sz w:val="24"/>
                <w:lang w:val="en-US" w:eastAsia="zh-CN" w:bidi="ar"/>
              </w:rPr>
              <w:t>2023年度双随机抽查计划</w:t>
            </w:r>
          </w:p>
        </w:tc>
        <w:tc>
          <w:tcPr>
            <w:tcW w:w="2100" w:type="dxa"/>
            <w:vAlign w:val="center"/>
          </w:tcPr>
          <w:p>
            <w:pPr>
              <w:widowControl/>
              <w:spacing w:line="320" w:lineRule="exact"/>
              <w:ind w:left="0" w:leftChars="0" w:firstLine="0" w:firstLineChars="0"/>
              <w:jc w:val="both"/>
              <w:textAlignment w:val="center"/>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 xml:space="preserve">对企业环境风险的行政检查 </w:t>
            </w:r>
          </w:p>
        </w:tc>
        <w:tc>
          <w:tcPr>
            <w:tcW w:w="2133"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eastAsia="zh-CN"/>
              </w:rPr>
              <w:t>广东省环境量化监管平台排污单位</w:t>
            </w:r>
          </w:p>
        </w:tc>
        <w:tc>
          <w:tcPr>
            <w:tcW w:w="1200"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《中华人民共和国突发事件应对法》第二十条 《突发环境事件应急管理办法》（环境保护部令第34号）第十二条。</w:t>
            </w:r>
          </w:p>
        </w:tc>
        <w:tc>
          <w:tcPr>
            <w:tcW w:w="1258" w:type="dxa"/>
            <w:vAlign w:val="center"/>
          </w:tcPr>
          <w:p>
            <w:pPr>
              <w:ind w:left="0" w:leftChars="0"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eastAsia="zh-CN" w:bidi="ar"/>
              </w:rPr>
              <w:t>执法监督科及各分局</w:t>
            </w:r>
          </w:p>
        </w:tc>
        <w:tc>
          <w:tcPr>
            <w:tcW w:w="1516"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eastAsia="zh-CN"/>
              </w:rPr>
              <w:t>每季度抽查一次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8" w:hRule="atLeast"/>
        </w:trPr>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4</w:t>
            </w:r>
          </w:p>
        </w:tc>
        <w:tc>
          <w:tcPr>
            <w:tcW w:w="1417"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入海排污口日常随机抽查工作</w:t>
            </w:r>
          </w:p>
        </w:tc>
        <w:tc>
          <w:tcPr>
            <w:tcW w:w="2100"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对入海排污口设置的行政检查</w:t>
            </w:r>
          </w:p>
        </w:tc>
        <w:tc>
          <w:tcPr>
            <w:tcW w:w="2133"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向</w:t>
            </w:r>
            <w:r>
              <w:rPr>
                <w:rFonts w:hint="eastAsia" w:ascii="楷体_GB2312" w:hAnsi="楷体_GB2312" w:eastAsia="楷体_GB2312" w:cs="楷体_GB2312"/>
                <w:color w:val="000000"/>
                <w:w w:val="90"/>
                <w:kern w:val="0"/>
                <w:sz w:val="24"/>
                <w:lang w:bidi="ar"/>
              </w:rPr>
              <w:t>工矿企业、工业及其他各类园区污水处理厂、城镇污水处理厂入海排污口;规模化禽蓄、水产养殖入海排污口，农村污水处理</w:t>
            </w:r>
            <w:r>
              <w:rPr>
                <w:rFonts w:hint="eastAsia" w:ascii="楷体_GB2312" w:hAnsi="楷体_GB2312" w:eastAsia="楷体_GB2312" w:cs="楷体_GB2312"/>
                <w:w w:val="90"/>
                <w:kern w:val="0"/>
                <w:sz w:val="24"/>
                <w:lang w:bidi="ar"/>
              </w:rPr>
              <w:t>设施排污口，农村生活污水散排口。</w:t>
            </w:r>
          </w:p>
        </w:tc>
        <w:tc>
          <w:tcPr>
            <w:tcW w:w="1200"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val="en-US" w:eastAsia="zh-CN"/>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1.《中华人民共和国海洋环境保护法》第三十条：入海排污口位置的选择，应当根据海洋功能区划、海水动力条件和有关规定，经科学论证后，报设区的市级以上人民政府环境保护行政主管部门备案。在海洋自然保护区、重要渔业水域、海滨风景名胜区和其他需要特别保护的区域，不得新建排污口。2.《中华人民共和国海洋环境保护法》第七十七条：违反本法第三十条第一款、第三款规定设置入海排污口的，由县级以上地方人民政府环境保护行政主管部门责令其关闭，并处二万元以上十万元以下的罚款。海洋、海事、渔业行政主管部门和军队环境保护部门发现入海排污口设置违反本法第三十条第一款、第三款规定的，应当通报环境保护行政主管部门依照前款规定予以处罚。</w:t>
            </w:r>
          </w:p>
        </w:tc>
        <w:tc>
          <w:tcPr>
            <w:tcW w:w="1258"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海洋科及各分局</w:t>
            </w:r>
          </w:p>
        </w:tc>
        <w:tc>
          <w:tcPr>
            <w:tcW w:w="151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3月前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5</w:t>
            </w:r>
          </w:p>
        </w:tc>
        <w:tc>
          <w:tcPr>
            <w:tcW w:w="1417" w:type="dxa"/>
            <w:vAlign w:val="center"/>
          </w:tcPr>
          <w:p>
            <w:pPr>
              <w:ind w:firstLine="0" w:firstLineChars="0"/>
              <w:jc w:val="both"/>
              <w:rPr>
                <w:rFonts w:hint="default" w:ascii="楷体" w:hAnsi="楷体" w:eastAsia="楷体"/>
                <w:sz w:val="24"/>
                <w:lang w:val="en-US"/>
              </w:rPr>
            </w:pPr>
            <w:r>
              <w:rPr>
                <w:rFonts w:hint="eastAsia" w:ascii="楷体" w:hAnsi="楷体" w:eastAsia="楷体"/>
                <w:sz w:val="24"/>
              </w:rPr>
              <w:t>土壤重点监管单位双随机监管</w:t>
            </w:r>
          </w:p>
        </w:tc>
        <w:tc>
          <w:tcPr>
            <w:tcW w:w="2100" w:type="dxa"/>
            <w:vAlign w:val="center"/>
          </w:tcPr>
          <w:p>
            <w:pPr>
              <w:ind w:firstLine="0" w:firstLineChars="0"/>
              <w:jc w:val="both"/>
              <w:rPr>
                <w:rFonts w:hint="default" w:ascii="楷体" w:hAnsi="楷体" w:eastAsia="楷体"/>
                <w:sz w:val="24"/>
                <w:lang w:val="en-US"/>
              </w:rPr>
            </w:pPr>
            <w:r>
              <w:rPr>
                <w:rFonts w:hint="eastAsia" w:ascii="楷体" w:hAnsi="楷体" w:eastAsia="楷体"/>
                <w:sz w:val="24"/>
              </w:rPr>
              <w:t>对土壤污染重点监管单位落实土壤污染防治义务的行政检查</w:t>
            </w:r>
          </w:p>
        </w:tc>
        <w:tc>
          <w:tcPr>
            <w:tcW w:w="2133" w:type="dxa"/>
            <w:vAlign w:val="center"/>
          </w:tcPr>
          <w:p>
            <w:pPr>
              <w:ind w:firstLine="0" w:firstLineChars="0"/>
              <w:jc w:val="both"/>
              <w:rPr>
                <w:rFonts w:hint="default" w:ascii="楷体" w:hAnsi="楷体" w:eastAsia="楷体"/>
                <w:sz w:val="24"/>
                <w:lang w:val="en-US"/>
              </w:rPr>
            </w:pPr>
            <w:r>
              <w:rPr>
                <w:rFonts w:hint="eastAsia" w:ascii="楷体" w:hAnsi="楷体" w:eastAsia="楷体" w:cs="楷体_GB2312"/>
                <w:color w:val="000000"/>
                <w:w w:val="90"/>
                <w:kern w:val="0"/>
                <w:sz w:val="24"/>
                <w:lang w:bidi="ar"/>
              </w:rPr>
              <w:t>生态环境主管部门每年度公开发布的土壤污染重点监管单位名录内的企事业单位</w:t>
            </w:r>
          </w:p>
        </w:tc>
        <w:tc>
          <w:tcPr>
            <w:tcW w:w="1200" w:type="dxa"/>
            <w:vAlign w:val="center"/>
          </w:tcPr>
          <w:p>
            <w:pPr>
              <w:ind w:firstLine="0" w:firstLineChars="0"/>
              <w:jc w:val="both"/>
              <w:rPr>
                <w:rFonts w:hint="default" w:ascii="楷体" w:hAnsi="楷体" w:eastAsia="楷体"/>
                <w:sz w:val="24"/>
                <w:lang w:val="en-US"/>
              </w:rPr>
            </w:pPr>
            <w:r>
              <w:rPr>
                <w:rFonts w:hint="eastAsia" w:ascii="楷体" w:hAnsi="楷体" w:eastAsia="楷体"/>
                <w:sz w:val="24"/>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 w:hAnsi="楷体" w:eastAsia="楷体" w:cs="楷体_GB2312"/>
                <w:color w:val="000000"/>
                <w:w w:val="90"/>
                <w:kern w:val="0"/>
                <w:sz w:val="24"/>
                <w:lang w:bidi="ar"/>
              </w:rPr>
              <w:t>《</w:t>
            </w:r>
            <w:r>
              <w:rPr>
                <w:rFonts w:hint="eastAsia" w:ascii="楷体" w:hAnsi="楷体" w:eastAsia="楷体" w:cs="楷体_GB2312"/>
                <w:color w:val="000000"/>
                <w:w w:val="90"/>
                <w:kern w:val="0"/>
                <w:sz w:val="24"/>
                <w:lang w:eastAsia="zh-CN" w:bidi="ar"/>
              </w:rPr>
              <w:t>中华人民共和国</w:t>
            </w:r>
            <w:bookmarkStart w:id="0" w:name="_GoBack"/>
            <w:bookmarkEnd w:id="0"/>
            <w:r>
              <w:rPr>
                <w:rFonts w:hint="eastAsia" w:ascii="楷体" w:hAnsi="楷体" w:eastAsia="楷体" w:cs="楷体_GB2312"/>
                <w:color w:val="000000"/>
                <w:w w:val="90"/>
                <w:kern w:val="0"/>
                <w:sz w:val="24"/>
                <w:lang w:eastAsia="zh-CN" w:bidi="ar"/>
              </w:rPr>
              <w:t>土壤污染防治法</w:t>
            </w:r>
            <w:r>
              <w:rPr>
                <w:rFonts w:hint="eastAsia" w:ascii="楷体" w:hAnsi="楷体" w:eastAsia="楷体" w:cs="楷体_GB2312"/>
                <w:color w:val="000000"/>
                <w:w w:val="90"/>
                <w:kern w:val="0"/>
                <w:sz w:val="24"/>
                <w:lang w:bidi="ar"/>
              </w:rPr>
              <w:t>》</w:t>
            </w:r>
            <w:r>
              <w:rPr>
                <w:rFonts w:hint="eastAsia" w:ascii="楷体" w:hAnsi="楷体" w:eastAsia="楷体" w:cs="楷体_GB2312"/>
                <w:color w:val="000000"/>
                <w:w w:val="90"/>
                <w:kern w:val="0"/>
                <w:sz w:val="24"/>
                <w:lang w:bidi="ar"/>
              </w:rPr>
              <w:br w:type="textWrapping"/>
            </w:r>
            <w:r>
              <w:rPr>
                <w:rFonts w:hint="eastAsia" w:ascii="楷体" w:hAnsi="楷体" w:eastAsia="楷体" w:cs="楷体_GB2312"/>
                <w:color w:val="000000"/>
                <w:w w:val="90"/>
                <w:kern w:val="0"/>
                <w:sz w:val="24"/>
                <w:lang w:bidi="ar"/>
              </w:rPr>
              <w:t>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r>
              <w:rPr>
                <w:rFonts w:hint="eastAsia" w:ascii="楷体" w:hAnsi="楷体" w:eastAsia="楷体" w:cs="楷体_GB2312"/>
                <w:color w:val="000000"/>
                <w:w w:val="90"/>
                <w:kern w:val="0"/>
                <w:sz w:val="24"/>
                <w:lang w:bidi="ar"/>
              </w:rPr>
              <w:br w:type="textWrapping"/>
            </w:r>
            <w:r>
              <w:rPr>
                <w:rFonts w:hint="eastAsia" w:ascii="楷体" w:hAnsi="楷体" w:eastAsia="楷体" w:cs="楷体_GB2312"/>
                <w:color w:val="000000"/>
                <w:w w:val="90"/>
                <w:kern w:val="0"/>
                <w:sz w:val="24"/>
                <w:lang w:bidi="ar"/>
              </w:rPr>
              <w:t xml:space="preserve">    被检查者应当配合检查工作，如实反映情况，提供必要的资料。</w:t>
            </w:r>
            <w:r>
              <w:rPr>
                <w:rFonts w:hint="eastAsia" w:ascii="楷体" w:hAnsi="楷体" w:eastAsia="楷体" w:cs="楷体_GB2312"/>
                <w:color w:val="000000"/>
                <w:w w:val="90"/>
                <w:kern w:val="0"/>
                <w:sz w:val="24"/>
                <w:lang w:bidi="ar"/>
              </w:rPr>
              <w:br w:type="textWrapping"/>
            </w:r>
            <w:r>
              <w:rPr>
                <w:rFonts w:hint="eastAsia" w:ascii="楷体" w:hAnsi="楷体" w:eastAsia="楷体" w:cs="楷体_GB2312"/>
                <w:color w:val="000000"/>
                <w:w w:val="90"/>
                <w:kern w:val="0"/>
                <w:sz w:val="24"/>
                <w:lang w:bidi="ar"/>
              </w:rPr>
              <w:t xml:space="preserve">    实施现场检查的部门、机构及其工作人员应当为被检查者保守商业秘密。</w:t>
            </w:r>
          </w:p>
        </w:tc>
        <w:tc>
          <w:tcPr>
            <w:tcW w:w="1258"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自然科及各分局</w:t>
            </w:r>
          </w:p>
        </w:tc>
        <w:tc>
          <w:tcPr>
            <w:tcW w:w="151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每季度抽查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6</w:t>
            </w:r>
          </w:p>
        </w:tc>
        <w:tc>
          <w:tcPr>
            <w:tcW w:w="1417" w:type="dxa"/>
            <w:vAlign w:val="center"/>
          </w:tcPr>
          <w:p>
            <w:pPr>
              <w:ind w:firstLine="0" w:firstLineChars="0"/>
              <w:jc w:val="both"/>
              <w:rPr>
                <w:rFonts w:hint="default" w:ascii="楷体" w:hAnsi="楷体" w:eastAsia="楷体"/>
                <w:sz w:val="24"/>
                <w:lang w:val="en-US"/>
              </w:rPr>
            </w:pPr>
            <w:r>
              <w:rPr>
                <w:rFonts w:hint="eastAsia" w:ascii="楷体" w:hAnsi="楷体" w:eastAsia="楷体" w:cs="Times New Roman"/>
                <w:sz w:val="24"/>
                <w:lang w:val="en-US" w:eastAsia="zh-CN"/>
              </w:rPr>
              <w:t>危险废物规范化管理</w:t>
            </w:r>
          </w:p>
        </w:tc>
        <w:tc>
          <w:tcPr>
            <w:tcW w:w="2100" w:type="dxa"/>
            <w:vAlign w:val="center"/>
          </w:tcPr>
          <w:p>
            <w:pPr>
              <w:ind w:firstLine="0" w:firstLineChars="0"/>
              <w:jc w:val="both"/>
              <w:rPr>
                <w:rFonts w:hint="default" w:ascii="楷体" w:hAnsi="楷体" w:eastAsia="楷体"/>
                <w:sz w:val="24"/>
                <w:lang w:val="en-US"/>
              </w:rPr>
            </w:pPr>
            <w:r>
              <w:rPr>
                <w:rFonts w:hint="eastAsia" w:ascii="楷体" w:hAnsi="楷体" w:eastAsia="楷体" w:cs="Times New Roman"/>
                <w:sz w:val="24"/>
                <w:lang w:val="en-US" w:eastAsia="zh-CN"/>
              </w:rPr>
              <w:t>对危险废物产生、处置单位落实危险废物规范化管理义务的行政检查</w:t>
            </w:r>
          </w:p>
        </w:tc>
        <w:tc>
          <w:tcPr>
            <w:tcW w:w="2133" w:type="dxa"/>
            <w:vAlign w:val="center"/>
          </w:tcPr>
          <w:p>
            <w:pPr>
              <w:ind w:firstLine="0" w:firstLineChars="0"/>
              <w:jc w:val="both"/>
              <w:rPr>
                <w:rFonts w:hint="default" w:ascii="楷体" w:hAnsi="楷体" w:eastAsia="楷体" w:cs="Times New Roman"/>
                <w:kern w:val="2"/>
                <w:sz w:val="24"/>
                <w:szCs w:val="24"/>
                <w:lang w:val="en-US" w:eastAsia="zh-CN" w:bidi="ar-SA"/>
              </w:rPr>
            </w:pPr>
            <w:r>
              <w:rPr>
                <w:rFonts w:hint="eastAsia" w:ascii="楷体" w:hAnsi="楷体" w:eastAsia="楷体"/>
                <w:sz w:val="24"/>
                <w:lang w:val="en-US" w:eastAsia="zh-CN"/>
              </w:rPr>
              <w:t>危险废物产生、处置单位</w:t>
            </w:r>
          </w:p>
        </w:tc>
        <w:tc>
          <w:tcPr>
            <w:tcW w:w="1200"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现场检查</w:t>
            </w:r>
          </w:p>
        </w:tc>
        <w:tc>
          <w:tcPr>
            <w:tcW w:w="4759" w:type="dxa"/>
            <w:vAlign w:val="center"/>
          </w:tcPr>
          <w:p>
            <w:pPr>
              <w:ind w:firstLine="0" w:firstLineChars="0"/>
              <w:jc w:val="both"/>
              <w:rPr>
                <w:rFonts w:hint="eastAsia" w:ascii="楷体" w:hAnsi="楷体" w:eastAsia="楷体"/>
                <w:sz w:val="24"/>
                <w:lang w:eastAsia="zh-CN"/>
              </w:rPr>
            </w:pPr>
            <w:r>
              <w:rPr>
                <w:rFonts w:hint="eastAsia" w:ascii="楷体" w:hAnsi="楷体" w:eastAsia="楷体"/>
                <w:sz w:val="24"/>
                <w:lang w:eastAsia="zh-CN"/>
              </w:rPr>
              <w:t>《</w:t>
            </w:r>
            <w:r>
              <w:rPr>
                <w:rFonts w:hint="eastAsia" w:ascii="楷体" w:hAnsi="楷体" w:eastAsia="楷体"/>
                <w:sz w:val="24"/>
                <w:lang w:val="en-US" w:eastAsia="zh-CN"/>
              </w:rPr>
              <w:t>固体废物污染防治法</w:t>
            </w:r>
            <w:r>
              <w:rPr>
                <w:rFonts w:hint="eastAsia" w:ascii="楷体" w:hAnsi="楷体" w:eastAsia="楷体"/>
                <w:sz w:val="24"/>
                <w:lang w:eastAsia="zh-CN"/>
              </w:rPr>
              <w:t>》</w:t>
            </w:r>
          </w:p>
          <w:p>
            <w:pPr>
              <w:ind w:firstLine="0" w:firstLineChars="0"/>
              <w:jc w:val="both"/>
              <w:rPr>
                <w:rFonts w:hint="eastAsia" w:ascii="楷体" w:hAnsi="楷体" w:eastAsia="楷体"/>
                <w:sz w:val="24"/>
                <w:lang w:eastAsia="zh-CN"/>
              </w:rPr>
            </w:pPr>
            <w:r>
              <w:rPr>
                <w:rFonts w:hint="eastAsia" w:ascii="楷体" w:hAnsi="楷体" w:eastAsia="楷体"/>
                <w:sz w:val="24"/>
                <w:lang w:eastAsia="zh-CN"/>
              </w:rPr>
              <w:t>第二十六条 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p>
            <w:pPr>
              <w:ind w:firstLine="0" w:firstLineChars="0"/>
              <w:jc w:val="both"/>
              <w:rPr>
                <w:rFonts w:hint="eastAsia" w:ascii="楷体" w:hAnsi="楷体" w:eastAsia="楷体"/>
                <w:sz w:val="24"/>
                <w:lang w:eastAsia="zh-CN"/>
              </w:rPr>
            </w:pPr>
          </w:p>
          <w:p>
            <w:pPr>
              <w:ind w:firstLine="0" w:firstLineChars="0"/>
              <w:jc w:val="both"/>
              <w:rPr>
                <w:rFonts w:hint="default" w:ascii="楷体" w:hAnsi="楷体" w:eastAsia="楷体"/>
                <w:sz w:val="24"/>
                <w:lang w:val="en-US"/>
              </w:rPr>
            </w:pPr>
            <w:r>
              <w:rPr>
                <w:rFonts w:hint="eastAsia" w:ascii="楷体" w:hAnsi="楷体" w:eastAsia="楷体"/>
                <w:sz w:val="24"/>
                <w:lang w:eastAsia="zh-CN"/>
              </w:rPr>
              <w:t>实施现场检查，可以采取现场监测、采集样品、查阅或者复制与固体废物污染环境防治相关的资料等措施。检查人员进行现场检查，应当出示证件。对现场检查中知悉的商业秘密应当保密。</w:t>
            </w:r>
          </w:p>
        </w:tc>
        <w:tc>
          <w:tcPr>
            <w:tcW w:w="1258"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自然科及各分局</w:t>
            </w:r>
          </w:p>
        </w:tc>
        <w:tc>
          <w:tcPr>
            <w:tcW w:w="1516" w:type="dxa"/>
            <w:vAlign w:val="center"/>
          </w:tcPr>
          <w:p>
            <w:pPr>
              <w:ind w:firstLine="0" w:firstLineChars="0"/>
              <w:jc w:val="both"/>
              <w:rPr>
                <w:rFonts w:hint="default" w:ascii="楷体" w:hAnsi="楷体" w:eastAsia="楷体"/>
                <w:sz w:val="24"/>
                <w:lang w:val="en-US"/>
              </w:rPr>
            </w:pPr>
            <w:r>
              <w:rPr>
                <w:rFonts w:hint="eastAsia" w:ascii="楷体" w:hAnsi="楷体" w:eastAsia="楷体"/>
                <w:sz w:val="24"/>
              </w:rPr>
              <w:t>每季度抽查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3" w:hRule="atLeast"/>
        </w:trPr>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7</w:t>
            </w:r>
          </w:p>
        </w:tc>
        <w:tc>
          <w:tcPr>
            <w:tcW w:w="1417"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val="en-US" w:eastAsia="zh-CN" w:bidi="ar"/>
              </w:rPr>
              <w:t>对机动车排放检验机构的行政检查</w:t>
            </w:r>
          </w:p>
        </w:tc>
        <w:tc>
          <w:tcPr>
            <w:tcW w:w="2100" w:type="dxa"/>
            <w:vAlign w:val="center"/>
          </w:tcPr>
          <w:p>
            <w:pPr>
              <w:ind w:firstLine="0" w:firstLineChars="0"/>
              <w:jc w:val="both"/>
              <w:rPr>
                <w:rFonts w:hint="eastAsia" w:ascii="楷体_GB2312" w:hAnsi="楷体_GB2312" w:eastAsia="楷体_GB2312" w:cs="楷体_GB2312"/>
                <w:color w:val="000000"/>
                <w:w w:val="90"/>
                <w:kern w:val="0"/>
                <w:sz w:val="24"/>
                <w:lang w:val="en-US" w:eastAsia="zh-CN" w:bidi="ar"/>
              </w:rPr>
            </w:pPr>
            <w:r>
              <w:rPr>
                <w:rFonts w:hint="eastAsia" w:ascii="楷体_GB2312" w:hAnsi="楷体_GB2312" w:eastAsia="楷体_GB2312" w:cs="楷体_GB2312"/>
                <w:color w:val="000000"/>
                <w:w w:val="90"/>
                <w:kern w:val="0"/>
                <w:sz w:val="24"/>
                <w:lang w:val="en-US" w:eastAsia="zh-CN" w:bidi="ar"/>
              </w:rPr>
              <w:t>机动车排放检验情况和设备使用情况检查</w:t>
            </w:r>
          </w:p>
          <w:p>
            <w:pPr>
              <w:ind w:firstLine="0" w:firstLineChars="0"/>
              <w:jc w:val="both"/>
              <w:rPr>
                <w:rFonts w:hint="default" w:ascii="楷体" w:hAnsi="楷体" w:eastAsia="楷体"/>
                <w:sz w:val="24"/>
                <w:lang w:val="en-US"/>
              </w:rPr>
            </w:pPr>
          </w:p>
        </w:tc>
        <w:tc>
          <w:tcPr>
            <w:tcW w:w="2133"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val="en-US" w:eastAsia="zh-CN" w:bidi="ar"/>
              </w:rPr>
              <w:t>机动车排放检验机构</w:t>
            </w:r>
          </w:p>
        </w:tc>
        <w:tc>
          <w:tcPr>
            <w:tcW w:w="1200"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 xml:space="preserve"> 《大气污染防治法》：</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第五十四条第二款　生态环境主管部门和认证认可监督管理部门应当对机动车排放检验机构的排放检验情况进行监督检查。</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第一百一十二条　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《广东省机动车排气污染防治条例》：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第十八条  机动车排放检验机构应当遵守下列规定：</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（一）依据法定的检测方法、检测标准对机动车排气污染进行检测；</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（二）检测使用的仪器、设备，应当按规定向市场监督管理部门申请计量检定；</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（三）出具真实、准确的机动车排气污染检测结果；</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（四）实时向当地地级以上市生态环境主管部门及公安机关交通管理部门传递相关检测数据，并接受其监督；</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（五）建立机动车排气污染检测档案；</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（六）不得以任何方式经营或者参与经营机动车维修业务。</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第三十三条 机动车排放检验机构违反本条例第十八条规定的，由县级以上生态环境主管部门或者其他有关主管部门责令其停止违法行为，限期改正，并可以处一万元以上五万元以下罚款；情节严重的，由资质认定部门取消其检验资质，并向社会公告。</w:t>
            </w:r>
          </w:p>
        </w:tc>
        <w:tc>
          <w:tcPr>
            <w:tcW w:w="1258"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val="en-US" w:eastAsia="zh-CN" w:bidi="ar"/>
              </w:rPr>
              <w:t>大气科及各分局</w:t>
            </w:r>
          </w:p>
        </w:tc>
        <w:tc>
          <w:tcPr>
            <w:tcW w:w="151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每季度抽查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ind w:firstLine="0" w:firstLineChars="0"/>
              <w:jc w:val="center"/>
              <w:rPr>
                <w:rFonts w:hint="default" w:ascii="楷体" w:hAnsi="楷体" w:eastAsia="楷体"/>
                <w:sz w:val="24"/>
                <w:lang w:val="en-US" w:eastAsia="zh-CN"/>
              </w:rPr>
            </w:pPr>
            <w:r>
              <w:rPr>
                <w:rFonts w:hint="eastAsia" w:ascii="楷体" w:hAnsi="楷体" w:eastAsia="楷体"/>
                <w:sz w:val="24"/>
                <w:lang w:val="en-US" w:eastAsia="zh-CN"/>
              </w:rPr>
              <w:t>8</w:t>
            </w:r>
          </w:p>
        </w:tc>
        <w:tc>
          <w:tcPr>
            <w:tcW w:w="1417" w:type="dxa"/>
            <w:vAlign w:val="center"/>
          </w:tcPr>
          <w:p>
            <w:pPr>
              <w:widowControl/>
              <w:spacing w:line="320" w:lineRule="exact"/>
              <w:ind w:left="0" w:leftChars="0" w:firstLine="0" w:firstLineChars="0"/>
              <w:jc w:val="both"/>
              <w:textAlignment w:val="center"/>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对在用非道路移动机械排放情况的行政检查</w:t>
            </w:r>
          </w:p>
        </w:tc>
        <w:tc>
          <w:tcPr>
            <w:tcW w:w="2100" w:type="dxa"/>
            <w:vAlign w:val="center"/>
          </w:tcPr>
          <w:p>
            <w:pPr>
              <w:widowControl/>
              <w:spacing w:line="320" w:lineRule="exact"/>
              <w:ind w:left="0" w:leftChars="0" w:firstLine="0" w:firstLineChars="0"/>
              <w:jc w:val="both"/>
              <w:textAlignment w:val="center"/>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非道路移动机械大气污染物排放状况</w:t>
            </w:r>
          </w:p>
        </w:tc>
        <w:tc>
          <w:tcPr>
            <w:tcW w:w="2133" w:type="dxa"/>
            <w:vAlign w:val="center"/>
          </w:tcPr>
          <w:p>
            <w:pPr>
              <w:widowControl/>
              <w:spacing w:line="320" w:lineRule="exact"/>
              <w:ind w:firstLine="432" w:firstLineChars="200"/>
              <w:jc w:val="both"/>
              <w:textAlignment w:val="center"/>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非道路移动机械</w:t>
            </w:r>
          </w:p>
        </w:tc>
        <w:tc>
          <w:tcPr>
            <w:tcW w:w="1200"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现场检查</w:t>
            </w:r>
          </w:p>
        </w:tc>
        <w:tc>
          <w:tcPr>
            <w:tcW w:w="4759"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bidi="ar"/>
              </w:rPr>
              <w:t>《大气污染防治法》 第五十六条　生态环境主管部门应当会同交通运输、住房城乡建设、农业行政、水行政等有关部门对非道路移动机械的大气污染物排放状况进行监督检查，排放不合格的，不得使用。</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xml:space="preserve">    第一百一十四条　违反本法规定，使用排放不合格的非道路移动机械，或者在用重型柴油车、非道路移动机械未按照规定加装、更换污染控制装置的，由县级以上人民政府生态环境等主管部门按照职责责令改正，处五千元的罚款。</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　　违反本法规定，在禁止使用高排放非道路移动机械的区域使用高排放非道路移动机械的，由城市人民政府生态环境等主管部门依法予以处罚。</w:t>
            </w:r>
          </w:p>
        </w:tc>
        <w:tc>
          <w:tcPr>
            <w:tcW w:w="1258" w:type="dxa"/>
            <w:vAlign w:val="center"/>
          </w:tcPr>
          <w:p>
            <w:pPr>
              <w:ind w:firstLine="0" w:firstLineChars="0"/>
              <w:jc w:val="both"/>
              <w:rPr>
                <w:rFonts w:hint="default" w:ascii="楷体" w:hAnsi="楷体" w:eastAsia="楷体"/>
                <w:sz w:val="24"/>
                <w:lang w:val="en-US"/>
              </w:rPr>
            </w:pPr>
            <w:r>
              <w:rPr>
                <w:rFonts w:hint="eastAsia" w:ascii="楷体_GB2312" w:hAnsi="楷体_GB2312" w:eastAsia="楷体_GB2312" w:cs="楷体_GB2312"/>
                <w:color w:val="000000"/>
                <w:w w:val="90"/>
                <w:kern w:val="0"/>
                <w:sz w:val="24"/>
                <w:lang w:val="en-US" w:eastAsia="zh-CN" w:bidi="ar"/>
              </w:rPr>
              <w:t>大气科及各分局</w:t>
            </w:r>
          </w:p>
        </w:tc>
        <w:tc>
          <w:tcPr>
            <w:tcW w:w="1516" w:type="dxa"/>
            <w:vAlign w:val="center"/>
          </w:tcPr>
          <w:p>
            <w:pPr>
              <w:ind w:firstLine="0" w:firstLineChars="0"/>
              <w:jc w:val="both"/>
              <w:rPr>
                <w:rFonts w:hint="default" w:ascii="楷体" w:hAnsi="楷体" w:eastAsia="楷体"/>
                <w:sz w:val="24"/>
                <w:lang w:val="en-US"/>
              </w:rPr>
            </w:pPr>
            <w:r>
              <w:rPr>
                <w:rFonts w:hint="eastAsia" w:ascii="楷体" w:hAnsi="楷体" w:eastAsia="楷体"/>
                <w:sz w:val="24"/>
                <w:lang w:val="en-US" w:eastAsia="zh-CN"/>
              </w:rPr>
              <w:t>每季度抽查</w:t>
            </w:r>
          </w:p>
        </w:tc>
      </w:tr>
    </w:tbl>
    <w:p>
      <w:pPr>
        <w:ind w:firstLine="640"/>
      </w:pPr>
    </w:p>
    <w:p>
      <w:pPr>
        <w:ind w:firstLine="0" w:firstLineChars="0"/>
        <w:jc w:val="center"/>
        <w:rPr>
          <w:rFonts w:hint="eastAsia"/>
          <w:b/>
          <w:bCs/>
          <w:sz w:val="40"/>
          <w:szCs w:val="32"/>
        </w:rPr>
      </w:pPr>
    </w:p>
    <w:p>
      <w:pPr>
        <w:ind w:firstLine="0" w:firstLineChars="0"/>
        <w:jc w:val="center"/>
        <w:rPr>
          <w:rFonts w:hint="eastAsia"/>
          <w:b/>
          <w:bCs/>
          <w:sz w:val="40"/>
          <w:szCs w:val="32"/>
        </w:rPr>
      </w:pPr>
    </w:p>
    <w:p>
      <w:pPr>
        <w:ind w:firstLine="0" w:firstLineChars="0"/>
        <w:jc w:val="center"/>
        <w:rPr>
          <w:rFonts w:hint="eastAsia"/>
          <w:b/>
          <w:bCs/>
          <w:sz w:val="40"/>
          <w:szCs w:val="32"/>
        </w:rPr>
      </w:pPr>
    </w:p>
    <w:p>
      <w:pPr>
        <w:ind w:firstLine="0" w:firstLineChars="0"/>
        <w:jc w:val="center"/>
        <w:rPr>
          <w:rFonts w:hint="eastAsia"/>
          <w:b/>
          <w:bCs/>
          <w:sz w:val="40"/>
          <w:szCs w:val="32"/>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1MTA2MjUyMDEzNzdlZTQ4ZTFiMzE4OGE0ZGFjOTYifQ=="/>
  </w:docVars>
  <w:rsids>
    <w:rsidRoot w:val="00551B52"/>
    <w:rsid w:val="000D7045"/>
    <w:rsid w:val="002926A4"/>
    <w:rsid w:val="002C311D"/>
    <w:rsid w:val="003502CE"/>
    <w:rsid w:val="00375039"/>
    <w:rsid w:val="003E31FD"/>
    <w:rsid w:val="00551B52"/>
    <w:rsid w:val="005634BF"/>
    <w:rsid w:val="005954F8"/>
    <w:rsid w:val="005F680B"/>
    <w:rsid w:val="008D1B97"/>
    <w:rsid w:val="009E0D58"/>
    <w:rsid w:val="00A210B1"/>
    <w:rsid w:val="00A45962"/>
    <w:rsid w:val="00B478BC"/>
    <w:rsid w:val="00CB28CD"/>
    <w:rsid w:val="00CB7467"/>
    <w:rsid w:val="00D40F6D"/>
    <w:rsid w:val="00D859D6"/>
    <w:rsid w:val="00DD165D"/>
    <w:rsid w:val="043A0D79"/>
    <w:rsid w:val="0C36440C"/>
    <w:rsid w:val="0E0E7CA5"/>
    <w:rsid w:val="10C6662A"/>
    <w:rsid w:val="19C82F75"/>
    <w:rsid w:val="2D853305"/>
    <w:rsid w:val="3B904F77"/>
    <w:rsid w:val="54F73043"/>
    <w:rsid w:val="58FF2318"/>
    <w:rsid w:val="60736D66"/>
    <w:rsid w:val="73E85AB0"/>
    <w:rsid w:val="73E8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link w:val="10"/>
    <w:qFormat/>
    <w:uiPriority w:val="0"/>
    <w:pPr>
      <w:spacing w:line="600" w:lineRule="exact"/>
      <w:ind w:firstLine="0" w:firstLineChars="0"/>
      <w:outlineLvl w:val="0"/>
    </w:pPr>
    <w:rPr>
      <w:rFonts w:eastAsia="方正小标宋简体" w:asciiTheme="majorHAnsi" w:hAnsiTheme="majorHAnsi" w:cstheme="majorBidi"/>
      <w:bCs/>
      <w:sz w:val="44"/>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qFormat/>
    <w:uiPriority w:val="99"/>
    <w:rPr>
      <w:rFonts w:eastAsia="仿宋"/>
      <w:sz w:val="18"/>
      <w:szCs w:val="18"/>
    </w:rPr>
  </w:style>
  <w:style w:type="character" w:customStyle="1" w:styleId="10">
    <w:name w:val="标题 字符"/>
    <w:basedOn w:val="8"/>
    <w:link w:val="5"/>
    <w:qFormat/>
    <w:uiPriority w:val="0"/>
    <w:rPr>
      <w:rFonts w:eastAsia="方正小标宋简体" w:asciiTheme="majorHAnsi" w:hAnsiTheme="majorHAnsi" w:cstheme="majorBidi"/>
      <w:bCs/>
      <w:sz w:val="44"/>
      <w:szCs w:val="32"/>
    </w:rPr>
  </w:style>
  <w:style w:type="character" w:customStyle="1" w:styleId="11">
    <w:name w:val="页脚 字符"/>
    <w:basedOn w:val="8"/>
    <w:link w:val="2"/>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2373</Words>
  <Characters>2388</Characters>
  <Lines>6</Lines>
  <Paragraphs>1</Paragraphs>
  <TotalTime>10</TotalTime>
  <ScaleCrop>false</ScaleCrop>
  <LinksUpToDate>false</LinksUpToDate>
  <CharactersWithSpaces>2445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2023-03-27T03:15:00Z</dcterms:created>
  <dc:creator>张帅</dc:creator>
  <cp:lastModifiedBy>微微</cp:lastModifiedBy>
  <cp:lastPrinted>2023-04-28T09:03:00Z</cp:lastPrinted>
  <dcterms:modified xsi:type="dcterms:W3CDTF">2023-05-06T09:12:49Z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5629678F92614293BF4B1FD05619DD1B_12</vt:lpwstr>
  </property>
</Properties>
</file>