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jc w:val="left"/>
        <w:rPr>
          <w:rFonts w:hint="default" w:ascii="Times New Roman" w:hAnsi="Times New Roman" w:eastAsia="黑体" w:cs="Times New Roman"/>
          <w:bCs/>
          <w:sz w:val="24"/>
          <w:szCs w:val="24"/>
        </w:rPr>
      </w:pPr>
    </w:p>
    <w:p>
      <w:pPr>
        <w:spacing w:before="100" w:beforeAutospacing="1"/>
        <w:jc w:val="left"/>
        <w:rPr>
          <w:rFonts w:hint="default" w:ascii="Times New Roman" w:hAnsi="Times New Roman" w:eastAsia="黑体" w:cs="Times New Roman"/>
          <w:bCs/>
          <w:sz w:val="24"/>
          <w:szCs w:val="24"/>
        </w:rPr>
      </w:pPr>
    </w:p>
    <w:p>
      <w:pPr>
        <w:pStyle w:val="2"/>
        <w:rPr>
          <w:rFonts w:hint="default"/>
        </w:rPr>
      </w:pPr>
    </w:p>
    <w:p>
      <w:pPr>
        <w:spacing w:before="312" w:beforeLines="100" w:after="100" w:afterAutospacing="1"/>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汕尾市林业保护发展</w:t>
      </w:r>
      <w:r>
        <w:rPr>
          <w:rFonts w:hint="eastAsia" w:ascii="Times New Roman" w:hAnsi="Times New Roman" w:eastAsia="黑体" w:cs="Times New Roman"/>
          <w:b/>
          <w:sz w:val="52"/>
          <w:szCs w:val="52"/>
          <w:lang w:eastAsia="zh-CN"/>
        </w:rPr>
        <w:t>“</w:t>
      </w:r>
      <w:r>
        <w:rPr>
          <w:rFonts w:hint="default" w:ascii="Times New Roman" w:hAnsi="Times New Roman" w:eastAsia="黑体" w:cs="Times New Roman"/>
          <w:b/>
          <w:sz w:val="52"/>
          <w:szCs w:val="52"/>
        </w:rPr>
        <w:t>十四五</w:t>
      </w:r>
      <w:r>
        <w:rPr>
          <w:rFonts w:hint="eastAsia" w:ascii="Times New Roman" w:hAnsi="Times New Roman" w:eastAsia="黑体" w:cs="Times New Roman"/>
          <w:b/>
          <w:sz w:val="52"/>
          <w:szCs w:val="52"/>
          <w:lang w:eastAsia="zh-CN"/>
        </w:rPr>
        <w:t>”</w:t>
      </w:r>
      <w:r>
        <w:rPr>
          <w:rFonts w:hint="default" w:ascii="Times New Roman" w:hAnsi="Times New Roman" w:eastAsia="黑体" w:cs="Times New Roman"/>
          <w:b/>
          <w:sz w:val="52"/>
          <w:szCs w:val="52"/>
        </w:rPr>
        <w:t>规划</w:t>
      </w:r>
    </w:p>
    <w:p>
      <w:pPr>
        <w:ind w:firstLine="560" w:firstLineChars="200"/>
        <w:rPr>
          <w:rFonts w:hint="default" w:ascii="Times New Roman" w:hAnsi="Times New Roman" w:eastAsia="仿宋_GB2312" w:cs="Times New Roman"/>
          <w:color w:val="auto"/>
          <w:sz w:val="28"/>
        </w:rPr>
      </w:pPr>
    </w:p>
    <w:p>
      <w:pPr>
        <w:pStyle w:val="2"/>
        <w:rPr>
          <w:rFonts w:hint="default"/>
        </w:rPr>
      </w:pPr>
    </w:p>
    <w:p>
      <w:pPr>
        <w:ind w:firstLine="560" w:firstLineChars="200"/>
        <w:rPr>
          <w:rFonts w:hint="default" w:ascii="Times New Roman" w:hAnsi="Times New Roman" w:eastAsia="仿宋_GB2312" w:cs="Times New Roman"/>
          <w:color w:val="auto"/>
          <w:sz w:val="28"/>
        </w:rPr>
      </w:pPr>
    </w:p>
    <w:p>
      <w:pPr>
        <w:ind w:firstLine="560" w:firstLineChars="200"/>
        <w:rPr>
          <w:rFonts w:hint="default" w:ascii="Times New Roman" w:hAnsi="Times New Roman" w:eastAsia="仿宋_GB2312" w:cs="Times New Roman"/>
          <w:color w:val="auto"/>
          <w:sz w:val="28"/>
        </w:rPr>
      </w:pPr>
    </w:p>
    <w:p>
      <w:pPr>
        <w:ind w:firstLine="560" w:firstLineChars="200"/>
        <w:rPr>
          <w:rFonts w:hint="default" w:ascii="Times New Roman" w:hAnsi="Times New Roman" w:eastAsia="仿宋_GB2312" w:cs="Times New Roman"/>
          <w:color w:val="auto"/>
          <w:sz w:val="28"/>
        </w:rPr>
      </w:pPr>
    </w:p>
    <w:p>
      <w:pPr>
        <w:ind w:firstLine="560" w:firstLineChars="200"/>
        <w:rPr>
          <w:rFonts w:hint="default" w:ascii="Times New Roman" w:hAnsi="Times New Roman" w:eastAsia="仿宋_GB2312" w:cs="Times New Roman"/>
          <w:color w:val="auto"/>
          <w:sz w:val="28"/>
        </w:rPr>
      </w:pPr>
    </w:p>
    <w:p>
      <w:pPr>
        <w:ind w:firstLine="560" w:firstLineChars="200"/>
        <w:rPr>
          <w:rFonts w:hint="default" w:ascii="Times New Roman" w:hAnsi="Times New Roman" w:eastAsia="仿宋_GB2312" w:cs="Times New Roman"/>
          <w:color w:val="auto"/>
          <w:sz w:val="28"/>
        </w:rPr>
      </w:pPr>
    </w:p>
    <w:p>
      <w:pPr>
        <w:ind w:firstLine="560" w:firstLineChars="200"/>
        <w:rPr>
          <w:rFonts w:hint="default" w:ascii="Times New Roman" w:hAnsi="Times New Roman" w:eastAsia="仿宋_GB2312" w:cs="Times New Roman"/>
          <w:color w:val="auto"/>
          <w:sz w:val="28"/>
        </w:rPr>
      </w:pPr>
    </w:p>
    <w:p>
      <w:pPr>
        <w:ind w:firstLine="560" w:firstLineChars="200"/>
        <w:rPr>
          <w:rFonts w:hint="default" w:ascii="Times New Roman" w:hAnsi="Times New Roman" w:eastAsia="仿宋_GB2312" w:cs="Times New Roman"/>
          <w:color w:val="auto"/>
          <w:sz w:val="28"/>
        </w:rPr>
      </w:pPr>
    </w:p>
    <w:p>
      <w:pPr>
        <w:ind w:firstLine="560" w:firstLineChars="200"/>
        <w:rPr>
          <w:rFonts w:hint="default" w:ascii="Times New Roman" w:hAnsi="Times New Roman" w:eastAsia="仿宋_GB2312" w:cs="Times New Roman"/>
          <w:color w:val="auto"/>
          <w:sz w:val="28"/>
        </w:rPr>
      </w:pPr>
    </w:p>
    <w:p>
      <w:pPr>
        <w:ind w:firstLine="560" w:firstLineChars="200"/>
        <w:rPr>
          <w:rFonts w:hint="default" w:ascii="Times New Roman" w:hAnsi="Times New Roman" w:eastAsia="仿宋_GB2312" w:cs="Times New Roman"/>
          <w:color w:val="auto"/>
          <w:sz w:val="28"/>
        </w:rPr>
      </w:pPr>
    </w:p>
    <w:p>
      <w:pPr>
        <w:ind w:firstLine="560" w:firstLineChars="200"/>
        <w:rPr>
          <w:rFonts w:hint="default" w:ascii="Times New Roman" w:hAnsi="Times New Roman" w:eastAsia="仿宋_GB2312" w:cs="Times New Roman"/>
          <w:color w:val="auto"/>
          <w:sz w:val="28"/>
        </w:rPr>
      </w:pPr>
    </w:p>
    <w:p>
      <w:pPr>
        <w:pStyle w:val="2"/>
        <w:rPr>
          <w:rFonts w:hint="default" w:ascii="Times New Roman" w:hAnsi="Times New Roman" w:cs="Times New Roman"/>
        </w:rPr>
      </w:pPr>
    </w:p>
    <w:p>
      <w:pPr>
        <w:jc w:val="center"/>
        <w:rPr>
          <w:rFonts w:hint="default" w:ascii="Times New Roman" w:hAnsi="Times New Roman" w:eastAsia="黑体" w:cs="Times New Roman"/>
          <w:spacing w:val="128"/>
          <w:kern w:val="0"/>
          <w:sz w:val="36"/>
          <w:szCs w:val="36"/>
        </w:rPr>
      </w:pPr>
      <w:r>
        <w:rPr>
          <w:rFonts w:hint="default" w:ascii="Times New Roman" w:hAnsi="Times New Roman" w:eastAsia="黑体" w:cs="Times New Roman"/>
          <w:spacing w:val="128"/>
          <w:kern w:val="0"/>
          <w:sz w:val="36"/>
          <w:szCs w:val="36"/>
        </w:rPr>
        <w:t>汕尾市林业局</w:t>
      </w:r>
    </w:p>
    <w:p>
      <w:pPr>
        <w:jc w:val="center"/>
        <w:rPr>
          <w:rFonts w:hint="default" w:ascii="Times New Roman" w:hAnsi="Times New Roman" w:eastAsia="黑体" w:cs="Times New Roman"/>
          <w:spacing w:val="128"/>
          <w:kern w:val="0"/>
          <w:sz w:val="36"/>
          <w:szCs w:val="36"/>
        </w:rPr>
      </w:pPr>
      <w:r>
        <w:rPr>
          <w:rFonts w:hint="default" w:ascii="Times New Roman" w:hAnsi="Times New Roman" w:eastAsia="黑体" w:cs="Times New Roman"/>
          <w:spacing w:val="128"/>
          <w:kern w:val="0"/>
          <w:sz w:val="36"/>
          <w:szCs w:val="36"/>
        </w:rPr>
        <w:t>二〇二</w:t>
      </w:r>
      <w:r>
        <w:rPr>
          <w:rFonts w:hint="eastAsia" w:ascii="Times New Roman" w:hAnsi="Times New Roman" w:eastAsia="黑体" w:cs="Times New Roman"/>
          <w:spacing w:val="128"/>
          <w:kern w:val="0"/>
          <w:sz w:val="36"/>
          <w:szCs w:val="36"/>
          <w:lang w:eastAsia="zh-CN"/>
        </w:rPr>
        <w:t>二</w:t>
      </w:r>
      <w:r>
        <w:rPr>
          <w:rFonts w:hint="default" w:ascii="Times New Roman" w:hAnsi="Times New Roman" w:eastAsia="黑体" w:cs="Times New Roman"/>
          <w:spacing w:val="128"/>
          <w:kern w:val="0"/>
          <w:sz w:val="36"/>
          <w:szCs w:val="36"/>
        </w:rPr>
        <w:t>年</w:t>
      </w:r>
      <w:r>
        <w:rPr>
          <w:rFonts w:hint="eastAsia" w:ascii="Times New Roman" w:hAnsi="Times New Roman" w:eastAsia="黑体" w:cs="Times New Roman"/>
          <w:spacing w:val="128"/>
          <w:kern w:val="0"/>
          <w:sz w:val="36"/>
          <w:szCs w:val="36"/>
          <w:lang w:val="en-US" w:eastAsia="zh-CN"/>
        </w:rPr>
        <w:t>四</w:t>
      </w:r>
      <w:r>
        <w:rPr>
          <w:rFonts w:hint="default" w:ascii="Times New Roman" w:hAnsi="Times New Roman" w:eastAsia="黑体" w:cs="Times New Roman"/>
          <w:spacing w:val="128"/>
          <w:kern w:val="0"/>
          <w:sz w:val="36"/>
          <w:szCs w:val="36"/>
        </w:rPr>
        <w:t>月</w:t>
      </w:r>
    </w:p>
    <w:p>
      <w:pPr>
        <w:pStyle w:val="3"/>
        <w:keepNext w:val="0"/>
        <w:keepLines w:val="0"/>
        <w:pageBreakBefore/>
        <w:adjustRightInd w:val="0"/>
        <w:snapToGrid w:val="0"/>
        <w:spacing w:before="0" w:after="0" w:line="360" w:lineRule="auto"/>
        <w:jc w:val="center"/>
        <w:rPr>
          <w:rFonts w:hint="default" w:ascii="Times New Roman" w:hAnsi="Times New Roman" w:eastAsia="黑体" w:cs="Times New Roman"/>
          <w:color w:val="auto"/>
          <w:sz w:val="36"/>
          <w:szCs w:val="36"/>
        </w:rPr>
        <w:sectPr>
          <w:footerReference r:id="rId3" w:type="default"/>
          <w:pgSz w:w="11906" w:h="16838"/>
          <w:pgMar w:top="1440" w:right="1797" w:bottom="1440" w:left="1797" w:header="851" w:footer="992" w:gutter="0"/>
          <w:pgNumType w:fmt="upperRoman" w:start="1"/>
          <w:cols w:space="0" w:num="1"/>
          <w:rtlGutter w:val="0"/>
          <w:docGrid w:type="lines" w:linePitch="317" w:charSpace="0"/>
        </w:sectPr>
      </w:pPr>
      <w:bookmarkStart w:id="0" w:name="_Toc30300"/>
      <w:bookmarkStart w:id="1" w:name="_Toc21406"/>
      <w:bookmarkStart w:id="2" w:name="_Toc10791"/>
      <w:bookmarkStart w:id="3" w:name="_Toc17000"/>
      <w:bookmarkStart w:id="4" w:name="_Toc9876"/>
      <w:bookmarkStart w:id="5" w:name="_Toc27716"/>
      <w:bookmarkStart w:id="6" w:name="_Toc25505"/>
    </w:p>
    <w:bookmarkEnd w:id="0"/>
    <w:bookmarkEnd w:id="1"/>
    <w:bookmarkEnd w:id="2"/>
    <w:bookmarkEnd w:id="3"/>
    <w:bookmarkEnd w:id="4"/>
    <w:bookmarkEnd w:id="5"/>
    <w:bookmarkEnd w:id="6"/>
    <w:p>
      <w:pPr>
        <w:pStyle w:val="3"/>
        <w:keepNext w:val="0"/>
        <w:keepLines w:val="0"/>
        <w:pageBreakBefore/>
        <w:adjustRightInd w:val="0"/>
        <w:snapToGrid w:val="0"/>
        <w:spacing w:before="0" w:after="0" w:line="360" w:lineRule="auto"/>
        <w:jc w:val="center"/>
        <w:rPr>
          <w:rFonts w:ascii="Times New Roman" w:hAnsi="Times New Roman" w:eastAsia="黑体" w:cs="Times New Roman"/>
          <w:color w:val="auto"/>
          <w:sz w:val="36"/>
          <w:szCs w:val="36"/>
        </w:rPr>
      </w:pPr>
      <w:bookmarkStart w:id="7" w:name="_Toc745"/>
      <w:bookmarkStart w:id="8" w:name="_Toc9770"/>
      <w:bookmarkStart w:id="9" w:name="_Toc2274"/>
      <w:bookmarkStart w:id="10" w:name="_Toc29120"/>
      <w:bookmarkStart w:id="11" w:name="_Toc20241"/>
      <w:bookmarkStart w:id="12" w:name="_Toc20870"/>
      <w:bookmarkStart w:id="13" w:name="_Toc22099"/>
      <w:bookmarkStart w:id="14" w:name="_Toc19892"/>
      <w:bookmarkStart w:id="15" w:name="_Toc17962"/>
      <w:r>
        <w:rPr>
          <w:rFonts w:ascii="Times New Roman" w:hAnsi="Times New Roman" w:eastAsia="黑体" w:cs="Times New Roman"/>
          <w:color w:val="auto"/>
          <w:sz w:val="36"/>
          <w:szCs w:val="36"/>
        </w:rPr>
        <w:t>前  言</w:t>
      </w:r>
      <w:bookmarkEnd w:id="7"/>
    </w:p>
    <w:p>
      <w:pPr>
        <w:adjustRightInd w:val="0"/>
        <w:snapToGrid w:val="0"/>
        <w:spacing w:line="360" w:lineRule="auto"/>
        <w:ind w:firstLine="600" w:firstLineChars="200"/>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林业生态建设事关经济社会可持续发展的根本性问题。</w:t>
      </w:r>
      <w:r>
        <w:rPr>
          <w:rFonts w:hint="eastAsia" w:ascii="Times New Roman" w:hAnsi="Times New Roman" w:eastAsia="仿宋_GB2312" w:cs="Times New Roman"/>
          <w:color w:val="auto"/>
          <w:sz w:val="30"/>
          <w:szCs w:val="30"/>
          <w:lang w:eastAsia="zh-CN"/>
        </w:rPr>
        <w:t>“</w:t>
      </w:r>
      <w:r>
        <w:rPr>
          <w:rFonts w:ascii="Times New Roman" w:hAnsi="Times New Roman" w:eastAsia="仿宋_GB2312" w:cs="Times New Roman"/>
          <w:color w:val="auto"/>
          <w:sz w:val="30"/>
          <w:szCs w:val="30"/>
        </w:rPr>
        <w:t>十三五</w:t>
      </w:r>
      <w:r>
        <w:rPr>
          <w:rFonts w:hint="eastAsia" w:ascii="Times New Roman" w:hAnsi="Times New Roman" w:eastAsia="仿宋_GB2312" w:cs="Times New Roman"/>
          <w:color w:val="auto"/>
          <w:sz w:val="30"/>
          <w:szCs w:val="30"/>
          <w:lang w:eastAsia="zh-CN"/>
        </w:rPr>
        <w:t>”</w:t>
      </w:r>
      <w:r>
        <w:rPr>
          <w:rFonts w:ascii="Times New Roman" w:hAnsi="Times New Roman" w:eastAsia="仿宋_GB2312" w:cs="Times New Roman"/>
          <w:color w:val="auto"/>
          <w:sz w:val="30"/>
          <w:szCs w:val="30"/>
        </w:rPr>
        <w:t>期间，党中央、国务院对生态文明建设的重视前所未有，广大人民群众对良好生态的期待前所未有，林业承担绿色发展的历史重任前所未有</w:t>
      </w:r>
      <w:r>
        <w:rPr>
          <w:rFonts w:hint="eastAsia" w:ascii="Times New Roman" w:hAnsi="Times New Roman" w:eastAsia="仿宋_GB2312" w:cs="Times New Roman"/>
          <w:color w:val="auto"/>
          <w:sz w:val="30"/>
          <w:szCs w:val="30"/>
          <w:lang w:eastAsia="zh-CN"/>
        </w:rPr>
        <w:t>。</w:t>
      </w:r>
      <w:r>
        <w:rPr>
          <w:rFonts w:ascii="Times New Roman" w:hAnsi="Times New Roman" w:eastAsia="仿宋_GB2312" w:cs="Times New Roman"/>
          <w:color w:val="auto"/>
          <w:sz w:val="30"/>
          <w:szCs w:val="30"/>
        </w:rPr>
        <w:t>保护和修复</w:t>
      </w:r>
      <w:r>
        <w:rPr>
          <w:rFonts w:hint="eastAsia" w:ascii="Times New Roman" w:hAnsi="Times New Roman" w:eastAsia="仿宋_GB2312" w:cs="Times New Roman"/>
          <w:color w:val="auto"/>
          <w:sz w:val="30"/>
          <w:szCs w:val="30"/>
          <w:lang w:eastAsia="zh-CN"/>
        </w:rPr>
        <w:t>“</w:t>
      </w:r>
      <w:r>
        <w:rPr>
          <w:rFonts w:ascii="Times New Roman" w:hAnsi="Times New Roman" w:eastAsia="仿宋_GB2312" w:cs="Times New Roman"/>
          <w:color w:val="auto"/>
          <w:sz w:val="30"/>
          <w:szCs w:val="30"/>
        </w:rPr>
        <w:t>三个系统</w:t>
      </w:r>
      <w:r>
        <w:rPr>
          <w:rFonts w:hint="eastAsia" w:ascii="Times New Roman" w:hAnsi="Times New Roman" w:eastAsia="仿宋_GB2312" w:cs="Times New Roman"/>
          <w:color w:val="auto"/>
          <w:sz w:val="30"/>
          <w:szCs w:val="30"/>
          <w:lang w:eastAsia="zh-CN"/>
        </w:rPr>
        <w:t>，</w:t>
      </w:r>
      <w:r>
        <w:rPr>
          <w:rFonts w:ascii="Times New Roman" w:hAnsi="Times New Roman" w:eastAsia="仿宋_GB2312" w:cs="Times New Roman"/>
          <w:color w:val="auto"/>
          <w:sz w:val="30"/>
          <w:szCs w:val="30"/>
        </w:rPr>
        <w:t>一个多样性</w:t>
      </w:r>
      <w:r>
        <w:rPr>
          <w:rFonts w:hint="eastAsia" w:ascii="Times New Roman" w:hAnsi="Times New Roman" w:eastAsia="仿宋_GB2312" w:cs="Times New Roman"/>
          <w:color w:val="auto"/>
          <w:sz w:val="30"/>
          <w:szCs w:val="30"/>
          <w:lang w:eastAsia="zh-CN"/>
        </w:rPr>
        <w:t>”</w:t>
      </w:r>
      <w:r>
        <w:rPr>
          <w:rFonts w:ascii="Times New Roman" w:hAnsi="Times New Roman" w:eastAsia="仿宋_GB2312" w:cs="Times New Roman"/>
          <w:color w:val="auto"/>
          <w:sz w:val="30"/>
          <w:szCs w:val="30"/>
        </w:rPr>
        <w:t>、发展生态林业、民生林业取得重大成就。汕尾市林业</w:t>
      </w:r>
      <w:r>
        <w:rPr>
          <w:rFonts w:hint="eastAsia" w:ascii="Times New Roman" w:hAnsi="Times New Roman" w:eastAsia="仿宋_GB2312" w:cs="Times New Roman"/>
          <w:color w:val="auto"/>
          <w:sz w:val="30"/>
          <w:szCs w:val="30"/>
        </w:rPr>
        <w:t>部门</w:t>
      </w:r>
      <w:r>
        <w:rPr>
          <w:rFonts w:ascii="Times New Roman" w:hAnsi="Times New Roman" w:eastAsia="仿宋_GB2312" w:cs="Times New Roman"/>
          <w:color w:val="auto"/>
          <w:sz w:val="30"/>
          <w:szCs w:val="30"/>
        </w:rPr>
        <w:t>在市委、市政府的正确领导下，以新一轮绿化广东大行动为抓手，落实责任，全力推进，基本完成了</w:t>
      </w:r>
      <w:r>
        <w:rPr>
          <w:rFonts w:hint="eastAsia" w:ascii="Times New Roman" w:hAnsi="Times New Roman" w:eastAsia="仿宋_GB2312" w:cs="Times New Roman"/>
          <w:color w:val="auto"/>
          <w:sz w:val="30"/>
          <w:szCs w:val="30"/>
          <w:lang w:eastAsia="zh-CN"/>
        </w:rPr>
        <w:t>“</w:t>
      </w:r>
      <w:r>
        <w:rPr>
          <w:rFonts w:ascii="Times New Roman" w:hAnsi="Times New Roman" w:eastAsia="仿宋_GB2312" w:cs="Times New Roman"/>
          <w:color w:val="auto"/>
          <w:sz w:val="30"/>
          <w:szCs w:val="30"/>
        </w:rPr>
        <w:t>十三五</w:t>
      </w:r>
      <w:r>
        <w:rPr>
          <w:rFonts w:hint="eastAsia" w:ascii="Times New Roman" w:hAnsi="Times New Roman" w:eastAsia="仿宋_GB2312" w:cs="Times New Roman"/>
          <w:color w:val="auto"/>
          <w:sz w:val="30"/>
          <w:szCs w:val="30"/>
          <w:lang w:eastAsia="zh-CN"/>
        </w:rPr>
        <w:t>”</w:t>
      </w:r>
      <w:r>
        <w:rPr>
          <w:rFonts w:ascii="Times New Roman" w:hAnsi="Times New Roman" w:eastAsia="仿宋_GB2312" w:cs="Times New Roman"/>
          <w:color w:val="auto"/>
          <w:sz w:val="30"/>
          <w:szCs w:val="30"/>
        </w:rPr>
        <w:t>规划各项任务，为</w:t>
      </w:r>
      <w:r>
        <w:rPr>
          <w:rFonts w:hint="eastAsia" w:ascii="Times New Roman" w:hAnsi="Times New Roman" w:eastAsia="仿宋_GB2312" w:cs="Times New Roman"/>
          <w:color w:val="auto"/>
          <w:sz w:val="30"/>
          <w:szCs w:val="30"/>
          <w:lang w:eastAsia="zh-CN"/>
        </w:rPr>
        <w:t>“</w:t>
      </w:r>
      <w:r>
        <w:rPr>
          <w:rFonts w:ascii="Times New Roman" w:hAnsi="Times New Roman" w:eastAsia="仿宋_GB2312" w:cs="Times New Roman"/>
          <w:color w:val="auto"/>
          <w:sz w:val="30"/>
          <w:szCs w:val="30"/>
        </w:rPr>
        <w:t>十四五</w:t>
      </w:r>
      <w:r>
        <w:rPr>
          <w:rFonts w:hint="eastAsia" w:ascii="Times New Roman" w:hAnsi="Times New Roman" w:eastAsia="仿宋_GB2312" w:cs="Times New Roman"/>
          <w:color w:val="auto"/>
          <w:sz w:val="30"/>
          <w:szCs w:val="30"/>
          <w:lang w:eastAsia="zh-CN"/>
        </w:rPr>
        <w:t>”</w:t>
      </w:r>
      <w:r>
        <w:rPr>
          <w:rFonts w:ascii="Times New Roman" w:hAnsi="Times New Roman" w:eastAsia="仿宋_GB2312" w:cs="Times New Roman"/>
          <w:color w:val="auto"/>
          <w:sz w:val="30"/>
          <w:szCs w:val="30"/>
        </w:rPr>
        <w:t>时期林业</w:t>
      </w:r>
      <w:r>
        <w:rPr>
          <w:rFonts w:hint="eastAsia" w:ascii="Times New Roman" w:hAnsi="Times New Roman" w:eastAsia="仿宋_GB2312" w:cs="Times New Roman"/>
          <w:color w:val="auto"/>
          <w:sz w:val="30"/>
          <w:szCs w:val="30"/>
        </w:rPr>
        <w:t>保护</w:t>
      </w:r>
      <w:r>
        <w:rPr>
          <w:rFonts w:ascii="Times New Roman" w:hAnsi="Times New Roman" w:eastAsia="仿宋_GB2312" w:cs="Times New Roman"/>
          <w:color w:val="auto"/>
          <w:sz w:val="30"/>
          <w:szCs w:val="30"/>
        </w:rPr>
        <w:t>发展奠定了坚实基础。</w:t>
      </w:r>
    </w:p>
    <w:p>
      <w:pPr>
        <w:adjustRightInd w:val="0"/>
        <w:snapToGrid w:val="0"/>
        <w:spacing w:line="360" w:lineRule="auto"/>
        <w:ind w:firstLine="600" w:firstLineChars="200"/>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lang w:eastAsia="zh-CN"/>
        </w:rPr>
        <w:t>“</w:t>
      </w:r>
      <w:r>
        <w:rPr>
          <w:rFonts w:ascii="Times New Roman" w:hAnsi="Times New Roman" w:eastAsia="仿宋_GB2312" w:cs="Times New Roman"/>
          <w:color w:val="auto"/>
          <w:sz w:val="30"/>
          <w:szCs w:val="30"/>
        </w:rPr>
        <w:t>十四五</w:t>
      </w:r>
      <w:r>
        <w:rPr>
          <w:rFonts w:hint="eastAsia" w:ascii="Times New Roman" w:hAnsi="Times New Roman" w:eastAsia="仿宋_GB2312" w:cs="Times New Roman"/>
          <w:color w:val="auto"/>
          <w:sz w:val="30"/>
          <w:szCs w:val="30"/>
          <w:lang w:eastAsia="zh-CN"/>
        </w:rPr>
        <w:t>”</w:t>
      </w:r>
      <w:r>
        <w:rPr>
          <w:rFonts w:ascii="Times New Roman" w:hAnsi="Times New Roman" w:eastAsia="仿宋_GB2312" w:cs="Times New Roman"/>
          <w:color w:val="auto"/>
          <w:sz w:val="30"/>
          <w:szCs w:val="30"/>
        </w:rPr>
        <w:t>时期是我国全面建成小康社会、实现第一个百年奋斗目标之后，乘势而上开启全面建设社会主义现代化国家新征程、向第二个百年奋斗目标进军的第一个五年。习近平总书记指出，用五年规划引领经济社会发展，是我们党治国理政的一个重要方式。汕尾市林业</w:t>
      </w:r>
      <w:r>
        <w:rPr>
          <w:rFonts w:hint="eastAsia" w:ascii="Times New Roman" w:hAnsi="Times New Roman" w:eastAsia="仿宋_GB2312" w:cs="Times New Roman"/>
          <w:color w:val="auto"/>
          <w:sz w:val="30"/>
          <w:szCs w:val="30"/>
        </w:rPr>
        <w:t>部门</w:t>
      </w:r>
      <w:r>
        <w:rPr>
          <w:rFonts w:ascii="Times New Roman" w:hAnsi="Times New Roman" w:eastAsia="仿宋_GB2312" w:cs="Times New Roman"/>
          <w:color w:val="auto"/>
          <w:sz w:val="30"/>
          <w:szCs w:val="30"/>
        </w:rPr>
        <w:t>牢记使命，依托山、水、林、田、湖</w:t>
      </w:r>
      <w:r>
        <w:rPr>
          <w:rFonts w:hint="eastAsia" w:ascii="Times New Roman" w:hAnsi="Times New Roman" w:eastAsia="仿宋_GB2312" w:cs="Times New Roman"/>
          <w:color w:val="auto"/>
          <w:sz w:val="30"/>
          <w:szCs w:val="30"/>
        </w:rPr>
        <w:t>、草、沙</w:t>
      </w:r>
      <w:r>
        <w:rPr>
          <w:rFonts w:ascii="Times New Roman" w:hAnsi="Times New Roman" w:eastAsia="仿宋_GB2312" w:cs="Times New Roman"/>
          <w:color w:val="auto"/>
          <w:sz w:val="30"/>
          <w:szCs w:val="30"/>
        </w:rPr>
        <w:t>自然生态条件，加快推进和实施林业生态保护修复、沿海防护林建设、湿地保护与恢复、自然保护地整合优化、野生动植物保护、林业有害生物防治、森林火灾防控等一大批重大林业生态保护与修复工程</w:t>
      </w:r>
      <w:r>
        <w:rPr>
          <w:rFonts w:hint="eastAsia" w:ascii="Times New Roman" w:hAnsi="Times New Roman" w:eastAsia="仿宋_GB2312" w:cs="Times New Roman"/>
          <w:color w:val="auto"/>
          <w:sz w:val="30"/>
          <w:szCs w:val="30"/>
          <w:lang w:eastAsia="zh-CN"/>
        </w:rPr>
        <w:t>。</w:t>
      </w:r>
      <w:r>
        <w:rPr>
          <w:rFonts w:ascii="Times New Roman" w:hAnsi="Times New Roman" w:eastAsia="仿宋_GB2312" w:cs="Times New Roman"/>
          <w:color w:val="auto"/>
          <w:sz w:val="30"/>
          <w:szCs w:val="30"/>
        </w:rPr>
        <w:t>加强生态资源保护，推动绿化美化乡村建设</w:t>
      </w:r>
      <w:r>
        <w:rPr>
          <w:rFonts w:hint="eastAsia" w:ascii="Times New Roman" w:hAnsi="Times New Roman" w:eastAsia="仿宋_GB2312" w:cs="Times New Roman"/>
          <w:color w:val="auto"/>
          <w:sz w:val="30"/>
          <w:szCs w:val="30"/>
          <w:lang w:eastAsia="zh-CN"/>
        </w:rPr>
        <w:t>，</w:t>
      </w:r>
      <w:r>
        <w:rPr>
          <w:rFonts w:ascii="Times New Roman" w:hAnsi="Times New Roman" w:eastAsia="仿宋_GB2312" w:cs="Times New Roman"/>
          <w:color w:val="auto"/>
          <w:sz w:val="30"/>
          <w:szCs w:val="30"/>
        </w:rPr>
        <w:t>夯实生态环境基础</w:t>
      </w:r>
      <w:r>
        <w:rPr>
          <w:rFonts w:hint="eastAsia" w:ascii="Times New Roman" w:hAnsi="Times New Roman" w:eastAsia="仿宋_GB2312" w:cs="Times New Roman"/>
          <w:color w:val="auto"/>
          <w:sz w:val="30"/>
          <w:szCs w:val="30"/>
          <w:lang w:eastAsia="zh-CN"/>
        </w:rPr>
        <w:t>，</w:t>
      </w:r>
      <w:r>
        <w:rPr>
          <w:rFonts w:ascii="Times New Roman" w:hAnsi="Times New Roman" w:eastAsia="仿宋_GB2312" w:cs="Times New Roman"/>
          <w:color w:val="auto"/>
          <w:sz w:val="30"/>
          <w:szCs w:val="30"/>
        </w:rPr>
        <w:t>以良好的生态环境和自然禀赋促进汕尾林业与经济社会的协调发展。</w:t>
      </w:r>
      <w:r>
        <w:rPr>
          <w:rFonts w:hint="eastAsia" w:ascii="Times New Roman" w:hAnsi="Times New Roman" w:eastAsia="仿宋_GB2312" w:cs="Times New Roman"/>
          <w:color w:val="auto"/>
          <w:sz w:val="30"/>
          <w:szCs w:val="30"/>
          <w:lang w:eastAsia="zh-CN"/>
        </w:rPr>
        <w:t>“</w:t>
      </w:r>
      <w:r>
        <w:rPr>
          <w:rFonts w:hint="eastAsia" w:ascii="Times New Roman" w:hAnsi="Times New Roman" w:eastAsia="仿宋_GB2312" w:cs="Times New Roman"/>
          <w:color w:val="auto"/>
          <w:sz w:val="30"/>
          <w:szCs w:val="30"/>
        </w:rPr>
        <w:t>十三五</w:t>
      </w:r>
      <w:r>
        <w:rPr>
          <w:rFonts w:hint="eastAsia" w:ascii="Times New Roman" w:hAnsi="Times New Roman" w:eastAsia="仿宋_GB2312" w:cs="Times New Roman"/>
          <w:color w:val="auto"/>
          <w:sz w:val="30"/>
          <w:szCs w:val="30"/>
          <w:lang w:eastAsia="zh-CN"/>
        </w:rPr>
        <w:t>”</w:t>
      </w:r>
      <w:r>
        <w:rPr>
          <w:rFonts w:hint="eastAsia" w:ascii="Times New Roman" w:hAnsi="Times New Roman" w:eastAsia="仿宋_GB2312" w:cs="Times New Roman"/>
          <w:color w:val="auto"/>
          <w:sz w:val="30"/>
          <w:szCs w:val="30"/>
        </w:rPr>
        <w:t>期间，</w:t>
      </w:r>
      <w:r>
        <w:rPr>
          <w:rFonts w:ascii="Times New Roman" w:hAnsi="Times New Roman" w:eastAsia="仿宋_GB2312" w:cs="Times New Roman"/>
          <w:color w:val="auto"/>
          <w:sz w:val="30"/>
          <w:szCs w:val="30"/>
        </w:rPr>
        <w:t>汕尾在全面构筑人与自然和谐统一的宜居生态环境上取得</w:t>
      </w:r>
      <w:r>
        <w:rPr>
          <w:rFonts w:hint="eastAsia" w:ascii="Times New Roman" w:hAnsi="Times New Roman" w:eastAsia="仿宋_GB2312" w:cs="Times New Roman"/>
          <w:color w:val="auto"/>
          <w:sz w:val="30"/>
          <w:szCs w:val="30"/>
        </w:rPr>
        <w:t>了</w:t>
      </w:r>
      <w:r>
        <w:rPr>
          <w:rFonts w:ascii="Times New Roman" w:hAnsi="Times New Roman" w:eastAsia="仿宋_GB2312" w:cs="Times New Roman"/>
          <w:color w:val="auto"/>
          <w:sz w:val="30"/>
          <w:szCs w:val="30"/>
        </w:rPr>
        <w:t>重大进展</w:t>
      </w:r>
      <w:r>
        <w:rPr>
          <w:rFonts w:hint="eastAsia" w:ascii="Times New Roman" w:hAnsi="Times New Roman" w:eastAsia="仿宋_GB2312" w:cs="Times New Roman"/>
          <w:color w:val="auto"/>
          <w:sz w:val="30"/>
          <w:szCs w:val="30"/>
          <w:lang w:eastAsia="zh-CN"/>
        </w:rPr>
        <w:t>，</w:t>
      </w:r>
      <w:r>
        <w:rPr>
          <w:rFonts w:hint="eastAsia" w:ascii="Times New Roman" w:hAnsi="Times New Roman" w:eastAsia="仿宋_GB2312" w:cs="Times New Roman"/>
          <w:color w:val="auto"/>
          <w:sz w:val="30"/>
          <w:szCs w:val="30"/>
        </w:rPr>
        <w:t>展望</w:t>
      </w:r>
      <w:r>
        <w:rPr>
          <w:rFonts w:hint="eastAsia" w:ascii="Times New Roman" w:hAnsi="Times New Roman" w:eastAsia="仿宋_GB2312" w:cs="Times New Roman"/>
          <w:color w:val="auto"/>
          <w:sz w:val="30"/>
          <w:szCs w:val="30"/>
          <w:lang w:eastAsia="zh-CN"/>
        </w:rPr>
        <w:t>“</w:t>
      </w:r>
      <w:r>
        <w:rPr>
          <w:rFonts w:hint="eastAsia" w:ascii="Times New Roman" w:hAnsi="Times New Roman" w:eastAsia="仿宋_GB2312" w:cs="Times New Roman"/>
          <w:color w:val="auto"/>
          <w:sz w:val="30"/>
          <w:szCs w:val="30"/>
        </w:rPr>
        <w:t>十四五</w:t>
      </w:r>
      <w:r>
        <w:rPr>
          <w:rFonts w:hint="eastAsia" w:ascii="Times New Roman" w:hAnsi="Times New Roman" w:eastAsia="仿宋_GB2312" w:cs="Times New Roman"/>
          <w:color w:val="auto"/>
          <w:sz w:val="30"/>
          <w:szCs w:val="30"/>
          <w:lang w:eastAsia="zh-CN"/>
        </w:rPr>
        <w:t>”</w:t>
      </w:r>
      <w:r>
        <w:rPr>
          <w:rFonts w:hint="eastAsia" w:ascii="Times New Roman" w:hAnsi="Times New Roman" w:eastAsia="仿宋_GB2312" w:cs="Times New Roman"/>
          <w:color w:val="auto"/>
          <w:sz w:val="30"/>
          <w:szCs w:val="30"/>
        </w:rPr>
        <w:t>，</w:t>
      </w:r>
      <w:r>
        <w:rPr>
          <w:rFonts w:ascii="Times New Roman" w:hAnsi="Times New Roman" w:eastAsia="仿宋_GB2312" w:cs="Times New Roman"/>
          <w:color w:val="auto"/>
          <w:sz w:val="30"/>
          <w:szCs w:val="30"/>
        </w:rPr>
        <w:t>汕尾站在新起点，肩负新使命，迎接新挑战，继续坚持高标准，力争高效能，开创林业</w:t>
      </w:r>
      <w:r>
        <w:rPr>
          <w:rFonts w:hint="eastAsia" w:ascii="Times New Roman" w:hAnsi="Times New Roman" w:eastAsia="仿宋_GB2312" w:cs="Times New Roman"/>
          <w:color w:val="auto"/>
          <w:sz w:val="30"/>
          <w:szCs w:val="30"/>
        </w:rPr>
        <w:t>保护</w:t>
      </w:r>
      <w:r>
        <w:rPr>
          <w:rFonts w:ascii="Times New Roman" w:hAnsi="Times New Roman" w:eastAsia="仿宋_GB2312" w:cs="Times New Roman"/>
          <w:color w:val="auto"/>
          <w:sz w:val="30"/>
          <w:szCs w:val="30"/>
        </w:rPr>
        <w:t>发展新局面，推动汕尾林业进入现代化建设新阶段。</w:t>
      </w:r>
    </w:p>
    <w:p>
      <w:pPr>
        <w:keepNext w:val="0"/>
        <w:keepLines w:val="0"/>
        <w:pageBreakBefore w:val="0"/>
        <w:widowControl w:val="0"/>
        <w:kinsoku/>
        <w:wordWrap/>
        <w:overflowPunct/>
        <w:topLinePunct w:val="0"/>
        <w:autoSpaceDE/>
        <w:autoSpaceDN/>
        <w:bidi w:val="0"/>
        <w:adjustRightInd w:val="0"/>
        <w:snapToGrid w:val="0"/>
        <w:spacing w:line="360" w:lineRule="auto"/>
        <w:ind w:firstLine="536" w:firstLineChars="200"/>
        <w:textAlignment w:val="auto"/>
        <w:rPr>
          <w:rFonts w:hint="eastAsia" w:ascii="Times New Roman" w:hAnsi="Times New Roman" w:eastAsia="仿宋_GB2312" w:cs="Times New Roman"/>
          <w:color w:val="auto"/>
          <w:sz w:val="30"/>
          <w:szCs w:val="30"/>
          <w:lang w:eastAsia="zh-CN"/>
        </w:rPr>
      </w:pPr>
      <w:r>
        <w:rPr>
          <w:rFonts w:hint="eastAsia" w:ascii="仿宋_GB2312" w:hAnsi="仿宋_GB2312" w:eastAsia="仿宋_GB2312" w:cs="仿宋_GB2312"/>
          <w:spacing w:val="-16"/>
          <w:sz w:val="30"/>
          <w:szCs w:val="30"/>
        </w:rPr>
        <w:t>按照汕尾市委、市政府的部署和要求，市</w:t>
      </w:r>
      <w:r>
        <w:rPr>
          <w:rFonts w:hint="eastAsia" w:ascii="仿宋_GB2312" w:hAnsi="仿宋_GB2312" w:eastAsia="仿宋_GB2312" w:cs="仿宋_GB2312"/>
          <w:spacing w:val="-16"/>
          <w:sz w:val="30"/>
          <w:szCs w:val="30"/>
          <w:lang w:eastAsia="zh-CN"/>
        </w:rPr>
        <w:t>林业</w:t>
      </w:r>
      <w:r>
        <w:rPr>
          <w:rFonts w:hint="eastAsia" w:ascii="仿宋_GB2312" w:hAnsi="仿宋_GB2312" w:eastAsia="仿宋_GB2312" w:cs="仿宋_GB2312"/>
          <w:spacing w:val="-16"/>
          <w:sz w:val="30"/>
          <w:szCs w:val="30"/>
        </w:rPr>
        <w:t xml:space="preserve">局于 </w:t>
      </w:r>
      <w:r>
        <w:rPr>
          <w:rFonts w:hint="eastAsia" w:ascii="仿宋_GB2312" w:hAnsi="仿宋_GB2312" w:eastAsia="仿宋_GB2312" w:cs="仿宋_GB2312"/>
          <w:sz w:val="30"/>
          <w:szCs w:val="30"/>
        </w:rPr>
        <w:t>2020</w:t>
      </w:r>
      <w:r>
        <w:rPr>
          <w:rFonts w:hint="eastAsia" w:ascii="仿宋_GB2312" w:hAnsi="仿宋_GB2312" w:eastAsia="仿宋_GB2312" w:cs="仿宋_GB2312"/>
          <w:spacing w:val="-42"/>
          <w:sz w:val="30"/>
          <w:szCs w:val="30"/>
        </w:rPr>
        <w:t xml:space="preserve">年 </w:t>
      </w:r>
      <w:r>
        <w:rPr>
          <w:rFonts w:hint="eastAsia" w:ascii="仿宋_GB2312" w:hAnsi="仿宋_GB2312" w:eastAsia="仿宋_GB2312" w:cs="仿宋_GB2312"/>
          <w:sz w:val="30"/>
          <w:szCs w:val="30"/>
        </w:rPr>
        <w:t>9</w:t>
      </w:r>
      <w:r>
        <w:rPr>
          <w:rFonts w:hint="eastAsia" w:ascii="仿宋_GB2312" w:hAnsi="仿宋_GB2312" w:eastAsia="仿宋_GB2312" w:cs="仿宋_GB2312"/>
          <w:spacing w:val="-18"/>
          <w:w w:val="95"/>
          <w:sz w:val="30"/>
          <w:szCs w:val="30"/>
        </w:rPr>
        <w:t>月正式启动《</w:t>
      </w:r>
      <w:r>
        <w:rPr>
          <w:rFonts w:hint="eastAsia" w:ascii="仿宋_GB2312" w:hAnsi="仿宋_GB2312" w:eastAsia="仿宋_GB2312" w:cs="仿宋_GB2312"/>
          <w:b w:val="0"/>
          <w:bCs w:val="0"/>
          <w:sz w:val="30"/>
          <w:szCs w:val="30"/>
          <w:lang w:val="en-US" w:eastAsia="zh-CN"/>
        </w:rPr>
        <w:t>汕尾市林业保护发展“十四五”规划</w:t>
      </w:r>
      <w:r>
        <w:rPr>
          <w:rFonts w:hint="eastAsia" w:ascii="仿宋_GB2312" w:hAnsi="仿宋_GB2312" w:eastAsia="仿宋_GB2312" w:cs="仿宋_GB2312"/>
          <w:spacing w:val="-74"/>
          <w:w w:val="95"/>
          <w:sz w:val="30"/>
          <w:szCs w:val="30"/>
        </w:rPr>
        <w:t>》</w:t>
      </w:r>
      <w:r>
        <w:rPr>
          <w:rFonts w:hint="eastAsia" w:ascii="仿宋_GB2312" w:hAnsi="仿宋_GB2312" w:eastAsia="仿宋_GB2312" w:cs="仿宋_GB2312"/>
          <w:spacing w:val="-8"/>
          <w:w w:val="95"/>
          <w:sz w:val="30"/>
          <w:szCs w:val="30"/>
        </w:rPr>
        <w:t>（</w:t>
      </w:r>
      <w:r>
        <w:rPr>
          <w:rFonts w:hint="eastAsia" w:ascii="仿宋_GB2312" w:hAnsi="仿宋_GB2312" w:eastAsia="仿宋_GB2312" w:cs="仿宋_GB2312"/>
          <w:spacing w:val="-34"/>
          <w:w w:val="95"/>
          <w:sz w:val="30"/>
          <w:szCs w:val="30"/>
        </w:rPr>
        <w:t>以下简称</w:t>
      </w:r>
      <w:r>
        <w:rPr>
          <w:rFonts w:hint="eastAsia" w:ascii="仿宋_GB2312" w:hAnsi="仿宋_GB2312" w:eastAsia="仿宋_GB2312" w:cs="仿宋_GB2312"/>
          <w:color w:val="auto"/>
          <w:sz w:val="30"/>
          <w:szCs w:val="30"/>
        </w:rPr>
        <w:t>《规划》</w:t>
      </w:r>
      <w:r>
        <w:rPr>
          <w:rFonts w:hint="eastAsia" w:ascii="仿宋_GB2312" w:hAnsi="仿宋_GB2312" w:eastAsia="仿宋_GB2312" w:cs="仿宋_GB2312"/>
          <w:w w:val="95"/>
          <w:sz w:val="30"/>
          <w:szCs w:val="30"/>
        </w:rPr>
        <w:t>）</w:t>
      </w:r>
      <w:r>
        <w:rPr>
          <w:rFonts w:hint="eastAsia" w:ascii="仿宋_GB2312" w:hAnsi="仿宋_GB2312" w:eastAsia="仿宋_GB2312" w:cs="仿宋_GB2312"/>
          <w:spacing w:val="-12"/>
          <w:sz w:val="30"/>
          <w:szCs w:val="30"/>
        </w:rPr>
        <w:t>编制工作。</w:t>
      </w:r>
      <w:r>
        <w:rPr>
          <w:rFonts w:hint="eastAsia" w:ascii="仿宋_GB2312" w:hAnsi="仿宋_GB2312" w:eastAsia="仿宋_GB2312" w:cs="仿宋_GB2312"/>
          <w:color w:val="auto"/>
          <w:sz w:val="30"/>
          <w:szCs w:val="30"/>
        </w:rPr>
        <w:t>在《规划》编制过程中，</w:t>
      </w:r>
      <w:r>
        <w:rPr>
          <w:rFonts w:hint="eastAsia" w:ascii="仿宋_GB2312" w:hAnsi="仿宋_GB2312" w:eastAsia="仿宋_GB2312" w:cs="仿宋_GB2312"/>
          <w:color w:val="auto"/>
          <w:sz w:val="30"/>
          <w:szCs w:val="30"/>
          <w:lang w:eastAsia="zh-CN"/>
        </w:rPr>
        <w:t>市林业局会同编制单位</w:t>
      </w:r>
      <w:r>
        <w:rPr>
          <w:rFonts w:hint="eastAsia" w:ascii="仿宋_GB2312" w:hAnsi="仿宋_GB2312" w:eastAsia="仿宋_GB2312" w:cs="仿宋_GB2312"/>
          <w:color w:val="auto"/>
          <w:sz w:val="30"/>
          <w:szCs w:val="30"/>
        </w:rPr>
        <w:t>开展</w:t>
      </w:r>
      <w:r>
        <w:rPr>
          <w:rFonts w:hint="eastAsia" w:ascii="仿宋_GB2312" w:hAnsi="仿宋_GB2312" w:eastAsia="仿宋_GB2312" w:cs="仿宋_GB2312"/>
          <w:color w:val="auto"/>
          <w:sz w:val="30"/>
          <w:szCs w:val="30"/>
          <w:lang w:eastAsia="zh-CN"/>
        </w:rPr>
        <w:t>实地</w:t>
      </w:r>
      <w:r>
        <w:rPr>
          <w:rFonts w:hint="eastAsia" w:ascii="仿宋_GB2312" w:hAnsi="仿宋_GB2312" w:eastAsia="仿宋_GB2312" w:cs="仿宋_GB2312"/>
          <w:color w:val="auto"/>
          <w:sz w:val="30"/>
          <w:szCs w:val="30"/>
        </w:rPr>
        <w:t>调研</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广泛征求</w:t>
      </w:r>
      <w:r>
        <w:rPr>
          <w:rFonts w:hint="eastAsia" w:ascii="仿宋_GB2312" w:hAnsi="仿宋_GB2312" w:eastAsia="仿宋_GB2312" w:cs="仿宋_GB2312"/>
          <w:color w:val="auto"/>
          <w:sz w:val="30"/>
          <w:szCs w:val="30"/>
          <w:lang w:eastAsia="zh-CN"/>
        </w:rPr>
        <w:t>各县（市、区）人民政府、市直有关部门、</w:t>
      </w:r>
      <w:r>
        <w:rPr>
          <w:rFonts w:hint="eastAsia" w:ascii="仿宋_GB2312" w:hAnsi="仿宋_GB2312" w:eastAsia="仿宋_GB2312" w:cs="仿宋_GB2312"/>
          <w:color w:val="auto"/>
          <w:sz w:val="30"/>
          <w:szCs w:val="30"/>
        </w:rPr>
        <w:t>省级自然保护区的意见</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召开专家咨询会和研讨会，听取各位专家和学者的意见和建议</w:t>
      </w:r>
      <w:r>
        <w:rPr>
          <w:rFonts w:hint="eastAsia" w:ascii="仿宋_GB2312" w:hAnsi="仿宋_GB2312" w:eastAsia="仿宋_GB2312" w:cs="仿宋_GB2312"/>
          <w:color w:val="auto"/>
          <w:sz w:val="30"/>
          <w:szCs w:val="30"/>
          <w:lang w:val="en-US" w:eastAsia="zh-CN"/>
        </w:rPr>
        <w:t>;面向社会公开，征集了社会公众的意见和建议</w:t>
      </w:r>
      <w:r>
        <w:rPr>
          <w:rFonts w:hint="eastAsia" w:ascii="仿宋_GB2312" w:hAnsi="仿宋_GB2312" w:eastAsia="仿宋_GB2312" w:cs="仿宋_GB2312"/>
          <w:spacing w:val="-74"/>
          <w:w w:val="95"/>
          <w:sz w:val="30"/>
          <w:szCs w:val="30"/>
          <w:lang w:eastAsia="zh-CN"/>
        </w:rPr>
        <w:t>，</w:t>
      </w:r>
      <w:r>
        <w:rPr>
          <w:rFonts w:hint="eastAsia" w:ascii="仿宋_GB2312" w:hAnsi="仿宋_GB2312" w:eastAsia="仿宋_GB2312" w:cs="仿宋_GB2312"/>
          <w:color w:val="auto"/>
          <w:sz w:val="30"/>
          <w:szCs w:val="30"/>
          <w:lang w:eastAsia="zh-CN"/>
        </w:rPr>
        <w:t>经市司法局合法性审查，提交市政府常务会议研究审议通过，向市委报告后印发。</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仿宋_GB2312" w:cs="Times New Roman"/>
          <w:color w:val="auto"/>
          <w:sz w:val="32"/>
          <w:szCs w:val="32"/>
        </w:rPr>
      </w:pPr>
    </w:p>
    <w:p>
      <w:pPr>
        <w:pStyle w:val="3"/>
        <w:keepNext w:val="0"/>
        <w:keepLines w:val="0"/>
        <w:pageBreakBefore/>
        <w:adjustRightInd w:val="0"/>
        <w:snapToGrid w:val="0"/>
        <w:spacing w:before="0" w:after="0" w:line="360" w:lineRule="auto"/>
        <w:jc w:val="center"/>
        <w:rPr>
          <w:rFonts w:hint="default" w:ascii="Times New Roman" w:hAnsi="Times New Roman" w:eastAsia="黑体" w:cs="Times New Roman"/>
          <w:color w:val="auto"/>
          <w:sz w:val="36"/>
          <w:szCs w:val="36"/>
        </w:rPr>
      </w:pPr>
      <w:bookmarkStart w:id="16" w:name="_Toc2579"/>
      <w:r>
        <w:rPr>
          <w:rFonts w:hint="default" w:ascii="Times New Roman" w:hAnsi="Times New Roman" w:eastAsia="黑体" w:cs="Times New Roman"/>
          <w:color w:val="auto"/>
          <w:sz w:val="36"/>
          <w:szCs w:val="36"/>
        </w:rPr>
        <w:t>目  录</w:t>
      </w:r>
      <w:bookmarkEnd w:id="8"/>
      <w:bookmarkEnd w:id="9"/>
      <w:bookmarkEnd w:id="10"/>
      <w:bookmarkEnd w:id="11"/>
      <w:bookmarkEnd w:id="12"/>
      <w:bookmarkEnd w:id="13"/>
      <w:bookmarkEnd w:id="14"/>
      <w:bookmarkEnd w:id="15"/>
      <w:bookmarkEnd w:id="16"/>
    </w:p>
    <w:p>
      <w:pPr>
        <w:pStyle w:val="2"/>
        <w:keepNext w:val="0"/>
        <w:keepLines w:val="0"/>
        <w:pageBreakBefore w:val="0"/>
        <w:widowControl w:val="0"/>
        <w:tabs>
          <w:tab w:val="right" w:leader="dot" w:pos="8312"/>
          <w:tab w:val="clear" w:pos="8296"/>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
          <w:bCs/>
          <w:sz w:val="30"/>
          <w:szCs w:val="30"/>
        </w:rPr>
      </w:pP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TOC \o "1-2" \u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b/>
          <w:bCs/>
          <w:sz w:val="30"/>
          <w:szCs w:val="30"/>
        </w:rPr>
        <w:t>第一章 发展形势</w:t>
      </w:r>
      <w:r>
        <w:rPr>
          <w:rFonts w:hint="default" w:ascii="Times New Roman" w:hAnsi="Times New Roman" w:eastAsia="仿宋_GB2312" w:cs="Times New Roman"/>
          <w:b/>
          <w:bCs/>
          <w:sz w:val="30"/>
          <w:szCs w:val="30"/>
        </w:rPr>
        <w:tab/>
      </w:r>
      <w:r>
        <w:rPr>
          <w:rFonts w:hint="default" w:ascii="Times New Roman" w:hAnsi="Times New Roman" w:eastAsia="仿宋_GB2312" w:cs="Times New Roman"/>
          <w:b/>
          <w:bCs/>
          <w:sz w:val="30"/>
          <w:szCs w:val="30"/>
        </w:rPr>
        <w:fldChar w:fldCharType="begin"/>
      </w:r>
      <w:r>
        <w:rPr>
          <w:rFonts w:hint="default" w:ascii="Times New Roman" w:hAnsi="Times New Roman" w:eastAsia="仿宋_GB2312" w:cs="Times New Roman"/>
          <w:b/>
          <w:bCs/>
          <w:sz w:val="30"/>
          <w:szCs w:val="30"/>
        </w:rPr>
        <w:instrText xml:space="preserve"> PAGEREF _Toc30756 \h </w:instrText>
      </w:r>
      <w:r>
        <w:rPr>
          <w:rFonts w:hint="default" w:ascii="Times New Roman" w:hAnsi="Times New Roman" w:eastAsia="仿宋_GB2312" w:cs="Times New Roman"/>
          <w:b/>
          <w:bCs/>
          <w:sz w:val="30"/>
          <w:szCs w:val="30"/>
        </w:rPr>
        <w:fldChar w:fldCharType="separate"/>
      </w:r>
      <w:r>
        <w:rPr>
          <w:rFonts w:hint="default" w:ascii="Times New Roman" w:hAnsi="Times New Roman" w:eastAsia="仿宋_GB2312" w:cs="Times New Roman"/>
          <w:b/>
          <w:bCs/>
          <w:sz w:val="30"/>
          <w:szCs w:val="30"/>
        </w:rPr>
        <w:t>1</w:t>
      </w:r>
      <w:r>
        <w:rPr>
          <w:rFonts w:hint="default" w:ascii="Times New Roman" w:hAnsi="Times New Roman" w:eastAsia="仿宋_GB2312" w:cs="Times New Roman"/>
          <w:b/>
          <w:bCs/>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第一节 </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十三五</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林业发展成就</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_Toc20079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第二节 发展短板</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_Toc10377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第三节 面临挑战</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_Toc2045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4</w:t>
      </w:r>
      <w:r>
        <w:rPr>
          <w:rFonts w:hint="default" w:ascii="Times New Roman" w:hAnsi="Times New Roman" w:eastAsia="仿宋_GB2312" w:cs="Times New Roman"/>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第四节 发展机遇</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_Toc21063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5</w:t>
      </w:r>
      <w:r>
        <w:rPr>
          <w:rFonts w:hint="default" w:ascii="Times New Roman" w:hAnsi="Times New Roman" w:eastAsia="仿宋_GB2312" w:cs="Times New Roman"/>
          <w:sz w:val="30"/>
          <w:szCs w:val="30"/>
        </w:rPr>
        <w:fldChar w:fldCharType="end"/>
      </w:r>
    </w:p>
    <w:p>
      <w:pPr>
        <w:pStyle w:val="2"/>
        <w:keepNext w:val="0"/>
        <w:keepLines w:val="0"/>
        <w:pageBreakBefore w:val="0"/>
        <w:widowControl w:val="0"/>
        <w:tabs>
          <w:tab w:val="right" w:leader="dot" w:pos="8312"/>
          <w:tab w:val="clear" w:pos="8296"/>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第二章 发展思路</w:t>
      </w:r>
      <w:r>
        <w:rPr>
          <w:rFonts w:hint="default" w:ascii="Times New Roman" w:hAnsi="Times New Roman" w:eastAsia="仿宋_GB2312" w:cs="Times New Roman"/>
          <w:b/>
          <w:bCs/>
          <w:sz w:val="30"/>
          <w:szCs w:val="30"/>
        </w:rPr>
        <w:tab/>
      </w:r>
      <w:r>
        <w:rPr>
          <w:rFonts w:hint="default" w:ascii="Times New Roman" w:hAnsi="Times New Roman" w:eastAsia="仿宋_GB2312" w:cs="Times New Roman"/>
          <w:b/>
          <w:bCs/>
          <w:sz w:val="30"/>
          <w:szCs w:val="30"/>
        </w:rPr>
        <w:fldChar w:fldCharType="begin"/>
      </w:r>
      <w:r>
        <w:rPr>
          <w:rFonts w:hint="default" w:ascii="Times New Roman" w:hAnsi="Times New Roman" w:eastAsia="仿宋_GB2312" w:cs="Times New Roman"/>
          <w:b/>
          <w:bCs/>
          <w:sz w:val="30"/>
          <w:szCs w:val="30"/>
        </w:rPr>
        <w:instrText xml:space="preserve"> PAGEREF _Toc25513 \h </w:instrText>
      </w:r>
      <w:r>
        <w:rPr>
          <w:rFonts w:hint="default" w:ascii="Times New Roman" w:hAnsi="Times New Roman" w:eastAsia="仿宋_GB2312" w:cs="Times New Roman"/>
          <w:b/>
          <w:bCs/>
          <w:sz w:val="30"/>
          <w:szCs w:val="30"/>
        </w:rPr>
        <w:fldChar w:fldCharType="separate"/>
      </w:r>
      <w:r>
        <w:rPr>
          <w:rFonts w:hint="default" w:ascii="Times New Roman" w:hAnsi="Times New Roman" w:eastAsia="仿宋_GB2312" w:cs="Times New Roman"/>
          <w:b/>
          <w:bCs/>
          <w:sz w:val="30"/>
          <w:szCs w:val="30"/>
        </w:rPr>
        <w:t>7</w:t>
      </w:r>
      <w:r>
        <w:rPr>
          <w:rFonts w:hint="default" w:ascii="Times New Roman" w:hAnsi="Times New Roman" w:eastAsia="仿宋_GB2312" w:cs="Times New Roman"/>
          <w:b/>
          <w:bCs/>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第一节 指导思想</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_Toc8238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7</w:t>
      </w:r>
      <w:r>
        <w:rPr>
          <w:rFonts w:hint="default" w:ascii="Times New Roman" w:hAnsi="Times New Roman" w:eastAsia="仿宋_GB2312" w:cs="Times New Roman"/>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第二节 规划依据</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_Toc5197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7</w:t>
      </w:r>
      <w:r>
        <w:rPr>
          <w:rFonts w:hint="default" w:ascii="Times New Roman" w:hAnsi="Times New Roman" w:eastAsia="仿宋_GB2312" w:cs="Times New Roman"/>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第三节 基本原则</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_Toc2006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8</w:t>
      </w:r>
      <w:r>
        <w:rPr>
          <w:rFonts w:hint="default" w:ascii="Times New Roman" w:hAnsi="Times New Roman" w:eastAsia="仿宋_GB2312" w:cs="Times New Roman"/>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第四节 发展目标</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_Toc5823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9</w:t>
      </w:r>
      <w:r>
        <w:rPr>
          <w:rFonts w:hint="default" w:ascii="Times New Roman" w:hAnsi="Times New Roman" w:eastAsia="仿宋_GB2312" w:cs="Times New Roman"/>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第五节 总体布局</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_Toc25068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10</w:t>
      </w:r>
      <w:r>
        <w:rPr>
          <w:rFonts w:hint="default" w:ascii="Times New Roman" w:hAnsi="Times New Roman" w:eastAsia="仿宋_GB2312" w:cs="Times New Roman"/>
          <w:sz w:val="30"/>
          <w:szCs w:val="30"/>
        </w:rPr>
        <w:fldChar w:fldCharType="end"/>
      </w:r>
    </w:p>
    <w:p>
      <w:pPr>
        <w:pStyle w:val="2"/>
        <w:keepNext w:val="0"/>
        <w:keepLines w:val="0"/>
        <w:pageBreakBefore w:val="0"/>
        <w:widowControl w:val="0"/>
        <w:tabs>
          <w:tab w:val="right" w:leader="dot" w:pos="8312"/>
          <w:tab w:val="clear" w:pos="8296"/>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第三章 发展任务</w:t>
      </w:r>
      <w:r>
        <w:rPr>
          <w:rFonts w:hint="default" w:ascii="Times New Roman" w:hAnsi="Times New Roman" w:eastAsia="仿宋_GB2312" w:cs="Times New Roman"/>
          <w:b/>
          <w:bCs/>
          <w:sz w:val="30"/>
          <w:szCs w:val="30"/>
        </w:rPr>
        <w:tab/>
      </w:r>
      <w:r>
        <w:rPr>
          <w:rFonts w:hint="default" w:ascii="Times New Roman" w:hAnsi="Times New Roman" w:eastAsia="仿宋_GB2312" w:cs="Times New Roman"/>
          <w:b/>
          <w:bCs/>
          <w:sz w:val="30"/>
          <w:szCs w:val="30"/>
        </w:rPr>
        <w:fldChar w:fldCharType="begin"/>
      </w:r>
      <w:r>
        <w:rPr>
          <w:rFonts w:hint="default" w:ascii="Times New Roman" w:hAnsi="Times New Roman" w:eastAsia="仿宋_GB2312" w:cs="Times New Roman"/>
          <w:b/>
          <w:bCs/>
          <w:sz w:val="30"/>
          <w:szCs w:val="30"/>
        </w:rPr>
        <w:instrText xml:space="preserve"> PAGEREF _Toc15193 \h </w:instrText>
      </w:r>
      <w:r>
        <w:rPr>
          <w:rFonts w:hint="default" w:ascii="Times New Roman" w:hAnsi="Times New Roman" w:eastAsia="仿宋_GB2312" w:cs="Times New Roman"/>
          <w:b/>
          <w:bCs/>
          <w:sz w:val="30"/>
          <w:szCs w:val="30"/>
        </w:rPr>
        <w:fldChar w:fldCharType="separate"/>
      </w:r>
      <w:r>
        <w:rPr>
          <w:rFonts w:hint="default" w:ascii="Times New Roman" w:hAnsi="Times New Roman" w:eastAsia="仿宋_GB2312" w:cs="Times New Roman"/>
          <w:b/>
          <w:bCs/>
          <w:sz w:val="30"/>
          <w:szCs w:val="30"/>
        </w:rPr>
        <w:t>12</w:t>
      </w:r>
      <w:r>
        <w:rPr>
          <w:rFonts w:hint="default" w:ascii="Times New Roman" w:hAnsi="Times New Roman" w:eastAsia="仿宋_GB2312" w:cs="Times New Roman"/>
          <w:b/>
          <w:bCs/>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第一节 提升</w:t>
      </w:r>
      <w:r>
        <w:rPr>
          <w:rFonts w:hint="default" w:ascii="Times New Roman" w:hAnsi="Times New Roman" w:eastAsia="仿宋_GB2312" w:cs="Times New Roman"/>
          <w:sz w:val="30"/>
          <w:szCs w:val="30"/>
          <w:lang w:val="en-US" w:eastAsia="zh-CN"/>
        </w:rPr>
        <w:t>林业碳中和</w:t>
      </w:r>
      <w:r>
        <w:rPr>
          <w:rFonts w:hint="default" w:ascii="Times New Roman" w:hAnsi="Times New Roman" w:eastAsia="仿宋_GB2312" w:cs="Times New Roman"/>
          <w:sz w:val="30"/>
          <w:szCs w:val="30"/>
        </w:rPr>
        <w:t>能力</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_Toc22050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12</w:t>
      </w:r>
      <w:r>
        <w:rPr>
          <w:rFonts w:hint="default" w:ascii="Times New Roman" w:hAnsi="Times New Roman" w:eastAsia="仿宋_GB2312" w:cs="Times New Roman"/>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第二节 建立高水平自然保护地体系</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_Toc18630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16</w:t>
      </w:r>
      <w:r>
        <w:rPr>
          <w:rFonts w:hint="default" w:ascii="Times New Roman" w:hAnsi="Times New Roman" w:eastAsia="仿宋_GB2312" w:cs="Times New Roman"/>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w:t>
      </w:r>
      <w:r>
        <w:rPr>
          <w:rFonts w:hint="default" w:ascii="Times New Roman" w:hAnsi="Times New Roman" w:eastAsia="仿宋_GB2312" w:cs="Times New Roman"/>
          <w:sz w:val="30"/>
          <w:szCs w:val="30"/>
          <w:lang w:val="en-US" w:eastAsia="zh-CN"/>
        </w:rPr>
        <w:t>三</w:t>
      </w:r>
      <w:r>
        <w:rPr>
          <w:rFonts w:hint="default" w:ascii="Times New Roman" w:hAnsi="Times New Roman" w:eastAsia="仿宋_GB2312" w:cs="Times New Roman"/>
          <w:sz w:val="30"/>
          <w:szCs w:val="30"/>
        </w:rPr>
        <w:t xml:space="preserve">节 </w:t>
      </w:r>
      <w:r>
        <w:rPr>
          <w:rFonts w:hint="default" w:ascii="Times New Roman" w:hAnsi="Times New Roman" w:eastAsia="仿宋_GB2312" w:cs="Times New Roman"/>
          <w:sz w:val="30"/>
          <w:szCs w:val="30"/>
          <w:lang w:val="en-US" w:eastAsia="zh-CN"/>
        </w:rPr>
        <w:t>加快</w:t>
      </w:r>
      <w:r>
        <w:rPr>
          <w:rFonts w:hint="default" w:ascii="Times New Roman" w:hAnsi="Times New Roman" w:eastAsia="仿宋_GB2312" w:cs="Times New Roman"/>
          <w:sz w:val="30"/>
          <w:szCs w:val="30"/>
        </w:rPr>
        <w:t>森林城市</w:t>
      </w:r>
      <w:r>
        <w:rPr>
          <w:rFonts w:hint="default" w:ascii="Times New Roman" w:hAnsi="Times New Roman" w:eastAsia="仿宋_GB2312" w:cs="Times New Roman"/>
          <w:sz w:val="30"/>
          <w:szCs w:val="30"/>
          <w:lang w:val="en-US" w:eastAsia="zh-CN"/>
        </w:rPr>
        <w:t>创建</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_Toc16205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18</w:t>
      </w:r>
      <w:r>
        <w:rPr>
          <w:rFonts w:hint="default" w:ascii="Times New Roman" w:hAnsi="Times New Roman" w:eastAsia="仿宋_GB2312" w:cs="Times New Roman"/>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w:t>
      </w:r>
      <w:r>
        <w:rPr>
          <w:rFonts w:hint="default" w:ascii="Times New Roman" w:hAnsi="Times New Roman" w:eastAsia="仿宋_GB2312" w:cs="Times New Roman"/>
          <w:sz w:val="30"/>
          <w:szCs w:val="30"/>
          <w:lang w:val="en-US" w:eastAsia="zh-CN"/>
        </w:rPr>
        <w:t>四</w:t>
      </w:r>
      <w:r>
        <w:rPr>
          <w:rFonts w:hint="default" w:ascii="Times New Roman" w:hAnsi="Times New Roman" w:eastAsia="仿宋_GB2312" w:cs="Times New Roman"/>
          <w:sz w:val="30"/>
          <w:szCs w:val="30"/>
        </w:rPr>
        <w:t>节 发展</w:t>
      </w:r>
      <w:r>
        <w:rPr>
          <w:rFonts w:hint="default" w:ascii="Times New Roman" w:hAnsi="Times New Roman" w:eastAsia="仿宋_GB2312" w:cs="Times New Roman"/>
          <w:sz w:val="30"/>
          <w:szCs w:val="30"/>
          <w:lang w:val="en-US" w:eastAsia="zh-CN"/>
        </w:rPr>
        <w:t>绿色富民</w:t>
      </w:r>
      <w:r>
        <w:rPr>
          <w:rFonts w:hint="default" w:ascii="Times New Roman" w:hAnsi="Times New Roman" w:eastAsia="仿宋_GB2312" w:cs="Times New Roman"/>
          <w:sz w:val="30"/>
          <w:szCs w:val="30"/>
        </w:rPr>
        <w:t>产业，助</w:t>
      </w:r>
      <w:r>
        <w:rPr>
          <w:rFonts w:hint="default" w:ascii="Times New Roman" w:hAnsi="Times New Roman" w:eastAsia="仿宋_GB2312" w:cs="Times New Roman"/>
          <w:sz w:val="30"/>
          <w:szCs w:val="30"/>
          <w:lang w:val="en-US" w:eastAsia="zh-CN"/>
        </w:rPr>
        <w:t>力</w:t>
      </w:r>
      <w:r>
        <w:rPr>
          <w:rFonts w:hint="default" w:ascii="Times New Roman" w:hAnsi="Times New Roman" w:eastAsia="仿宋_GB2312" w:cs="Times New Roman"/>
          <w:sz w:val="30"/>
          <w:szCs w:val="30"/>
        </w:rPr>
        <w:t>乡村振兴</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_Toc27151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22</w:t>
      </w:r>
      <w:r>
        <w:rPr>
          <w:rFonts w:hint="default" w:ascii="Times New Roman" w:hAnsi="Times New Roman" w:eastAsia="仿宋_GB2312" w:cs="Times New Roman"/>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w:t>
      </w:r>
      <w:r>
        <w:rPr>
          <w:rFonts w:hint="default" w:ascii="Times New Roman" w:hAnsi="Times New Roman" w:eastAsia="仿宋_GB2312" w:cs="Times New Roman"/>
          <w:sz w:val="30"/>
          <w:szCs w:val="30"/>
          <w:lang w:val="en-US" w:eastAsia="zh-CN"/>
        </w:rPr>
        <w:t>五</w:t>
      </w:r>
      <w:r>
        <w:rPr>
          <w:rFonts w:hint="default" w:ascii="Times New Roman" w:hAnsi="Times New Roman" w:eastAsia="仿宋_GB2312" w:cs="Times New Roman"/>
          <w:sz w:val="30"/>
          <w:szCs w:val="30"/>
        </w:rPr>
        <w:t xml:space="preserve">节 </w:t>
      </w:r>
      <w:r>
        <w:rPr>
          <w:rFonts w:hint="default" w:ascii="Times New Roman" w:hAnsi="Times New Roman" w:eastAsia="仿宋_GB2312" w:cs="Times New Roman"/>
          <w:sz w:val="30"/>
          <w:szCs w:val="30"/>
          <w:lang w:val="en-US" w:eastAsia="zh-CN"/>
        </w:rPr>
        <w:t>完善森林健康与安全保障体系</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_Toc4530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24</w:t>
      </w:r>
      <w:r>
        <w:rPr>
          <w:rFonts w:hint="default" w:ascii="Times New Roman" w:hAnsi="Times New Roman" w:eastAsia="仿宋_GB2312" w:cs="Times New Roman"/>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w:t>
      </w:r>
      <w:r>
        <w:rPr>
          <w:rFonts w:hint="default" w:ascii="Times New Roman" w:hAnsi="Times New Roman" w:eastAsia="仿宋_GB2312" w:cs="Times New Roman"/>
          <w:sz w:val="30"/>
          <w:szCs w:val="30"/>
          <w:lang w:val="en-US" w:eastAsia="zh-CN"/>
        </w:rPr>
        <w:t>六</w:t>
      </w:r>
      <w:r>
        <w:rPr>
          <w:rFonts w:hint="default" w:ascii="Times New Roman" w:hAnsi="Times New Roman" w:eastAsia="仿宋_GB2312" w:cs="Times New Roman"/>
          <w:sz w:val="30"/>
          <w:szCs w:val="30"/>
        </w:rPr>
        <w:t xml:space="preserve">节 </w:t>
      </w:r>
      <w:r>
        <w:rPr>
          <w:rFonts w:hint="default" w:ascii="Times New Roman" w:hAnsi="Times New Roman" w:eastAsia="仿宋_GB2312" w:cs="Times New Roman"/>
          <w:sz w:val="30"/>
          <w:szCs w:val="30"/>
          <w:lang w:val="en-US" w:eastAsia="zh-CN"/>
        </w:rPr>
        <w:t>全面</w:t>
      </w:r>
      <w:r>
        <w:rPr>
          <w:rFonts w:hint="default" w:ascii="Times New Roman" w:hAnsi="Times New Roman" w:eastAsia="仿宋_GB2312" w:cs="Times New Roman"/>
          <w:sz w:val="30"/>
          <w:szCs w:val="30"/>
        </w:rPr>
        <w:t>推行林长制，提升林业治理能力</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_Toc27202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29</w:t>
      </w:r>
      <w:r>
        <w:rPr>
          <w:rFonts w:hint="default" w:ascii="Times New Roman" w:hAnsi="Times New Roman" w:eastAsia="仿宋_GB2312" w:cs="Times New Roman"/>
          <w:sz w:val="30"/>
          <w:szCs w:val="30"/>
        </w:rPr>
        <w:fldChar w:fldCharType="end"/>
      </w:r>
    </w:p>
    <w:p>
      <w:pPr>
        <w:pStyle w:val="2"/>
        <w:keepNext w:val="0"/>
        <w:keepLines w:val="0"/>
        <w:pageBreakBefore w:val="0"/>
        <w:widowControl w:val="0"/>
        <w:tabs>
          <w:tab w:val="right" w:leader="dot" w:pos="8312"/>
          <w:tab w:val="clear" w:pos="8296"/>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第四章 重点工程</w:t>
      </w:r>
      <w:r>
        <w:rPr>
          <w:rFonts w:hint="default" w:ascii="Times New Roman" w:hAnsi="Times New Roman" w:eastAsia="仿宋_GB2312" w:cs="Times New Roman"/>
          <w:b/>
          <w:bCs/>
          <w:sz w:val="30"/>
          <w:szCs w:val="30"/>
        </w:rPr>
        <w:tab/>
      </w:r>
      <w:r>
        <w:rPr>
          <w:rFonts w:hint="default" w:ascii="Times New Roman" w:hAnsi="Times New Roman" w:eastAsia="仿宋_GB2312" w:cs="Times New Roman"/>
          <w:b/>
          <w:bCs/>
          <w:sz w:val="30"/>
          <w:szCs w:val="30"/>
        </w:rPr>
        <w:fldChar w:fldCharType="begin"/>
      </w:r>
      <w:r>
        <w:rPr>
          <w:rFonts w:hint="default" w:ascii="Times New Roman" w:hAnsi="Times New Roman" w:eastAsia="仿宋_GB2312" w:cs="Times New Roman"/>
          <w:b/>
          <w:bCs/>
          <w:sz w:val="30"/>
          <w:szCs w:val="30"/>
        </w:rPr>
        <w:instrText xml:space="preserve"> PAGEREF _Toc23705 \h </w:instrText>
      </w:r>
      <w:r>
        <w:rPr>
          <w:rFonts w:hint="default" w:ascii="Times New Roman" w:hAnsi="Times New Roman" w:eastAsia="仿宋_GB2312" w:cs="Times New Roman"/>
          <w:b/>
          <w:bCs/>
          <w:sz w:val="30"/>
          <w:szCs w:val="30"/>
        </w:rPr>
        <w:fldChar w:fldCharType="separate"/>
      </w:r>
      <w:r>
        <w:rPr>
          <w:rFonts w:hint="default" w:ascii="Times New Roman" w:hAnsi="Times New Roman" w:eastAsia="仿宋_GB2312" w:cs="Times New Roman"/>
          <w:b/>
          <w:bCs/>
          <w:sz w:val="30"/>
          <w:szCs w:val="30"/>
        </w:rPr>
        <w:t>34</w:t>
      </w:r>
      <w:r>
        <w:rPr>
          <w:rFonts w:hint="default" w:ascii="Times New Roman" w:hAnsi="Times New Roman" w:eastAsia="仿宋_GB2312" w:cs="Times New Roman"/>
          <w:b/>
          <w:bCs/>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第一节 </w:t>
      </w:r>
      <w:r>
        <w:rPr>
          <w:rFonts w:hint="default" w:ascii="Times New Roman" w:hAnsi="Times New Roman" w:eastAsia="仿宋_GB2312" w:cs="Times New Roman"/>
          <w:sz w:val="30"/>
          <w:szCs w:val="30"/>
          <w:lang w:val="en-US" w:eastAsia="zh-CN"/>
        </w:rPr>
        <w:t>森林质量精准</w:t>
      </w:r>
      <w:r>
        <w:rPr>
          <w:rFonts w:hint="default" w:ascii="Times New Roman" w:hAnsi="Times New Roman" w:eastAsia="仿宋_GB2312" w:cs="Times New Roman"/>
          <w:sz w:val="30"/>
          <w:szCs w:val="30"/>
        </w:rPr>
        <w:t>提升工程</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_Toc4652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34</w:t>
      </w:r>
      <w:r>
        <w:rPr>
          <w:rFonts w:hint="default" w:ascii="Times New Roman" w:hAnsi="Times New Roman" w:eastAsia="仿宋_GB2312" w:cs="Times New Roman"/>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w:t>
      </w:r>
      <w:r>
        <w:rPr>
          <w:rFonts w:hint="default" w:ascii="Times New Roman" w:hAnsi="Times New Roman" w:eastAsia="仿宋_GB2312" w:cs="Times New Roman"/>
          <w:sz w:val="30"/>
          <w:szCs w:val="30"/>
          <w:lang w:val="en-US" w:eastAsia="zh-CN"/>
        </w:rPr>
        <w:t>二</w:t>
      </w:r>
      <w:r>
        <w:rPr>
          <w:rFonts w:hint="default" w:ascii="Times New Roman" w:hAnsi="Times New Roman" w:eastAsia="仿宋_GB2312" w:cs="Times New Roman"/>
          <w:sz w:val="30"/>
          <w:szCs w:val="30"/>
        </w:rPr>
        <w:t>节 自然生态系统保护修复工程</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_Toc2461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35</w:t>
      </w:r>
      <w:r>
        <w:rPr>
          <w:rFonts w:hint="default" w:ascii="Times New Roman" w:hAnsi="Times New Roman" w:eastAsia="仿宋_GB2312" w:cs="Times New Roman"/>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w:t>
      </w:r>
      <w:r>
        <w:rPr>
          <w:rFonts w:hint="default" w:ascii="Times New Roman" w:hAnsi="Times New Roman" w:eastAsia="仿宋_GB2312" w:cs="Times New Roman"/>
          <w:sz w:val="30"/>
          <w:szCs w:val="30"/>
          <w:lang w:val="en-US" w:eastAsia="zh-CN"/>
        </w:rPr>
        <w:t>三</w:t>
      </w:r>
      <w:r>
        <w:rPr>
          <w:rFonts w:hint="default" w:ascii="Times New Roman" w:hAnsi="Times New Roman" w:eastAsia="仿宋_GB2312" w:cs="Times New Roman"/>
          <w:sz w:val="30"/>
          <w:szCs w:val="30"/>
        </w:rPr>
        <w:t>节 自然保护地体系完善工程</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_Toc24823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38</w:t>
      </w:r>
      <w:r>
        <w:rPr>
          <w:rFonts w:hint="default" w:ascii="Times New Roman" w:hAnsi="Times New Roman" w:eastAsia="仿宋_GB2312" w:cs="Times New Roman"/>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第四节 全域森林城市</w:t>
      </w:r>
      <w:r>
        <w:rPr>
          <w:rFonts w:hint="default" w:ascii="Times New Roman" w:hAnsi="Times New Roman" w:eastAsia="仿宋_GB2312" w:cs="Times New Roman"/>
          <w:sz w:val="30"/>
          <w:szCs w:val="30"/>
          <w:lang w:val="en-US" w:eastAsia="zh-CN"/>
        </w:rPr>
        <w:t>创建</w:t>
      </w:r>
      <w:r>
        <w:rPr>
          <w:rFonts w:hint="default" w:ascii="Times New Roman" w:hAnsi="Times New Roman" w:eastAsia="仿宋_GB2312" w:cs="Times New Roman"/>
          <w:sz w:val="30"/>
          <w:szCs w:val="30"/>
        </w:rPr>
        <w:t>工程</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_Toc20308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40</w:t>
      </w:r>
      <w:r>
        <w:rPr>
          <w:rFonts w:hint="default" w:ascii="Times New Roman" w:hAnsi="Times New Roman" w:eastAsia="仿宋_GB2312" w:cs="Times New Roman"/>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第五节 绿色富民产业发展工程</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_Toc24240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42</w:t>
      </w:r>
      <w:r>
        <w:rPr>
          <w:rFonts w:hint="default" w:ascii="Times New Roman" w:hAnsi="Times New Roman" w:eastAsia="仿宋_GB2312" w:cs="Times New Roman"/>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w:t>
      </w:r>
      <w:r>
        <w:rPr>
          <w:rFonts w:hint="default" w:ascii="Times New Roman" w:hAnsi="Times New Roman" w:eastAsia="仿宋_GB2312" w:cs="Times New Roman"/>
          <w:sz w:val="30"/>
          <w:szCs w:val="30"/>
          <w:lang w:val="en-US" w:eastAsia="zh-CN"/>
        </w:rPr>
        <w:t>六</w:t>
      </w:r>
      <w:r>
        <w:rPr>
          <w:rFonts w:hint="default" w:ascii="Times New Roman" w:hAnsi="Times New Roman" w:eastAsia="仿宋_GB2312" w:cs="Times New Roman"/>
          <w:sz w:val="30"/>
          <w:szCs w:val="30"/>
        </w:rPr>
        <w:t xml:space="preserve">节 </w:t>
      </w:r>
      <w:r>
        <w:rPr>
          <w:rFonts w:hint="default" w:ascii="Times New Roman" w:hAnsi="Times New Roman" w:eastAsia="仿宋_GB2312" w:cs="Times New Roman"/>
          <w:sz w:val="30"/>
          <w:szCs w:val="30"/>
          <w:lang w:val="en-US" w:eastAsia="zh-CN"/>
        </w:rPr>
        <w:t>林业有害生物防治</w:t>
      </w:r>
      <w:r>
        <w:rPr>
          <w:rFonts w:hint="default" w:ascii="Times New Roman" w:hAnsi="Times New Roman" w:eastAsia="仿宋_GB2312" w:cs="Times New Roman"/>
          <w:sz w:val="30"/>
          <w:szCs w:val="30"/>
        </w:rPr>
        <w:t>工程</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_Toc14904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43</w:t>
      </w:r>
      <w:r>
        <w:rPr>
          <w:rFonts w:hint="default" w:ascii="Times New Roman" w:hAnsi="Times New Roman" w:eastAsia="仿宋_GB2312" w:cs="Times New Roman"/>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 xml:space="preserve">第七节 </w:t>
      </w:r>
      <w:r>
        <w:rPr>
          <w:rFonts w:hint="default" w:ascii="Times New Roman" w:hAnsi="Times New Roman" w:eastAsia="仿宋_GB2312" w:cs="Times New Roman"/>
          <w:sz w:val="30"/>
          <w:szCs w:val="30"/>
        </w:rPr>
        <w:t>防火体系建设</w:t>
      </w:r>
      <w:r>
        <w:rPr>
          <w:rFonts w:hint="default" w:ascii="Times New Roman" w:hAnsi="Times New Roman" w:eastAsia="仿宋_GB2312" w:cs="Times New Roman"/>
          <w:sz w:val="30"/>
          <w:szCs w:val="30"/>
          <w:lang w:val="en-US" w:eastAsia="zh-CN"/>
        </w:rPr>
        <w:t>工程</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_Toc32764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45</w:t>
      </w:r>
      <w:r>
        <w:rPr>
          <w:rFonts w:hint="default" w:ascii="Times New Roman" w:hAnsi="Times New Roman" w:eastAsia="仿宋_GB2312" w:cs="Times New Roman"/>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第八节 林业治理能力与治理体系建设工程</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_Toc1543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46</w:t>
      </w:r>
      <w:r>
        <w:rPr>
          <w:rFonts w:hint="default" w:ascii="Times New Roman" w:hAnsi="Times New Roman" w:eastAsia="仿宋_GB2312" w:cs="Times New Roman"/>
          <w:sz w:val="30"/>
          <w:szCs w:val="30"/>
        </w:rPr>
        <w:fldChar w:fldCharType="end"/>
      </w:r>
    </w:p>
    <w:p>
      <w:pPr>
        <w:pStyle w:val="2"/>
        <w:keepNext w:val="0"/>
        <w:keepLines w:val="0"/>
        <w:pageBreakBefore w:val="0"/>
        <w:widowControl w:val="0"/>
        <w:tabs>
          <w:tab w:val="right" w:leader="dot" w:pos="8312"/>
          <w:tab w:val="clear" w:pos="8296"/>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第五章 保障措施</w:t>
      </w:r>
      <w:r>
        <w:rPr>
          <w:rFonts w:hint="default" w:ascii="Times New Roman" w:hAnsi="Times New Roman" w:eastAsia="仿宋_GB2312" w:cs="Times New Roman"/>
          <w:b/>
          <w:bCs/>
          <w:sz w:val="30"/>
          <w:szCs w:val="30"/>
        </w:rPr>
        <w:tab/>
      </w:r>
      <w:r>
        <w:rPr>
          <w:rFonts w:hint="default" w:ascii="Times New Roman" w:hAnsi="Times New Roman" w:eastAsia="仿宋_GB2312" w:cs="Times New Roman"/>
          <w:b/>
          <w:bCs/>
          <w:sz w:val="30"/>
          <w:szCs w:val="30"/>
        </w:rPr>
        <w:fldChar w:fldCharType="begin"/>
      </w:r>
      <w:r>
        <w:rPr>
          <w:rFonts w:hint="default" w:ascii="Times New Roman" w:hAnsi="Times New Roman" w:eastAsia="仿宋_GB2312" w:cs="Times New Roman"/>
          <w:b/>
          <w:bCs/>
          <w:sz w:val="30"/>
          <w:szCs w:val="30"/>
        </w:rPr>
        <w:instrText xml:space="preserve"> PAGEREF _Toc3214 \h </w:instrText>
      </w:r>
      <w:r>
        <w:rPr>
          <w:rFonts w:hint="default" w:ascii="Times New Roman" w:hAnsi="Times New Roman" w:eastAsia="仿宋_GB2312" w:cs="Times New Roman"/>
          <w:b/>
          <w:bCs/>
          <w:sz w:val="30"/>
          <w:szCs w:val="30"/>
        </w:rPr>
        <w:fldChar w:fldCharType="separate"/>
      </w:r>
      <w:r>
        <w:rPr>
          <w:rFonts w:hint="default" w:ascii="Times New Roman" w:hAnsi="Times New Roman" w:eastAsia="仿宋_GB2312" w:cs="Times New Roman"/>
          <w:b/>
          <w:bCs/>
          <w:sz w:val="30"/>
          <w:szCs w:val="30"/>
        </w:rPr>
        <w:t>47</w:t>
      </w:r>
      <w:r>
        <w:rPr>
          <w:rFonts w:hint="default" w:ascii="Times New Roman" w:hAnsi="Times New Roman" w:eastAsia="仿宋_GB2312" w:cs="Times New Roman"/>
          <w:b/>
          <w:bCs/>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第一节 加强组织领导</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_Toc4849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47</w:t>
      </w:r>
      <w:r>
        <w:rPr>
          <w:rFonts w:hint="default" w:ascii="Times New Roman" w:hAnsi="Times New Roman" w:eastAsia="仿宋_GB2312" w:cs="Times New Roman"/>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第二节 健全实施机制</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_Toc17937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47</w:t>
      </w:r>
      <w:r>
        <w:rPr>
          <w:rFonts w:hint="default" w:ascii="Times New Roman" w:hAnsi="Times New Roman" w:eastAsia="仿宋_GB2312" w:cs="Times New Roman"/>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第三节 强化资金保障</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_Toc23876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47</w:t>
      </w:r>
      <w:r>
        <w:rPr>
          <w:rFonts w:hint="default" w:ascii="Times New Roman" w:hAnsi="Times New Roman" w:eastAsia="仿宋_GB2312" w:cs="Times New Roman"/>
          <w:sz w:val="30"/>
          <w:szCs w:val="30"/>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第四节 鼓励全民参与</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_Toc15271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48</w:t>
      </w:r>
      <w:r>
        <w:rPr>
          <w:rFonts w:hint="default" w:ascii="Times New Roman" w:hAnsi="Times New Roman" w:eastAsia="仿宋_GB2312" w:cs="Times New Roman"/>
          <w:sz w:val="30"/>
          <w:szCs w:val="30"/>
        </w:rPr>
        <w:fldChar w:fldCharType="end"/>
      </w:r>
    </w:p>
    <w:p>
      <w:pPr>
        <w:pStyle w:val="2"/>
        <w:keepNext w:val="0"/>
        <w:keepLines w:val="0"/>
        <w:pageBreakBefore w:val="0"/>
        <w:widowControl w:val="0"/>
        <w:tabs>
          <w:tab w:val="right" w:leader="dot" w:pos="8312"/>
          <w:tab w:val="clear" w:pos="8296"/>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lang w:val="en-US" w:eastAsia="zh-CN"/>
        </w:rPr>
        <w:t>《汕尾市林业保护发展“十四五”规划》项目清单</w:t>
      </w:r>
      <w:r>
        <w:rPr>
          <w:rFonts w:hint="default" w:ascii="Times New Roman" w:hAnsi="Times New Roman" w:eastAsia="仿宋_GB2312" w:cs="Times New Roman"/>
          <w:b/>
          <w:bCs/>
          <w:sz w:val="30"/>
          <w:szCs w:val="30"/>
        </w:rPr>
        <w:tab/>
      </w:r>
      <w:r>
        <w:rPr>
          <w:rFonts w:hint="default" w:ascii="Times New Roman" w:hAnsi="Times New Roman" w:eastAsia="仿宋_GB2312" w:cs="Times New Roman"/>
          <w:b/>
          <w:bCs/>
          <w:sz w:val="30"/>
          <w:szCs w:val="30"/>
        </w:rPr>
        <w:fldChar w:fldCharType="begin"/>
      </w:r>
      <w:r>
        <w:rPr>
          <w:rFonts w:hint="default" w:ascii="Times New Roman" w:hAnsi="Times New Roman" w:eastAsia="仿宋_GB2312" w:cs="Times New Roman"/>
          <w:b/>
          <w:bCs/>
          <w:sz w:val="30"/>
          <w:szCs w:val="30"/>
        </w:rPr>
        <w:instrText xml:space="preserve"> PAGEREF _Toc21371 \h </w:instrText>
      </w:r>
      <w:r>
        <w:rPr>
          <w:rFonts w:hint="default" w:ascii="Times New Roman" w:hAnsi="Times New Roman" w:eastAsia="仿宋_GB2312" w:cs="Times New Roman"/>
          <w:b/>
          <w:bCs/>
          <w:sz w:val="30"/>
          <w:szCs w:val="30"/>
        </w:rPr>
        <w:fldChar w:fldCharType="separate"/>
      </w:r>
      <w:r>
        <w:rPr>
          <w:rFonts w:hint="default" w:ascii="Times New Roman" w:hAnsi="Times New Roman" w:eastAsia="仿宋_GB2312" w:cs="Times New Roman"/>
          <w:b/>
          <w:bCs/>
          <w:sz w:val="30"/>
          <w:szCs w:val="30"/>
        </w:rPr>
        <w:t>49</w:t>
      </w:r>
      <w:r>
        <w:rPr>
          <w:rFonts w:hint="default" w:ascii="Times New Roman" w:hAnsi="Times New Roman" w:eastAsia="仿宋_GB2312" w:cs="Times New Roman"/>
          <w:b/>
          <w:bCs/>
          <w:sz w:val="30"/>
          <w:szCs w:val="30"/>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0"/>
          <w:szCs w:val="30"/>
        </w:rPr>
      </w:pPr>
    </w:p>
    <w:p>
      <w:pPr>
        <w:adjustRightInd w:val="0"/>
        <w:snapToGrid w:val="0"/>
        <w:spacing w:line="360" w:lineRule="auto"/>
        <w:rPr>
          <w:rFonts w:hint="default" w:ascii="Times New Roman" w:hAnsi="Times New Roman" w:eastAsia="仿宋_GB2312" w:cs="Times New Roman"/>
          <w:color w:val="auto"/>
          <w:sz w:val="30"/>
          <w:szCs w:val="30"/>
        </w:rPr>
      </w:pPr>
    </w:p>
    <w:p>
      <w:pPr>
        <w:pStyle w:val="3"/>
        <w:keepNext w:val="0"/>
        <w:keepLines w:val="0"/>
        <w:pageBreakBefore/>
        <w:adjustRightInd w:val="0"/>
        <w:snapToGrid w:val="0"/>
        <w:spacing w:before="0" w:after="0" w:line="360" w:lineRule="auto"/>
        <w:rPr>
          <w:rFonts w:hint="default" w:ascii="Times New Roman" w:hAnsi="Times New Roman" w:eastAsia="黑体" w:cs="Times New Roman"/>
          <w:color w:val="auto"/>
          <w:sz w:val="36"/>
          <w:szCs w:val="36"/>
        </w:rPr>
        <w:sectPr>
          <w:footerReference r:id="rId4" w:type="default"/>
          <w:pgSz w:w="11906" w:h="16838"/>
          <w:pgMar w:top="1440" w:right="1797" w:bottom="1440" w:left="1797" w:header="851" w:footer="992" w:gutter="0"/>
          <w:pgNumType w:fmt="upperRoman" w:start="1"/>
          <w:cols w:space="0" w:num="1"/>
          <w:rtlGutter w:val="0"/>
          <w:docGrid w:type="lines" w:linePitch="317" w:charSpace="0"/>
        </w:sectPr>
      </w:pPr>
      <w:bookmarkStart w:id="17" w:name="_Toc78615434"/>
    </w:p>
    <w:p>
      <w:pPr>
        <w:keepNext w:val="0"/>
        <w:keepLines w:val="0"/>
        <w:pageBreakBefore w:val="0"/>
        <w:widowControl w:val="0"/>
        <w:kinsoku/>
        <w:wordWrap/>
        <w:overflowPunct/>
        <w:topLinePunct w:val="0"/>
        <w:autoSpaceDE/>
        <w:autoSpaceDN/>
        <w:bidi w:val="0"/>
        <w:adjustRightInd w:val="0"/>
        <w:snapToGrid w:val="0"/>
        <w:spacing w:before="312" w:beforeLines="100" w:after="312" w:afterLines="100"/>
        <w:jc w:val="center"/>
        <w:textAlignment w:val="auto"/>
        <w:outlineLvl w:val="0"/>
        <w:rPr>
          <w:rFonts w:hint="default" w:ascii="Times New Roman" w:hAnsi="Times New Roman" w:eastAsia="黑体" w:cs="Times New Roman"/>
          <w:b/>
          <w:sz w:val="32"/>
          <w:szCs w:val="30"/>
        </w:rPr>
      </w:pPr>
      <w:bookmarkStart w:id="18" w:name="_Toc30756"/>
      <w:r>
        <w:rPr>
          <w:rFonts w:hint="default" w:ascii="Times New Roman" w:hAnsi="Times New Roman" w:eastAsia="黑体" w:cs="Times New Roman"/>
          <w:b/>
          <w:sz w:val="32"/>
          <w:szCs w:val="30"/>
        </w:rPr>
        <w:t>第一章 发展形势</w:t>
      </w:r>
      <w:bookmarkEnd w:id="17"/>
      <w:bookmarkEnd w:id="18"/>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rPr>
      </w:pPr>
      <w:bookmarkStart w:id="19" w:name="_Toc20079"/>
      <w:bookmarkStart w:id="20" w:name="_Toc78615435"/>
      <w:r>
        <w:rPr>
          <w:rFonts w:hint="default" w:ascii="Times New Roman" w:hAnsi="Times New Roman" w:eastAsia="黑体" w:cs="Times New Roman"/>
          <w:sz w:val="30"/>
          <w:szCs w:val="30"/>
        </w:rPr>
        <w:t xml:space="preserve">第一节 </w:t>
      </w:r>
      <w:r>
        <w:rPr>
          <w:rFonts w:hint="eastAsia" w:ascii="Times New Roman" w:hAnsi="Times New Roman" w:eastAsia="黑体" w:cs="Times New Roman"/>
          <w:sz w:val="30"/>
          <w:szCs w:val="30"/>
          <w:lang w:eastAsia="zh-CN"/>
        </w:rPr>
        <w:t>“</w:t>
      </w:r>
      <w:r>
        <w:rPr>
          <w:rFonts w:hint="default" w:ascii="Times New Roman" w:hAnsi="Times New Roman" w:eastAsia="黑体" w:cs="Times New Roman"/>
          <w:sz w:val="30"/>
          <w:szCs w:val="30"/>
        </w:rPr>
        <w:t>十三五</w:t>
      </w:r>
      <w:r>
        <w:rPr>
          <w:rFonts w:hint="eastAsia" w:ascii="Times New Roman" w:hAnsi="Times New Roman" w:eastAsia="黑体" w:cs="Times New Roman"/>
          <w:sz w:val="30"/>
          <w:szCs w:val="30"/>
          <w:lang w:eastAsia="zh-CN"/>
        </w:rPr>
        <w:t>”</w:t>
      </w:r>
      <w:r>
        <w:rPr>
          <w:rFonts w:hint="default" w:ascii="Times New Roman" w:hAnsi="Times New Roman" w:eastAsia="黑体" w:cs="Times New Roman"/>
          <w:sz w:val="30"/>
          <w:szCs w:val="30"/>
        </w:rPr>
        <w:t>林业发展成就</w:t>
      </w:r>
      <w:bookmarkEnd w:id="19"/>
      <w:bookmarkEnd w:id="20"/>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一、推进重点工程建设，森林资源保护成效显著</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十三五</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期间，汕尾市积极推进各类营造林工程，使全市森林资源稳定健康发展。全市完成营造林任务60.49万亩，现有林地面积346.67万亩</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森林面积324.00万亩</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森林蓄积量692.96万立方米，森林覆盖率49.00%。</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全面推进森林抚育工作，完成森林抚育201.20万亩，封山育林12.98万亩，进一步提高了森林蓄积量。积极推进低效林修复工程，完成退化林分修复33.87万亩。实施生态景观林带建设工程，把造林绿化与城市扩容提质、绿道建设相结合，提升森林景观，完成生态景观林带建设176.8</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公里。完成全市889株古树名木调查建档工作。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稳步推进生态公益林建设管理工作</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顺利完成全市省级</w:t>
      </w:r>
      <w:r>
        <w:rPr>
          <w:rFonts w:hint="eastAsia" w:ascii="Times New Roman" w:hAnsi="Times New Roman" w:eastAsia="仿宋_GB2312" w:cs="Times New Roman"/>
          <w:sz w:val="30"/>
          <w:szCs w:val="30"/>
          <w:lang w:val="en-US" w:eastAsia="zh-CN"/>
        </w:rPr>
        <w:t>以上</w:t>
      </w:r>
      <w:r>
        <w:rPr>
          <w:rFonts w:hint="default" w:ascii="Times New Roman" w:hAnsi="Times New Roman" w:eastAsia="仿宋_GB2312" w:cs="Times New Roman"/>
          <w:sz w:val="30"/>
          <w:szCs w:val="30"/>
        </w:rPr>
        <w:t>生态公益林完善落界工作，全市公益林达到162.46万亩；完成拨付生态公益林省级以上财政补偿资金3</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26</w:t>
      </w:r>
      <w:r>
        <w:rPr>
          <w:rFonts w:hint="eastAsia" w:ascii="Times New Roman" w:hAnsi="Times New Roman" w:eastAsia="仿宋_GB2312" w:cs="Times New Roman"/>
          <w:sz w:val="30"/>
          <w:szCs w:val="30"/>
          <w:lang w:val="en-US" w:eastAsia="zh-CN"/>
        </w:rPr>
        <w:t>亿</w:t>
      </w:r>
      <w:r>
        <w:rPr>
          <w:rFonts w:hint="default" w:ascii="Times New Roman" w:hAnsi="Times New Roman" w:eastAsia="仿宋_GB2312" w:cs="Times New Roman"/>
          <w:sz w:val="30"/>
          <w:szCs w:val="30"/>
        </w:rPr>
        <w:t>元，</w:t>
      </w:r>
      <w:r>
        <w:rPr>
          <w:rFonts w:hint="eastAsia" w:ascii="Times New Roman" w:hAnsi="Times New Roman" w:eastAsia="仿宋_GB2312" w:cs="Times New Roman"/>
          <w:sz w:val="30"/>
          <w:szCs w:val="30"/>
          <w:lang w:val="en-US" w:eastAsia="zh-CN"/>
        </w:rPr>
        <w:t>显著</w:t>
      </w:r>
      <w:r>
        <w:rPr>
          <w:rFonts w:hint="default" w:ascii="Times New Roman" w:hAnsi="Times New Roman" w:eastAsia="仿宋_GB2312" w:cs="Times New Roman"/>
          <w:sz w:val="30"/>
          <w:szCs w:val="30"/>
        </w:rPr>
        <w:t>增加了林农收入，为打赢脱贫攻坚战作出了贡献。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加强林木采伐管理，严格执行森林采伐限额制度；加强林地保护管理，执行林地定额管理制度。</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十三五</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期间采伐林木62.35万立方米，审批使用林地面积3.77万亩。</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eastAsia" w:ascii="Times New Roman" w:hAnsi="Times New Roman" w:eastAsia="仿宋_GB2312" w:cs="Times New Roman"/>
          <w:b/>
          <w:sz w:val="30"/>
          <w:szCs w:val="30"/>
          <w:lang w:val="en-US" w:eastAsia="zh-CN"/>
        </w:rPr>
        <w:t>二</w:t>
      </w:r>
      <w:r>
        <w:rPr>
          <w:rFonts w:hint="default" w:ascii="Times New Roman" w:hAnsi="Times New Roman" w:eastAsia="仿宋_GB2312" w:cs="Times New Roman"/>
          <w:b/>
          <w:sz w:val="30"/>
          <w:szCs w:val="30"/>
        </w:rPr>
        <w:t>、全面推进城乡绿化建设，群众获得感不断增强</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深入学习贯彻习近平生态文明思想，大力践行</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绿水青山就是金山银山</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理念，以高质量推进国家森林城市创建工作为抓手，坚持绿化扩面和提质并重，不断增强城市森林的生态功能和环境承载力。</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十三五</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期间，完成乡村绿化美化工程任务330个，建成省级示范点103个。2016年以来，全市有552万人次参加义务植树，</w:t>
      </w:r>
      <w:r>
        <w:rPr>
          <w:rFonts w:hint="eastAsia" w:ascii="Times New Roman" w:hAnsi="Times New Roman" w:eastAsia="仿宋_GB2312" w:cs="Times New Roman"/>
          <w:sz w:val="30"/>
          <w:szCs w:val="30"/>
          <w:lang w:val="en-US" w:eastAsia="zh-CN"/>
        </w:rPr>
        <w:t>共计</w:t>
      </w:r>
      <w:r>
        <w:rPr>
          <w:rFonts w:hint="default" w:ascii="Times New Roman" w:hAnsi="Times New Roman" w:eastAsia="仿宋_GB2312" w:cs="Times New Roman"/>
          <w:sz w:val="30"/>
          <w:szCs w:val="30"/>
        </w:rPr>
        <w:t>2668万株，义务植树尽责率</w:t>
      </w:r>
      <w:r>
        <w:rPr>
          <w:rFonts w:hint="eastAsia" w:ascii="Times New Roman" w:hAnsi="Times New Roman" w:eastAsia="仿宋_GB2312" w:cs="Times New Roman"/>
          <w:sz w:val="30"/>
          <w:szCs w:val="30"/>
          <w:lang w:val="en-US" w:eastAsia="zh-CN"/>
        </w:rPr>
        <w:t>达</w:t>
      </w:r>
      <w:r>
        <w:rPr>
          <w:rFonts w:hint="default" w:ascii="Times New Roman" w:hAnsi="Times New Roman" w:eastAsia="仿宋_GB2312" w:cs="Times New Roman"/>
          <w:sz w:val="30"/>
          <w:szCs w:val="30"/>
        </w:rPr>
        <w:t>92%。</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eastAsia" w:ascii="Times New Roman" w:hAnsi="Times New Roman" w:eastAsia="仿宋_GB2312" w:cs="Times New Roman"/>
          <w:b/>
          <w:sz w:val="30"/>
          <w:szCs w:val="30"/>
          <w:lang w:val="en-US" w:eastAsia="zh-CN"/>
        </w:rPr>
        <w:t>三</w:t>
      </w:r>
      <w:r>
        <w:rPr>
          <w:rFonts w:hint="default" w:ascii="Times New Roman" w:hAnsi="Times New Roman" w:eastAsia="仿宋_GB2312" w:cs="Times New Roman"/>
          <w:b/>
          <w:sz w:val="30"/>
          <w:szCs w:val="30"/>
        </w:rPr>
        <w:t>、加快绿色产业发展，助推乡村振兴</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坚持以</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营林为基础，大力造林，普遍护林，采育结合，永续利用</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的林业建设方针，依托林下经济、林果业、用材林建设等大力发展林业产业。至2020年，全市林业产业产值为71</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8</w:t>
      </w:r>
      <w:r>
        <w:rPr>
          <w:rFonts w:hint="default" w:ascii="Times New Roman" w:hAnsi="Times New Roman" w:eastAsia="仿宋_GB2312" w:cs="Times New Roman"/>
          <w:sz w:val="30"/>
          <w:szCs w:val="30"/>
          <w:lang w:val="en-US" w:eastAsia="zh-CN"/>
        </w:rPr>
        <w:t>5亿</w:t>
      </w:r>
      <w:r>
        <w:rPr>
          <w:rFonts w:hint="default" w:ascii="Times New Roman" w:hAnsi="Times New Roman" w:eastAsia="仿宋_GB2312" w:cs="Times New Roman"/>
          <w:sz w:val="30"/>
          <w:szCs w:val="30"/>
        </w:rPr>
        <w:t>元，其中第一产业产值2</w:t>
      </w: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87</w:t>
      </w:r>
      <w:r>
        <w:rPr>
          <w:rFonts w:hint="default" w:ascii="Times New Roman" w:hAnsi="Times New Roman" w:eastAsia="仿宋_GB2312" w:cs="Times New Roman"/>
          <w:sz w:val="30"/>
          <w:szCs w:val="30"/>
          <w:lang w:val="en-US" w:eastAsia="zh-CN"/>
        </w:rPr>
        <w:t>亿</w:t>
      </w:r>
      <w:r>
        <w:rPr>
          <w:rFonts w:hint="default" w:ascii="Times New Roman" w:hAnsi="Times New Roman" w:eastAsia="仿宋_GB2312" w:cs="Times New Roman"/>
          <w:sz w:val="30"/>
          <w:szCs w:val="30"/>
        </w:rPr>
        <w:t>元，第二产业产值3</w:t>
      </w: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12</w:t>
      </w:r>
      <w:r>
        <w:rPr>
          <w:rFonts w:hint="default" w:ascii="Times New Roman" w:hAnsi="Times New Roman" w:eastAsia="仿宋_GB2312" w:cs="Times New Roman"/>
          <w:sz w:val="30"/>
          <w:szCs w:val="30"/>
          <w:lang w:val="en-US" w:eastAsia="zh-CN"/>
        </w:rPr>
        <w:t>亿</w:t>
      </w:r>
      <w:r>
        <w:rPr>
          <w:rFonts w:hint="default" w:ascii="Times New Roman" w:hAnsi="Times New Roman" w:eastAsia="仿宋_GB2312" w:cs="Times New Roman"/>
          <w:sz w:val="30"/>
          <w:szCs w:val="30"/>
        </w:rPr>
        <w:t>元，第三产业产值13</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86</w:t>
      </w:r>
      <w:r>
        <w:rPr>
          <w:rFonts w:hint="default" w:ascii="Times New Roman" w:hAnsi="Times New Roman" w:eastAsia="仿宋_GB2312" w:cs="Times New Roman"/>
          <w:sz w:val="30"/>
          <w:szCs w:val="30"/>
          <w:lang w:val="en-US" w:eastAsia="zh-CN"/>
        </w:rPr>
        <w:t>亿</w:t>
      </w:r>
      <w:r>
        <w:rPr>
          <w:rFonts w:hint="default" w:ascii="Times New Roman" w:hAnsi="Times New Roman" w:eastAsia="仿宋_GB2312" w:cs="Times New Roman"/>
          <w:sz w:val="30"/>
          <w:szCs w:val="30"/>
        </w:rPr>
        <w:t>元。</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大力发展林下经济助推乡村振兴，拓展农民增收渠道。建立省级林下经济示范基地4个，5家企业被认定为省级林业龙头企业。全市林下种植、养殖规模达到22.5</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万亩，总产值达2亿元以上，参与农户数</w:t>
      </w:r>
      <w:r>
        <w:rPr>
          <w:rFonts w:hint="eastAsia" w:ascii="Times New Roman" w:hAnsi="Times New Roman" w:eastAsia="仿宋_GB2312" w:cs="Times New Roman"/>
          <w:sz w:val="30"/>
          <w:szCs w:val="30"/>
          <w:lang w:val="en-US" w:eastAsia="zh-CN"/>
        </w:rPr>
        <w:t>为</w:t>
      </w:r>
      <w:r>
        <w:rPr>
          <w:rFonts w:hint="default" w:ascii="Times New Roman" w:hAnsi="Times New Roman" w:eastAsia="仿宋_GB2312" w:cs="Times New Roman"/>
          <w:sz w:val="30"/>
          <w:szCs w:val="30"/>
        </w:rPr>
        <w:t>2.3</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万户。全市现有苗圃场25个，全年生产苗木1850万株，有力支持了全市绿化美化工作。森林旅游产业增幅进一步加大，成为农民新的经济增长渠道。各级森林公园中进行森林旅游的游客</w:t>
      </w:r>
      <w:r>
        <w:rPr>
          <w:rFonts w:hint="eastAsia" w:ascii="Times New Roman" w:hAnsi="Times New Roman" w:eastAsia="仿宋_GB2312" w:cs="Times New Roman"/>
          <w:sz w:val="30"/>
          <w:szCs w:val="30"/>
          <w:lang w:val="en-US" w:eastAsia="zh-CN"/>
        </w:rPr>
        <w:t>数量</w:t>
      </w:r>
      <w:r>
        <w:rPr>
          <w:rFonts w:hint="default" w:ascii="Times New Roman" w:hAnsi="Times New Roman" w:eastAsia="仿宋_GB2312" w:cs="Times New Roman"/>
          <w:sz w:val="30"/>
          <w:szCs w:val="30"/>
        </w:rPr>
        <w:t>达到200万人次。</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eastAsia" w:ascii="Times New Roman" w:hAnsi="Times New Roman" w:eastAsia="仿宋_GB2312" w:cs="Times New Roman"/>
          <w:b/>
          <w:sz w:val="30"/>
          <w:szCs w:val="30"/>
          <w:lang w:val="en-US" w:eastAsia="zh-CN"/>
        </w:rPr>
        <w:t>四</w:t>
      </w:r>
      <w:r>
        <w:rPr>
          <w:rFonts w:hint="default" w:ascii="Times New Roman" w:hAnsi="Times New Roman" w:eastAsia="仿宋_GB2312" w:cs="Times New Roman"/>
          <w:b/>
          <w:sz w:val="30"/>
          <w:szCs w:val="30"/>
        </w:rPr>
        <w:t>、推动机制体制改革，创新林业发展路径</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顺利完成市县两级林业机构改革，基本理顺了林业管理体制。坚持国有林场改革的公益性取向，完成6个市属国有林场及2个县属国有林场改革工作。积极推进森林公安改革，大力提升森林公安从严治警水平和依法履职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强化林业法治保障，《汕尾市山体保护条例》经广东省十三届人大常委会第十五次会议批准正式出台，对全市山体保护工作进一步提供了法律依据。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eastAsia" w:ascii="Times New Roman" w:hAnsi="Times New Roman" w:eastAsia="仿宋_GB2312" w:cs="Times New Roman"/>
          <w:b/>
          <w:sz w:val="30"/>
          <w:szCs w:val="30"/>
          <w:lang w:val="en-US" w:eastAsia="zh-CN"/>
        </w:rPr>
        <w:t>五</w:t>
      </w:r>
      <w:r>
        <w:rPr>
          <w:rFonts w:hint="default" w:ascii="Times New Roman" w:hAnsi="Times New Roman" w:eastAsia="仿宋_GB2312" w:cs="Times New Roman"/>
          <w:b/>
          <w:sz w:val="30"/>
          <w:szCs w:val="30"/>
        </w:rPr>
        <w:t>、进一步加强基础支撑，林业保障支撑能力显著提升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在全省率先推行</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大数据+网格化+主动监测+群众路线</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四轮驱动工作机制，创新推出</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森林防火网格化管理</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和</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护林码</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，精准助力森林防火工作，2018年受到省森林防火指挥部办公室通报表扬。实施松材线虫病等重大林业有害生物绩效承包防治，森林灾害防控体系进一步健全。林区公路列入全市交通网格化</w:t>
      </w:r>
      <w:r>
        <w:rPr>
          <w:rFonts w:hint="eastAsia" w:ascii="Times New Roman" w:hAnsi="Times New Roman" w:eastAsia="仿宋_GB2312" w:cs="Times New Roman"/>
          <w:sz w:val="30"/>
          <w:szCs w:val="30"/>
          <w:lang w:eastAsia="zh-CN"/>
        </w:rPr>
        <w:t>管理</w:t>
      </w:r>
      <w:r>
        <w:rPr>
          <w:rFonts w:hint="default" w:ascii="Times New Roman" w:hAnsi="Times New Roman" w:eastAsia="仿宋_GB2312" w:cs="Times New Roman"/>
          <w:sz w:val="30"/>
          <w:szCs w:val="30"/>
        </w:rPr>
        <w:t>，经费纳入当地财政预算并得到有效保障。启动新一轮良种基地建设，开展</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一项目一调研</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活动，持续开展林木种苗科技攻关，加强保障性苗圃建设，种苗选育生产供给能力显著提高。</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rPr>
      </w:pPr>
      <w:bookmarkStart w:id="21" w:name="_Toc78615436"/>
      <w:bookmarkStart w:id="22" w:name="_Toc10377"/>
      <w:r>
        <w:rPr>
          <w:rFonts w:hint="default" w:ascii="Times New Roman" w:hAnsi="Times New Roman" w:eastAsia="黑体" w:cs="Times New Roman"/>
          <w:sz w:val="30"/>
          <w:szCs w:val="30"/>
        </w:rPr>
        <w:t>第二节 发展短板</w:t>
      </w:r>
      <w:bookmarkEnd w:id="21"/>
      <w:bookmarkEnd w:id="22"/>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一、森林资源质量有待进一步提高</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十三五</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以来，全省林业快速发展，汕尾市国土绿化也取得较好成效。但林业要素投入不足，缺乏科学经营，森林资源质量总体不高，全市乔木林每公顷蓄积</w:t>
      </w:r>
      <w:r>
        <w:rPr>
          <w:rFonts w:hint="eastAsia" w:ascii="Times New Roman" w:hAnsi="Times New Roman" w:eastAsia="仿宋_GB2312" w:cs="Times New Roman"/>
          <w:sz w:val="30"/>
          <w:szCs w:val="30"/>
          <w:lang w:eastAsia="zh-CN"/>
        </w:rPr>
        <w:t>量</w:t>
      </w:r>
      <w:r>
        <w:rPr>
          <w:rFonts w:hint="default" w:ascii="Times New Roman" w:hAnsi="Times New Roman" w:eastAsia="仿宋_GB2312" w:cs="Times New Roman"/>
          <w:sz w:val="30"/>
          <w:szCs w:val="30"/>
        </w:rPr>
        <w:t>为32.08立方米，低于全省59.87立方米的平均水平。森林空间分布不均匀</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结构不合理，大径材林少，中幼林多</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近成熟林少，纯林多</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混交林少。森林蓄积量、森林碳汇、森林生态服务功能具有较大的提升空间。</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二、林业治理能力有待进一步提升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森林防火、有害生物防治等技术手段或装备设施亟需提高。基层林业工作站被撤并，乡镇基层人员力量薄弱，专业技术人员老龄化和断层现象普遍。特别是森林公安转隶后，市、县林业部门缺乏林业执法机构，森林资源保护管理面临重大挑战。部分县（市、区）财政资金困难，按规定配套的地方资金得不到有效落实</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在涉农资金整合优化的大环境下，林业资金保障困难。</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三、生态服务能力有待进一步拓展</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林业一二三产业发展融合度不高，产业结构不合理，林地产出率低，产业结构具有较大的优化空间。林业企业上规模数量极少，尚未形成稳定产业链，发展方式粗放，科技创新能力不足，产品竞争力不强。产业发展缺乏政府引导和支持，处于盲目的自发性发展状态，优质生态产品的有效供给不足，特别是森林康养、森林旅游等新兴产业发展滞后，难以满足人民的生态消费需求。</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四、森林文化特色不够显著</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汕尾是一片红色故土、革命老区，是全国十三块红色革命根据地之一，红色革命文化深植在这片热土之上。同时，汕尾海岸线长达455公里，居全省第二。在推进绿美红色乡村、森林康养基地、森林小镇等的建设工作过程中，并未深入围绕红色基因、滨海特色创新开展工作，尚未形成具有汕尾特色的森林文化。</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五、创新发展动力有待进一步增强</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林业科技创新能力不足，在技术力量、科研基地、资金投入、研发推广以及科技成果转化等方面有待进一步加强。林业资源管理任务增多、保护难度增大、林业服务体系建设薄弱，基层林业部门技术人才短缺，各项先进的设备和信息系统运转不畅，新的林业技术推广应用不足，一定程度影响林业工作的有序开展。</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rPr>
      </w:pPr>
      <w:bookmarkStart w:id="23" w:name="_Toc78615438"/>
      <w:bookmarkStart w:id="24" w:name="_Toc2045"/>
      <w:bookmarkStart w:id="25" w:name="_Toc78615437"/>
      <w:r>
        <w:rPr>
          <w:rFonts w:hint="default" w:ascii="Times New Roman" w:hAnsi="Times New Roman" w:eastAsia="黑体" w:cs="Times New Roman"/>
          <w:sz w:val="30"/>
          <w:szCs w:val="30"/>
        </w:rPr>
        <w:t>第三节 面临挑战</w:t>
      </w:r>
      <w:bookmarkEnd w:id="23"/>
      <w:bookmarkEnd w:id="24"/>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一、生态保护和经济社会发展统筹压力加大</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林业为全社会提供丰富的生态产品，既是实现绿水青山的重要基础，又是创造金山银山的重要载体，担负着森林、湿地和生物多样性的保护与管理职责，是推动经济社会向绿色、共享发展的重要载体。随着汕尾城镇化、工业化发展，用于城镇、道路、旅游等重点项目建设，不可避免的造成了使用林地数量增加，进一步造成森林资源主要指标与目标控制数存在缺口。</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二、生态富民潜能与乡村振兴要求有差距</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乡村振兴林业大有可为，但目前林业产业经营管理水平整体不高，大规模企业少，产业链不长，精深加工水平不高。森林康养、森林旅游等新兴产业发展不充分，生态产品价值实现机制不通畅，生态富民潜力未能充分激发，与乡村振兴要求有差距，难以满足人民的消费需求。</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三、林业经营周期长与短期见效的社会期望难协调</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林业发展是社会经济绿色、健康、可持续发展的根本保证。林业生产具有</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十年树木</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的客观规律，是生产周期长的主导产业，与农民依靠林业产业尽快致富的期望形成了矛盾反差。</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十四五</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期间，林业需要利用自身的资源特色和优势，创新驱动发展，协调好林业生产周期长与快速见效的社会期望间的关系。</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四、林业治理能力与现代化要求有差距</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新一轮机构改革后，林业部门统筹森林、湿地等保护管理工作，任务艰巨，但林业发展责任制没有得到全面落实，林业机构或被撤并或被整合，运行体制机制尚未完全理顺，与相关部门衔接联动低效，林业工作站被撤并，导致基层末端管理力量薄弱，总体表现出林业治理体系</w:t>
      </w:r>
      <w:r>
        <w:rPr>
          <w:rFonts w:hint="eastAsia" w:ascii="Times New Roman" w:hAnsi="Times New Roman" w:eastAsia="仿宋_GB2312" w:cs="Times New Roman"/>
          <w:sz w:val="30"/>
          <w:szCs w:val="30"/>
          <w:lang w:val="en-US" w:eastAsia="zh-CN"/>
        </w:rPr>
        <w:t>和</w:t>
      </w:r>
      <w:r>
        <w:rPr>
          <w:rFonts w:hint="default" w:ascii="Times New Roman" w:hAnsi="Times New Roman" w:eastAsia="仿宋_GB2312" w:cs="Times New Roman"/>
          <w:sz w:val="30"/>
          <w:szCs w:val="30"/>
        </w:rPr>
        <w:t>治理能力与现代化要求有差距。</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rPr>
      </w:pPr>
      <w:bookmarkStart w:id="26" w:name="_Toc21063"/>
      <w:r>
        <w:rPr>
          <w:rFonts w:hint="default" w:ascii="Times New Roman" w:hAnsi="Times New Roman" w:eastAsia="黑体" w:cs="Times New Roman"/>
          <w:sz w:val="30"/>
          <w:szCs w:val="30"/>
        </w:rPr>
        <w:t>第四节 发展机遇</w:t>
      </w:r>
      <w:bookmarkEnd w:id="25"/>
      <w:bookmarkEnd w:id="26"/>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一、生态文明建设对林业发展提出新要求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近年来，汕尾市委、市政府牢固树立和践行</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绿水青山就是金山银山</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的发展理念，以生态文明建设为主轴，精心守护汕尾的蓝绿本底</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借助成功创建“</w:t>
      </w:r>
      <w:r>
        <w:rPr>
          <w:rFonts w:hint="default" w:ascii="Times New Roman" w:hAnsi="Times New Roman" w:eastAsia="仿宋_GB2312" w:cs="Times New Roman"/>
          <w:sz w:val="30"/>
          <w:szCs w:val="30"/>
        </w:rPr>
        <w:t>国家生态文明建设示范区</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的契机</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推进新时代林业现代化建设，大力开展造林绿化、生态修复，维护森林生态系统的健康稳定，发挥森林的多种功能。</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二、碳达峰碳中和提供汕尾林业发展新机遇</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党中央强调把碳达峰碳中和纳入生态文明建设整体布局，有效发挥森林、草原、湿地、海洋、土壤的固碳作用，提升生态系统碳汇增量。汕尾林业要牢牢把握这一重大发展机遇，在科学造林、森林经营、资源保护等方面下功夫，大规模精准提升森林质量，充分发挥森林碳汇功能，为实现碳达峰碳中和作出更大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三、人民对美好生活的向往明确林业发展新目标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当前，我国社会主要矛盾已经转化为人民日益增长的美好生活需要和不平衡不充分的发展之间的矛盾，</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人民对美好生活的向往，就是我们的奋斗目标</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明确了林业发展要提供更优美的生态环境和更优质的生态产品。汕尾应加快建设优势特色林业产业，培育壮大林业龙头企业，提升林业服务能力，不断满足人民群众日益增长的优质生态产品和优美生态环境需求，</w:t>
      </w:r>
      <w:r>
        <w:rPr>
          <w:rFonts w:hint="eastAsia" w:ascii="Times New Roman" w:hAnsi="Times New Roman" w:eastAsia="仿宋_GB2312" w:cs="Times New Roman"/>
          <w:sz w:val="30"/>
          <w:szCs w:val="30"/>
          <w:lang w:val="en-US" w:eastAsia="zh-CN"/>
        </w:rPr>
        <w:t>为建设“冬养汕尾·全国生态旅游示范实验区”</w:t>
      </w:r>
      <w:r>
        <w:rPr>
          <w:rFonts w:hint="default" w:ascii="Times New Roman" w:hAnsi="Times New Roman" w:eastAsia="仿宋_GB2312" w:cs="Times New Roman"/>
          <w:sz w:val="30"/>
          <w:szCs w:val="30"/>
        </w:rPr>
        <w:t>奠定良好的生态基础。</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四、全面推行林长制提供汕尾林业发展新机制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全面推行林长制是党中央、国务院立足生态文明建设全局做出的制度安排，进一步夯实了林业保护发展的制度基础，有利于压实地方各级党委和政府保护发展森林资源的主体责任，有利于推动构建党政同责、属地负责、部门协同、源头治理、全域覆盖的长效机制，有利于推动汕尾林业生态文明建设迈上新台阶。</w:t>
      </w:r>
    </w:p>
    <w:p>
      <w:pPr>
        <w:keepNext w:val="0"/>
        <w:keepLines w:val="0"/>
        <w:pageBreakBefore/>
        <w:widowControl w:val="0"/>
        <w:kinsoku/>
        <w:wordWrap/>
        <w:overflowPunct/>
        <w:topLinePunct w:val="0"/>
        <w:autoSpaceDE/>
        <w:autoSpaceDN/>
        <w:bidi w:val="0"/>
        <w:adjustRightInd w:val="0"/>
        <w:snapToGrid w:val="0"/>
        <w:spacing w:before="312" w:beforeLines="100" w:after="312" w:afterLines="100"/>
        <w:jc w:val="center"/>
        <w:textAlignment w:val="auto"/>
        <w:outlineLvl w:val="0"/>
        <w:rPr>
          <w:rFonts w:hint="default" w:ascii="Times New Roman" w:hAnsi="Times New Roman" w:eastAsia="黑体" w:cs="Times New Roman"/>
          <w:b/>
          <w:sz w:val="32"/>
          <w:szCs w:val="30"/>
        </w:rPr>
      </w:pPr>
      <w:bookmarkStart w:id="27" w:name="_Toc25513"/>
      <w:bookmarkStart w:id="28" w:name="_Toc78615439"/>
      <w:r>
        <w:rPr>
          <w:rFonts w:hint="default" w:ascii="Times New Roman" w:hAnsi="Times New Roman" w:eastAsia="黑体" w:cs="Times New Roman"/>
          <w:b/>
          <w:sz w:val="32"/>
          <w:szCs w:val="30"/>
        </w:rPr>
        <w:t>第二章 发展思路</w:t>
      </w:r>
      <w:bookmarkEnd w:id="27"/>
      <w:bookmarkEnd w:id="28"/>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rPr>
      </w:pPr>
      <w:bookmarkStart w:id="29" w:name="_Toc78615440"/>
      <w:bookmarkStart w:id="30" w:name="_Toc8238"/>
      <w:r>
        <w:rPr>
          <w:rFonts w:hint="default" w:ascii="Times New Roman" w:hAnsi="Times New Roman" w:eastAsia="黑体" w:cs="Times New Roman"/>
          <w:sz w:val="30"/>
          <w:szCs w:val="30"/>
        </w:rPr>
        <w:t>第一节 指导思想</w:t>
      </w:r>
      <w:bookmarkEnd w:id="29"/>
      <w:bookmarkEnd w:id="30"/>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以习近平新时代中国特色社会主义思想为指导，深入贯彻党的十九大和十九届历次全会精神，全面落实习近平生态文明思想和习近平总书记对广东重要讲话以及重要指示批示精神，践行新发展理念和绿水青山就是金山银山、山水林田湖草沙系统治理理念，紧紧围绕省委省政府</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1+1+9</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工作部署，在市委、市政府的坚强领导下，以碳达峰碳中和为引领，以林业高质量发展为主线，以全面推进林长制为抓手，以重点工程为动力，全面提升汕尾市生态安全防护、生态公共服务、优质产品供给和林业现代治理能力。</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rPr>
      </w:pPr>
      <w:bookmarkStart w:id="31" w:name="_Toc5197"/>
      <w:bookmarkStart w:id="32" w:name="_Toc64900034"/>
      <w:bookmarkStart w:id="33" w:name="_Toc78615441"/>
      <w:r>
        <w:rPr>
          <w:rFonts w:hint="default" w:ascii="Times New Roman" w:hAnsi="Times New Roman" w:eastAsia="黑体" w:cs="Times New Roman"/>
          <w:sz w:val="30"/>
          <w:szCs w:val="30"/>
        </w:rPr>
        <w:t>第二节 规划依据</w:t>
      </w:r>
      <w:bookmarkEnd w:id="31"/>
      <w:bookmarkEnd w:id="32"/>
      <w:bookmarkEnd w:id="33"/>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1.《中华人民共和国森林法》（20</w:t>
      </w:r>
      <w:r>
        <w:rPr>
          <w:rFonts w:hint="default" w:ascii="Times New Roman" w:hAnsi="Times New Roman" w:eastAsia="仿宋_GB2312" w:cs="Times New Roman"/>
          <w:sz w:val="30"/>
          <w:szCs w:val="30"/>
          <w:lang w:val="en-US" w:eastAsia="zh-CN"/>
        </w:rPr>
        <w:t>19</w:t>
      </w:r>
      <w:r>
        <w:rPr>
          <w:rFonts w:hint="default" w:ascii="Times New Roman" w:hAnsi="Times New Roman" w:eastAsia="仿宋_GB2312" w:cs="Times New Roman"/>
          <w:sz w:val="30"/>
          <w:szCs w:val="30"/>
        </w:rPr>
        <w:t>年</w:t>
      </w:r>
      <w:r>
        <w:rPr>
          <w:rFonts w:hint="default" w:ascii="Times New Roman" w:hAnsi="Times New Roman" w:eastAsia="仿宋_GB2312" w:cs="Times New Roman"/>
          <w:sz w:val="30"/>
          <w:szCs w:val="30"/>
          <w:lang w:val="en-US" w:eastAsia="zh-CN"/>
        </w:rPr>
        <w:t>修订</w:t>
      </w:r>
      <w:r>
        <w:rPr>
          <w:rFonts w:hint="default" w:ascii="Times New Roman" w:hAnsi="Times New Roman" w:eastAsia="仿宋_GB2312" w:cs="Times New Roman"/>
          <w:sz w:val="30"/>
          <w:szCs w:val="30"/>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.《广东省林业保护发展</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十四五</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.《关于全面推行林长制的意见》（中共中央办公厅 国务院办公厅）；</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.《国家储备林建设规划（2018-2035年）》；</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《广东省林业有害生物防治</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十四五</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规划》</w:t>
      </w:r>
      <w:r>
        <w:rPr>
          <w:rFonts w:hint="default" w:ascii="Times New Roman" w:hAnsi="Times New Roman" w:eastAsia="仿宋_GB2312" w:cs="Times New Roman"/>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广东省沿海防护林体系建设工程规划（2016-2025年）</w:t>
      </w:r>
      <w:r>
        <w:rPr>
          <w:rFonts w:hint="default" w:ascii="Times New Roman" w:hAnsi="Times New Roman" w:eastAsia="仿宋_GB2312" w:cs="Times New Roman"/>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eastAsia="zh-CN"/>
        </w:rPr>
        <w:t>《广东省高质量水源林建设规划（2021-2025年）》；</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8</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eastAsia="zh-CN"/>
        </w:rPr>
        <w:t>《广东省天然林保护修复规划（2021-2035年）》；</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9</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eastAsia="zh-CN"/>
        </w:rPr>
        <w:t>《广东省红树林保护修复专项行动计划实施方案》；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.《汕尾市国民经济和社会发展第十四个五年规划和二〇三五年远景目标纲要》</w:t>
      </w:r>
      <w:r>
        <w:rPr>
          <w:rFonts w:hint="default" w:ascii="Times New Roman" w:hAnsi="Times New Roman" w:eastAsia="仿宋_GB2312" w:cs="Times New Roman"/>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val="en-US" w:eastAsia="zh-CN"/>
        </w:rPr>
        <w:t>1</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eastAsia="zh-CN"/>
        </w:rPr>
        <w:t>《汕尾市创建国家森林城市三年行动计划（2020-2022）年》；</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.《关于推进农村一二三产业融合发展的指导意见》（国务院办公厅）</w:t>
      </w:r>
      <w:r>
        <w:rPr>
          <w:rFonts w:hint="eastAsia"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rPr>
      </w:pPr>
      <w:bookmarkStart w:id="34" w:name="_Toc2006"/>
      <w:bookmarkStart w:id="35" w:name="_Toc78615442"/>
      <w:r>
        <w:rPr>
          <w:rFonts w:hint="default" w:ascii="Times New Roman" w:hAnsi="Times New Roman" w:eastAsia="黑体" w:cs="Times New Roman"/>
          <w:sz w:val="30"/>
          <w:szCs w:val="30"/>
        </w:rPr>
        <w:t>第三节 基本原则</w:t>
      </w:r>
      <w:bookmarkEnd w:id="34"/>
      <w:bookmarkEnd w:id="35"/>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一、坚持党的全面领导。</w:t>
      </w:r>
      <w:r>
        <w:rPr>
          <w:rFonts w:hint="default" w:ascii="Times New Roman" w:hAnsi="Times New Roman" w:eastAsia="仿宋_GB2312" w:cs="Times New Roman"/>
          <w:sz w:val="30"/>
          <w:szCs w:val="30"/>
          <w:lang w:val="en-US" w:eastAsia="zh-CN"/>
        </w:rPr>
        <w:t>毫不动摇坚持党对林业工作的全面领导，全面推行林长制，建立以党政领导负责制为核心的林业发展责任体系，确保党在林业工作中始终总揽全局、协调各方，为林业发展提供坚强的政治保障。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二、坚持聚焦总定位总目标。</w:t>
      </w:r>
      <w:r>
        <w:rPr>
          <w:rFonts w:hint="default" w:ascii="Times New Roman" w:hAnsi="Times New Roman" w:eastAsia="仿宋_GB2312" w:cs="Times New Roman"/>
          <w:sz w:val="30"/>
          <w:szCs w:val="30"/>
          <w:lang w:val="en-US" w:eastAsia="zh-CN"/>
        </w:rPr>
        <w:t>聚焦总定位总目标，确定林业发展方向，谋划林业发展任务，提升林业现代化治理效能，固优势、补短板、强弱项，推动林业各项工作干在实处。</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三、坚持以人民为中心。</w:t>
      </w:r>
      <w:r>
        <w:rPr>
          <w:rFonts w:hint="default" w:ascii="Times New Roman" w:hAnsi="Times New Roman" w:eastAsia="仿宋_GB2312" w:cs="Times New Roman"/>
          <w:sz w:val="30"/>
          <w:szCs w:val="30"/>
          <w:lang w:val="en-US" w:eastAsia="zh-CN"/>
        </w:rPr>
        <w:t>始终做到发展为了人民，努力扩大高质量林业生态产品有效供给，不断满足人民对优美生态环境、优良生态产品、优质生态服务的迫切需求。</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四、坚持高质量发展。</w:t>
      </w:r>
      <w:r>
        <w:rPr>
          <w:rFonts w:hint="default" w:ascii="Times New Roman" w:hAnsi="Times New Roman" w:eastAsia="仿宋_GB2312" w:cs="Times New Roman"/>
          <w:sz w:val="30"/>
          <w:szCs w:val="30"/>
          <w:lang w:val="en-US" w:eastAsia="zh-CN"/>
        </w:rPr>
        <w:t>把新发展理念贯穿林业发展全过程，深化体制机制改革，激发发展活力；深化科技创新，增强发展动力；构建林业发展新格局，转变林业发展方式，实现规范化、精细化、科学化发展。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五、坚持系统观念。</w:t>
      </w:r>
      <w:r>
        <w:rPr>
          <w:rFonts w:hint="default" w:ascii="Times New Roman" w:hAnsi="Times New Roman" w:eastAsia="仿宋_GB2312" w:cs="Times New Roman"/>
          <w:sz w:val="30"/>
          <w:szCs w:val="30"/>
          <w:lang w:val="en-US" w:eastAsia="zh-CN"/>
        </w:rPr>
        <w:t>遵循自然规律，统筹各类自然生态系统、生态系统各要素，统筹山水林田湖草沙系统治理，倡导</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种树就是种生态、种文化、种财富</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的观念，推动全市林业协同发展，抓重点、破难点、带全面，整体推进。</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rPr>
      </w:pPr>
      <w:bookmarkStart w:id="36" w:name="_Toc78615443"/>
      <w:bookmarkStart w:id="37" w:name="_Toc5823"/>
      <w:r>
        <w:rPr>
          <w:rFonts w:hint="default" w:ascii="Times New Roman" w:hAnsi="Times New Roman" w:eastAsia="黑体" w:cs="Times New Roman"/>
          <w:sz w:val="30"/>
          <w:szCs w:val="30"/>
        </w:rPr>
        <w:t>第四节 发展目标</w:t>
      </w:r>
      <w:bookmarkEnd w:id="36"/>
      <w:bookmarkEnd w:id="37"/>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一、总体目标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（一）提高森林资源总量质量</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力争到2025年，全市森林覆盖率达到</w:t>
      </w:r>
      <w:r>
        <w:rPr>
          <w:rFonts w:hint="eastAsia" w:ascii="Times New Roman" w:hAnsi="Times New Roman" w:eastAsia="仿宋_GB2312" w:cs="Times New Roman"/>
          <w:sz w:val="30"/>
          <w:szCs w:val="30"/>
          <w:lang w:val="en-US" w:eastAsia="zh-CN"/>
        </w:rPr>
        <w:t>50.00</w:t>
      </w:r>
      <w:r>
        <w:rPr>
          <w:rFonts w:hint="default" w:ascii="Times New Roman" w:hAnsi="Times New Roman" w:eastAsia="仿宋_GB2312" w:cs="Times New Roman"/>
          <w:sz w:val="30"/>
          <w:szCs w:val="30"/>
          <w:lang w:val="en-US" w:eastAsia="zh-CN"/>
        </w:rPr>
        <w:t>%，森林蓄积量达到792.96万立方米。</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（二）进一步提升森林生态功能等级</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切实加强森林资源保护，努力完善森林生态系统结构；加强宣传教育，提高公众意识，构建增强森林生态功能的社会基础；</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大力推进生态文明建设，</w:t>
      </w:r>
      <w:r>
        <w:rPr>
          <w:rFonts w:hint="default" w:ascii="Times New Roman" w:hAnsi="Times New Roman" w:eastAsia="仿宋_GB2312" w:cs="Times New Roman"/>
          <w:sz w:val="30"/>
          <w:szCs w:val="30"/>
          <w:lang w:val="en-US" w:eastAsia="zh-CN"/>
        </w:rPr>
        <w:t>强化林业科技成果转化，不断扩大森林面积，提升森林质量，加强森林保护，保障生态建设的质量和效益。</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w:t>
      </w:r>
      <w:r>
        <w:rPr>
          <w:rFonts w:hint="eastAsia" w:ascii="Times New Roman" w:hAnsi="Times New Roman" w:eastAsia="仿宋_GB2312" w:cs="Times New Roman"/>
          <w:b/>
          <w:bCs/>
          <w:sz w:val="30"/>
          <w:szCs w:val="30"/>
          <w:lang w:val="en-US" w:eastAsia="zh-CN"/>
        </w:rPr>
        <w:t>三</w:t>
      </w:r>
      <w:r>
        <w:rPr>
          <w:rFonts w:hint="default" w:ascii="Times New Roman" w:hAnsi="Times New Roman" w:eastAsia="仿宋_GB2312" w:cs="Times New Roman"/>
          <w:b/>
          <w:bCs/>
          <w:sz w:val="30"/>
          <w:szCs w:val="30"/>
          <w:lang w:val="en-US" w:eastAsia="zh-CN"/>
        </w:rPr>
        <w:t>）创新推进治理能力现代化</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全面推行林长制，加强体制机制创新，加快建设智慧林业，提升治理能力，推动林业现代化治理走在全国前列。</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二、主要指标</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表2-1 汕尾市林业保护发展</w:t>
      </w:r>
      <w:r>
        <w:rPr>
          <w:rFonts w:hint="eastAsia" w:ascii="Times New Roman" w:hAnsi="Times New Roman" w:eastAsia="仿宋_GB2312" w:cs="Times New Roman"/>
          <w:sz w:val="28"/>
          <w:szCs w:val="30"/>
          <w:lang w:eastAsia="zh-CN"/>
        </w:rPr>
        <w:t>“</w:t>
      </w:r>
      <w:r>
        <w:rPr>
          <w:rFonts w:hint="default" w:ascii="Times New Roman" w:hAnsi="Times New Roman" w:eastAsia="仿宋_GB2312" w:cs="Times New Roman"/>
          <w:sz w:val="28"/>
          <w:szCs w:val="30"/>
        </w:rPr>
        <w:t>十四五</w:t>
      </w:r>
      <w:r>
        <w:rPr>
          <w:rFonts w:hint="eastAsia" w:ascii="Times New Roman" w:hAnsi="Times New Roman" w:eastAsia="仿宋_GB2312" w:cs="Times New Roman"/>
          <w:sz w:val="28"/>
          <w:szCs w:val="30"/>
          <w:lang w:eastAsia="zh-CN"/>
        </w:rPr>
        <w:t>”</w:t>
      </w:r>
      <w:r>
        <w:rPr>
          <w:rFonts w:hint="default" w:ascii="Times New Roman" w:hAnsi="Times New Roman" w:eastAsia="仿宋_GB2312" w:cs="Times New Roman"/>
          <w:sz w:val="28"/>
          <w:szCs w:val="30"/>
        </w:rPr>
        <w:t>规划主要指标表</w:t>
      </w:r>
    </w:p>
    <w:tbl>
      <w:tblPr>
        <w:tblStyle w:val="14"/>
        <w:tblW w:w="8504" w:type="dxa"/>
        <w:jc w:val="center"/>
        <w:tblLayout w:type="fixed"/>
        <w:tblCellMar>
          <w:top w:w="0" w:type="dxa"/>
          <w:left w:w="108" w:type="dxa"/>
          <w:bottom w:w="0" w:type="dxa"/>
          <w:right w:w="108" w:type="dxa"/>
        </w:tblCellMar>
      </w:tblPr>
      <w:tblGrid>
        <w:gridCol w:w="724"/>
        <w:gridCol w:w="2829"/>
        <w:gridCol w:w="1282"/>
        <w:gridCol w:w="1276"/>
        <w:gridCol w:w="1124"/>
        <w:gridCol w:w="1269"/>
      </w:tblGrid>
      <w:tr>
        <w:tblPrEx>
          <w:tblCellMar>
            <w:top w:w="0" w:type="dxa"/>
            <w:left w:w="108" w:type="dxa"/>
            <w:bottom w:w="0" w:type="dxa"/>
            <w:right w:w="108" w:type="dxa"/>
          </w:tblCellMar>
        </w:tblPrEx>
        <w:trPr>
          <w:trHeight w:val="437" w:hRule="atLeast"/>
          <w:tblHeader/>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序号</w:t>
            </w:r>
          </w:p>
        </w:tc>
        <w:tc>
          <w:tcPr>
            <w:tcW w:w="2829" w:type="dxa"/>
            <w:tcBorders>
              <w:top w:val="single" w:color="auto" w:sz="4" w:space="0"/>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指标</w:t>
            </w:r>
          </w:p>
        </w:tc>
        <w:tc>
          <w:tcPr>
            <w:tcW w:w="1282" w:type="dxa"/>
            <w:tcBorders>
              <w:top w:val="single" w:color="auto" w:sz="4" w:space="0"/>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单位</w:t>
            </w:r>
          </w:p>
        </w:tc>
        <w:tc>
          <w:tcPr>
            <w:tcW w:w="1276" w:type="dxa"/>
            <w:tcBorders>
              <w:top w:val="single" w:color="auto" w:sz="4" w:space="0"/>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指标属性</w:t>
            </w:r>
          </w:p>
        </w:tc>
        <w:tc>
          <w:tcPr>
            <w:tcW w:w="1124"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现状值</w:t>
            </w:r>
          </w:p>
        </w:tc>
        <w:tc>
          <w:tcPr>
            <w:tcW w:w="1269"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目标值</w:t>
            </w:r>
          </w:p>
        </w:tc>
      </w:tr>
      <w:tr>
        <w:tblPrEx>
          <w:tblCellMar>
            <w:top w:w="0" w:type="dxa"/>
            <w:left w:w="108" w:type="dxa"/>
            <w:bottom w:w="0" w:type="dxa"/>
            <w:right w:w="108" w:type="dxa"/>
          </w:tblCellMar>
        </w:tblPrEx>
        <w:trPr>
          <w:trHeight w:val="437" w:hRule="atLeast"/>
          <w:jc w:val="center"/>
        </w:trPr>
        <w:tc>
          <w:tcPr>
            <w:tcW w:w="724" w:type="dxa"/>
            <w:tcBorders>
              <w:top w:val="nil"/>
              <w:left w:val="single" w:color="auto" w:sz="4" w:space="0"/>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2829" w:type="dxa"/>
            <w:tcBorders>
              <w:top w:val="nil"/>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森林覆盖率</w:t>
            </w:r>
          </w:p>
        </w:tc>
        <w:tc>
          <w:tcPr>
            <w:tcW w:w="1282" w:type="dxa"/>
            <w:tcBorders>
              <w:top w:val="nil"/>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c>
          <w:tcPr>
            <w:tcW w:w="1276" w:type="dxa"/>
            <w:tcBorders>
              <w:top w:val="nil"/>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约束性</w:t>
            </w:r>
          </w:p>
        </w:tc>
        <w:tc>
          <w:tcPr>
            <w:tcW w:w="1124" w:type="dxa"/>
            <w:tcBorders>
              <w:top w:val="nil"/>
              <w:left w:val="nil"/>
              <w:bottom w:val="single" w:color="auto" w:sz="4" w:space="0"/>
              <w:right w:val="single" w:color="auto" w:sz="4" w:space="0"/>
            </w:tcBorders>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49.00</w:t>
            </w:r>
            <w:r>
              <w:rPr>
                <w:rFonts w:hint="default" w:ascii="Times New Roman" w:hAnsi="Times New Roman" w:cs="Times New Roman"/>
                <w:kern w:val="0"/>
                <w:sz w:val="24"/>
                <w:szCs w:val="24"/>
                <w:vertAlign w:val="superscript"/>
              </w:rPr>
              <w:t>[1]</w:t>
            </w:r>
          </w:p>
        </w:tc>
        <w:tc>
          <w:tcPr>
            <w:tcW w:w="1269" w:type="dxa"/>
            <w:tcBorders>
              <w:top w:val="nil"/>
              <w:left w:val="nil"/>
              <w:bottom w:val="single" w:color="auto" w:sz="4" w:space="0"/>
              <w:right w:val="single" w:color="auto" w:sz="4" w:space="0"/>
            </w:tcBorders>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50.00</w:t>
            </w:r>
          </w:p>
        </w:tc>
      </w:tr>
      <w:tr>
        <w:tblPrEx>
          <w:tblCellMar>
            <w:top w:w="0" w:type="dxa"/>
            <w:left w:w="108" w:type="dxa"/>
            <w:bottom w:w="0" w:type="dxa"/>
            <w:right w:w="108" w:type="dxa"/>
          </w:tblCellMar>
        </w:tblPrEx>
        <w:trPr>
          <w:trHeight w:val="437" w:hRule="atLeast"/>
          <w:jc w:val="center"/>
        </w:trPr>
        <w:tc>
          <w:tcPr>
            <w:tcW w:w="724" w:type="dxa"/>
            <w:tcBorders>
              <w:top w:val="nil"/>
              <w:left w:val="single" w:color="auto" w:sz="4" w:space="0"/>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2829" w:type="dxa"/>
            <w:tcBorders>
              <w:top w:val="nil"/>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森林蓄积量</w:t>
            </w:r>
          </w:p>
        </w:tc>
        <w:tc>
          <w:tcPr>
            <w:tcW w:w="1282" w:type="dxa"/>
            <w:tcBorders>
              <w:top w:val="nil"/>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万立方米</w:t>
            </w:r>
          </w:p>
        </w:tc>
        <w:tc>
          <w:tcPr>
            <w:tcW w:w="1276" w:type="dxa"/>
            <w:tcBorders>
              <w:top w:val="nil"/>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约束性</w:t>
            </w:r>
          </w:p>
        </w:tc>
        <w:tc>
          <w:tcPr>
            <w:tcW w:w="1124" w:type="dxa"/>
            <w:tcBorders>
              <w:top w:val="nil"/>
              <w:left w:val="nil"/>
              <w:bottom w:val="single" w:color="auto" w:sz="4" w:space="0"/>
              <w:right w:val="single" w:color="auto" w:sz="4" w:space="0"/>
            </w:tcBorders>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692.96</w:t>
            </w:r>
            <w:r>
              <w:rPr>
                <w:rFonts w:hint="default" w:ascii="Times New Roman" w:hAnsi="Times New Roman" w:cs="Times New Roman"/>
                <w:kern w:val="0"/>
                <w:sz w:val="24"/>
                <w:szCs w:val="24"/>
                <w:vertAlign w:val="superscript"/>
              </w:rPr>
              <w:t>[1]</w:t>
            </w:r>
          </w:p>
        </w:tc>
        <w:tc>
          <w:tcPr>
            <w:tcW w:w="1269" w:type="dxa"/>
            <w:tcBorders>
              <w:top w:val="nil"/>
              <w:left w:val="nil"/>
              <w:bottom w:val="single" w:color="auto" w:sz="4" w:space="0"/>
              <w:right w:val="single" w:color="auto" w:sz="4" w:space="0"/>
            </w:tcBorders>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792.96</w:t>
            </w:r>
          </w:p>
        </w:tc>
      </w:tr>
      <w:tr>
        <w:tblPrEx>
          <w:tblCellMar>
            <w:top w:w="0" w:type="dxa"/>
            <w:left w:w="108" w:type="dxa"/>
            <w:bottom w:w="0" w:type="dxa"/>
            <w:right w:w="108" w:type="dxa"/>
          </w:tblCellMar>
        </w:tblPrEx>
        <w:trPr>
          <w:trHeight w:val="437" w:hRule="atLeast"/>
          <w:jc w:val="center"/>
        </w:trPr>
        <w:tc>
          <w:tcPr>
            <w:tcW w:w="724" w:type="dxa"/>
            <w:tcBorders>
              <w:top w:val="nil"/>
              <w:left w:val="single" w:color="auto" w:sz="4" w:space="0"/>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2829" w:type="dxa"/>
            <w:tcBorders>
              <w:top w:val="nil"/>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自然保护地面积占比</w:t>
            </w:r>
          </w:p>
        </w:tc>
        <w:tc>
          <w:tcPr>
            <w:tcW w:w="1282" w:type="dxa"/>
            <w:tcBorders>
              <w:top w:val="nil"/>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c>
          <w:tcPr>
            <w:tcW w:w="1276" w:type="dxa"/>
            <w:tcBorders>
              <w:top w:val="nil"/>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预期性</w:t>
            </w:r>
          </w:p>
        </w:tc>
        <w:tc>
          <w:tcPr>
            <w:tcW w:w="1124" w:type="dxa"/>
            <w:tcBorders>
              <w:top w:val="nil"/>
              <w:left w:val="nil"/>
              <w:bottom w:val="single" w:color="auto" w:sz="4" w:space="0"/>
              <w:right w:val="single" w:color="auto" w:sz="4" w:space="0"/>
            </w:tcBorders>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9.39</w:t>
            </w:r>
            <w:r>
              <w:rPr>
                <w:rFonts w:hint="default" w:ascii="Times New Roman" w:hAnsi="Times New Roman" w:cs="Times New Roman"/>
                <w:kern w:val="0"/>
                <w:sz w:val="24"/>
                <w:szCs w:val="24"/>
                <w:vertAlign w:val="superscript"/>
              </w:rPr>
              <w:t>[</w:t>
            </w:r>
            <w:r>
              <w:rPr>
                <w:rFonts w:hint="eastAsia" w:ascii="Times New Roman" w:hAnsi="Times New Roman" w:cs="Times New Roman"/>
                <w:kern w:val="0"/>
                <w:sz w:val="24"/>
                <w:szCs w:val="24"/>
                <w:vertAlign w:val="superscript"/>
                <w:lang w:val="en-US" w:eastAsia="zh-CN"/>
              </w:rPr>
              <w:t>2</w:t>
            </w:r>
            <w:r>
              <w:rPr>
                <w:rFonts w:hint="default" w:ascii="Times New Roman" w:hAnsi="Times New Roman" w:cs="Times New Roman"/>
                <w:kern w:val="0"/>
                <w:sz w:val="24"/>
                <w:szCs w:val="24"/>
                <w:vertAlign w:val="superscript"/>
              </w:rPr>
              <w:t>]</w:t>
            </w:r>
          </w:p>
        </w:tc>
        <w:tc>
          <w:tcPr>
            <w:tcW w:w="1269" w:type="dxa"/>
            <w:tcBorders>
              <w:top w:val="nil"/>
              <w:left w:val="nil"/>
              <w:bottom w:val="single" w:color="auto" w:sz="4" w:space="0"/>
              <w:right w:val="single" w:color="auto" w:sz="4" w:space="0"/>
            </w:tcBorders>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10.10</w:t>
            </w:r>
          </w:p>
        </w:tc>
      </w:tr>
      <w:tr>
        <w:tblPrEx>
          <w:tblCellMar>
            <w:top w:w="0" w:type="dxa"/>
            <w:left w:w="108" w:type="dxa"/>
            <w:bottom w:w="0" w:type="dxa"/>
            <w:right w:w="108" w:type="dxa"/>
          </w:tblCellMar>
        </w:tblPrEx>
        <w:trPr>
          <w:trHeight w:val="437" w:hRule="atLeast"/>
          <w:jc w:val="center"/>
        </w:trPr>
        <w:tc>
          <w:tcPr>
            <w:tcW w:w="724" w:type="dxa"/>
            <w:tcBorders>
              <w:top w:val="nil"/>
              <w:left w:val="single" w:color="auto" w:sz="4" w:space="0"/>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w:t>
            </w:r>
          </w:p>
        </w:tc>
        <w:tc>
          <w:tcPr>
            <w:tcW w:w="2829" w:type="dxa"/>
            <w:tcBorders>
              <w:top w:val="nil"/>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国家重点保护野生动物种数保护率</w:t>
            </w:r>
          </w:p>
        </w:tc>
        <w:tc>
          <w:tcPr>
            <w:tcW w:w="1282" w:type="dxa"/>
            <w:tcBorders>
              <w:top w:val="nil"/>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c>
          <w:tcPr>
            <w:tcW w:w="1276" w:type="dxa"/>
            <w:tcBorders>
              <w:top w:val="nil"/>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预期性</w:t>
            </w:r>
          </w:p>
        </w:tc>
        <w:tc>
          <w:tcPr>
            <w:tcW w:w="1124" w:type="dxa"/>
            <w:tcBorders>
              <w:top w:val="nil"/>
              <w:left w:val="nil"/>
              <w:bottom w:val="single" w:color="auto" w:sz="4" w:space="0"/>
              <w:right w:val="single" w:color="auto" w:sz="4" w:space="0"/>
            </w:tcBorders>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c>
          <w:tcPr>
            <w:tcW w:w="1269" w:type="dxa"/>
            <w:tcBorders>
              <w:top w:val="nil"/>
              <w:left w:val="nil"/>
              <w:bottom w:val="single" w:color="auto" w:sz="4" w:space="0"/>
              <w:right w:val="single" w:color="auto" w:sz="4" w:space="0"/>
            </w:tcBorders>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75.0</w:t>
            </w:r>
          </w:p>
        </w:tc>
      </w:tr>
      <w:tr>
        <w:tblPrEx>
          <w:tblCellMar>
            <w:top w:w="0" w:type="dxa"/>
            <w:left w:w="108" w:type="dxa"/>
            <w:bottom w:w="0" w:type="dxa"/>
            <w:right w:w="108" w:type="dxa"/>
          </w:tblCellMar>
        </w:tblPrEx>
        <w:trPr>
          <w:trHeight w:val="437" w:hRule="atLeast"/>
          <w:jc w:val="center"/>
        </w:trPr>
        <w:tc>
          <w:tcPr>
            <w:tcW w:w="724" w:type="dxa"/>
            <w:tcBorders>
              <w:top w:val="nil"/>
              <w:left w:val="single" w:color="auto" w:sz="4" w:space="0"/>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5</w:t>
            </w:r>
          </w:p>
        </w:tc>
        <w:tc>
          <w:tcPr>
            <w:tcW w:w="2829" w:type="dxa"/>
            <w:tcBorders>
              <w:top w:val="nil"/>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国家重点保护野生植物种数保护率</w:t>
            </w:r>
          </w:p>
        </w:tc>
        <w:tc>
          <w:tcPr>
            <w:tcW w:w="1282" w:type="dxa"/>
            <w:tcBorders>
              <w:top w:val="nil"/>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w:t>
            </w:r>
          </w:p>
        </w:tc>
        <w:tc>
          <w:tcPr>
            <w:tcW w:w="1276" w:type="dxa"/>
            <w:tcBorders>
              <w:top w:val="nil"/>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预期性</w:t>
            </w:r>
          </w:p>
        </w:tc>
        <w:tc>
          <w:tcPr>
            <w:tcW w:w="1124" w:type="dxa"/>
            <w:tcBorders>
              <w:top w:val="nil"/>
              <w:left w:val="nil"/>
              <w:bottom w:val="single" w:color="auto" w:sz="4" w:space="0"/>
              <w:right w:val="single" w:color="auto" w:sz="4" w:space="0"/>
            </w:tcBorders>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w:t>
            </w:r>
          </w:p>
        </w:tc>
        <w:tc>
          <w:tcPr>
            <w:tcW w:w="1269" w:type="dxa"/>
            <w:tcBorders>
              <w:top w:val="nil"/>
              <w:left w:val="nil"/>
              <w:bottom w:val="single" w:color="auto" w:sz="4" w:space="0"/>
              <w:right w:val="single" w:color="auto" w:sz="4" w:space="0"/>
            </w:tcBorders>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80.0</w:t>
            </w:r>
          </w:p>
        </w:tc>
      </w:tr>
      <w:tr>
        <w:tblPrEx>
          <w:tblCellMar>
            <w:top w:w="0" w:type="dxa"/>
            <w:left w:w="108" w:type="dxa"/>
            <w:bottom w:w="0" w:type="dxa"/>
            <w:right w:w="108" w:type="dxa"/>
          </w:tblCellMar>
        </w:tblPrEx>
        <w:trPr>
          <w:trHeight w:val="437" w:hRule="atLeast"/>
          <w:jc w:val="center"/>
        </w:trPr>
        <w:tc>
          <w:tcPr>
            <w:tcW w:w="724" w:type="dxa"/>
            <w:tcBorders>
              <w:top w:val="nil"/>
              <w:left w:val="single" w:color="auto" w:sz="4" w:space="0"/>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6</w:t>
            </w:r>
          </w:p>
        </w:tc>
        <w:tc>
          <w:tcPr>
            <w:tcW w:w="2829" w:type="dxa"/>
            <w:tcBorders>
              <w:top w:val="nil"/>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森林火灾受害率</w:t>
            </w:r>
          </w:p>
        </w:tc>
        <w:tc>
          <w:tcPr>
            <w:tcW w:w="1282" w:type="dxa"/>
            <w:tcBorders>
              <w:top w:val="nil"/>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c>
          <w:tcPr>
            <w:tcW w:w="1276" w:type="dxa"/>
            <w:tcBorders>
              <w:top w:val="nil"/>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预期性</w:t>
            </w:r>
          </w:p>
        </w:tc>
        <w:tc>
          <w:tcPr>
            <w:tcW w:w="1124" w:type="dxa"/>
            <w:tcBorders>
              <w:top w:val="nil"/>
              <w:left w:val="nil"/>
              <w:bottom w:val="single" w:color="auto" w:sz="4" w:space="0"/>
              <w:right w:val="single" w:color="auto" w:sz="4" w:space="0"/>
            </w:tcBorders>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w:t>
            </w:r>
          </w:p>
        </w:tc>
        <w:tc>
          <w:tcPr>
            <w:tcW w:w="1269" w:type="dxa"/>
            <w:tcBorders>
              <w:top w:val="nil"/>
              <w:left w:val="nil"/>
              <w:bottom w:val="single" w:color="auto" w:sz="4" w:space="0"/>
              <w:right w:val="single" w:color="auto" w:sz="4" w:space="0"/>
            </w:tcBorders>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≤0.9</w:t>
            </w:r>
          </w:p>
        </w:tc>
      </w:tr>
      <w:tr>
        <w:tblPrEx>
          <w:tblCellMar>
            <w:top w:w="0" w:type="dxa"/>
            <w:left w:w="108" w:type="dxa"/>
            <w:bottom w:w="0" w:type="dxa"/>
            <w:right w:w="108" w:type="dxa"/>
          </w:tblCellMar>
        </w:tblPrEx>
        <w:trPr>
          <w:trHeight w:val="437" w:hRule="atLeast"/>
          <w:jc w:val="center"/>
        </w:trPr>
        <w:tc>
          <w:tcPr>
            <w:tcW w:w="724" w:type="dxa"/>
            <w:tcBorders>
              <w:top w:val="nil"/>
              <w:left w:val="single" w:color="auto" w:sz="4" w:space="0"/>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7</w:t>
            </w:r>
          </w:p>
        </w:tc>
        <w:tc>
          <w:tcPr>
            <w:tcW w:w="2829" w:type="dxa"/>
            <w:tcBorders>
              <w:top w:val="nil"/>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林业有害生物成灾率</w:t>
            </w:r>
          </w:p>
        </w:tc>
        <w:tc>
          <w:tcPr>
            <w:tcW w:w="1282" w:type="dxa"/>
            <w:tcBorders>
              <w:top w:val="nil"/>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c>
          <w:tcPr>
            <w:tcW w:w="1276" w:type="dxa"/>
            <w:tcBorders>
              <w:top w:val="nil"/>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预期性</w:t>
            </w:r>
          </w:p>
        </w:tc>
        <w:tc>
          <w:tcPr>
            <w:tcW w:w="1124" w:type="dxa"/>
            <w:tcBorders>
              <w:top w:val="nil"/>
              <w:left w:val="nil"/>
              <w:bottom w:val="single" w:color="auto" w:sz="4" w:space="0"/>
              <w:right w:val="single" w:color="auto" w:sz="4" w:space="0"/>
            </w:tcBorders>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val="en-US" w:eastAsia="zh-CN"/>
              </w:rPr>
              <w:t>-</w:t>
            </w:r>
          </w:p>
        </w:tc>
        <w:tc>
          <w:tcPr>
            <w:tcW w:w="1269" w:type="dxa"/>
            <w:tcBorders>
              <w:top w:val="nil"/>
              <w:left w:val="nil"/>
              <w:bottom w:val="single" w:color="auto" w:sz="4" w:space="0"/>
              <w:right w:val="single" w:color="auto" w:sz="4" w:space="0"/>
            </w:tcBorders>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≤8.2</w:t>
            </w:r>
          </w:p>
        </w:tc>
      </w:tr>
      <w:tr>
        <w:tblPrEx>
          <w:tblCellMar>
            <w:top w:w="0" w:type="dxa"/>
            <w:left w:w="108" w:type="dxa"/>
            <w:bottom w:w="0" w:type="dxa"/>
            <w:right w:w="108" w:type="dxa"/>
          </w:tblCellMar>
        </w:tblPrEx>
        <w:trPr>
          <w:trHeight w:val="437" w:hRule="atLeast"/>
          <w:jc w:val="center"/>
        </w:trPr>
        <w:tc>
          <w:tcPr>
            <w:tcW w:w="724" w:type="dxa"/>
            <w:tcBorders>
              <w:top w:val="nil"/>
              <w:left w:val="single" w:color="auto" w:sz="4" w:space="0"/>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8</w:t>
            </w:r>
          </w:p>
        </w:tc>
        <w:tc>
          <w:tcPr>
            <w:tcW w:w="2829" w:type="dxa"/>
            <w:tcBorders>
              <w:top w:val="nil"/>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资源网格化管护率</w:t>
            </w:r>
          </w:p>
        </w:tc>
        <w:tc>
          <w:tcPr>
            <w:tcW w:w="1282" w:type="dxa"/>
            <w:tcBorders>
              <w:top w:val="nil"/>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c>
          <w:tcPr>
            <w:tcW w:w="1276" w:type="dxa"/>
            <w:tcBorders>
              <w:top w:val="nil"/>
              <w:left w:val="nil"/>
              <w:bottom w:val="single" w:color="auto" w:sz="4" w:space="0"/>
              <w:right w:val="single" w:color="auto" w:sz="4" w:space="0"/>
            </w:tcBorders>
            <w:shd w:val="clear" w:color="auto" w:fill="auto"/>
            <w:noWrap/>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预期性</w:t>
            </w:r>
          </w:p>
        </w:tc>
        <w:tc>
          <w:tcPr>
            <w:tcW w:w="1124" w:type="dxa"/>
            <w:tcBorders>
              <w:top w:val="nil"/>
              <w:left w:val="nil"/>
              <w:bottom w:val="single" w:color="auto" w:sz="4" w:space="0"/>
              <w:right w:val="single" w:color="auto" w:sz="4" w:space="0"/>
            </w:tcBorders>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c>
          <w:tcPr>
            <w:tcW w:w="1269" w:type="dxa"/>
            <w:tcBorders>
              <w:top w:val="nil"/>
              <w:left w:val="nil"/>
              <w:bottom w:val="single" w:color="auto" w:sz="4" w:space="0"/>
              <w:right w:val="single" w:color="auto" w:sz="4" w:space="0"/>
            </w:tcBorders>
            <w:tcMar>
              <w:top w:w="0" w:type="dxa"/>
              <w:left w:w="51" w:type="dxa"/>
              <w:bottom w:w="0" w:type="dxa"/>
              <w:right w:w="51" w:type="dxa"/>
            </w:tcMar>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80.0</w:t>
            </w:r>
          </w:p>
        </w:tc>
      </w:tr>
    </w:tbl>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Cs w:val="21"/>
          <w:lang w:eastAsia="zh-CN"/>
        </w:rPr>
      </w:pPr>
      <w:bookmarkStart w:id="38" w:name="_Toc78615444"/>
      <w:r>
        <w:rPr>
          <w:rFonts w:hint="default" w:ascii="Times New Roman" w:hAnsi="Times New Roman" w:eastAsia="宋体" w:cs="Times New Roman"/>
          <w:szCs w:val="21"/>
        </w:rPr>
        <w:t>注：[1]森林覆盖率和森林蓄积量两个指标，届时根据国土</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三调</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融合数据进行修正</w:t>
      </w:r>
      <w:r>
        <w:rPr>
          <w:rFonts w:hint="default" w:ascii="Times New Roman" w:hAnsi="Times New Roman" w:eastAsia="宋体" w:cs="Times New Roman"/>
          <w:szCs w:val="21"/>
          <w:lang w:eastAsia="zh-CN"/>
        </w:rPr>
        <w:t>；</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rPr>
        <w:t>]自然保护地面积占比</w:t>
      </w:r>
      <w:r>
        <w:rPr>
          <w:rFonts w:hint="default" w:ascii="Times New Roman" w:hAnsi="Times New Roman" w:eastAsia="宋体" w:cs="Times New Roman"/>
          <w:szCs w:val="21"/>
          <w:lang w:val="en-US" w:eastAsia="zh-CN"/>
        </w:rPr>
        <w:t>指标，届时根据国家林草局审核后的</w:t>
      </w:r>
      <w:r>
        <w:rPr>
          <w:rFonts w:hint="eastAsia" w:ascii="Times New Roman" w:hAnsi="Times New Roman" w:eastAsia="宋体" w:cs="Times New Roman"/>
          <w:szCs w:val="21"/>
          <w:lang w:val="en-US" w:eastAsia="zh-CN"/>
        </w:rPr>
        <w:t>整合优化方案</w:t>
      </w:r>
      <w:r>
        <w:rPr>
          <w:rFonts w:hint="default" w:ascii="Times New Roman" w:hAnsi="Times New Roman" w:eastAsia="宋体" w:cs="Times New Roman"/>
          <w:szCs w:val="21"/>
          <w:lang w:val="en-US" w:eastAsia="zh-CN"/>
        </w:rPr>
        <w:t>数据进行修正</w:t>
      </w:r>
      <w:r>
        <w:rPr>
          <w:rFonts w:hint="default"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rPr>
      </w:pPr>
      <w:bookmarkStart w:id="39" w:name="_Toc25068"/>
      <w:r>
        <w:rPr>
          <w:rFonts w:hint="default" w:ascii="Times New Roman" w:hAnsi="Times New Roman" w:eastAsia="黑体" w:cs="Times New Roman"/>
          <w:sz w:val="30"/>
          <w:szCs w:val="30"/>
        </w:rPr>
        <w:t>第五节 总体布局</w:t>
      </w:r>
      <w:bookmarkEnd w:id="38"/>
      <w:bookmarkEnd w:id="39"/>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按照汕尾市地理区位、地形特点、森林资源分布格局、城乡统筹格局、城乡经济发展情况、林业功能定位等特征，构建汕尾市</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一区、两屏</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的发展格局，分为北部</w:t>
      </w:r>
      <w:r>
        <w:rPr>
          <w:rFonts w:hint="eastAsia" w:ascii="Times New Roman" w:hAnsi="Times New Roman" w:eastAsia="仿宋_GB2312" w:cs="Times New Roman"/>
          <w:sz w:val="30"/>
          <w:szCs w:val="30"/>
          <w:lang w:val="en-US" w:eastAsia="zh-CN"/>
        </w:rPr>
        <w:t>山地</w:t>
      </w:r>
      <w:r>
        <w:rPr>
          <w:rFonts w:hint="default" w:ascii="Times New Roman" w:hAnsi="Times New Roman" w:eastAsia="仿宋_GB2312" w:cs="Times New Roman"/>
          <w:sz w:val="30"/>
          <w:szCs w:val="30"/>
          <w:lang w:val="en-US" w:eastAsia="zh-CN"/>
        </w:rPr>
        <w:t>森林生态屏障、中</w:t>
      </w:r>
      <w:r>
        <w:rPr>
          <w:rFonts w:hint="eastAsia" w:ascii="Times New Roman" w:hAnsi="Times New Roman" w:eastAsia="仿宋_GB2312" w:cs="Times New Roman"/>
          <w:sz w:val="30"/>
          <w:szCs w:val="30"/>
          <w:lang w:val="en-US" w:eastAsia="zh-CN"/>
        </w:rPr>
        <w:t>东</w:t>
      </w:r>
      <w:r>
        <w:rPr>
          <w:rFonts w:hint="default" w:ascii="Times New Roman" w:hAnsi="Times New Roman" w:eastAsia="仿宋_GB2312" w:cs="Times New Roman"/>
          <w:sz w:val="30"/>
          <w:szCs w:val="30"/>
          <w:lang w:val="en-US" w:eastAsia="zh-CN"/>
        </w:rPr>
        <w:t>部城市生态宜居区、南部沿海湿地生态屏障。</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一、北部</w:t>
      </w:r>
      <w:r>
        <w:rPr>
          <w:rFonts w:hint="eastAsia" w:ascii="Times New Roman" w:hAnsi="Times New Roman" w:eastAsia="仿宋_GB2312" w:cs="Times New Roman"/>
          <w:b/>
          <w:sz w:val="30"/>
          <w:szCs w:val="30"/>
          <w:lang w:val="en-US" w:eastAsia="zh-CN"/>
        </w:rPr>
        <w:t>山地</w:t>
      </w:r>
      <w:r>
        <w:rPr>
          <w:rFonts w:hint="default" w:ascii="Times New Roman" w:hAnsi="Times New Roman" w:eastAsia="仿宋_GB2312" w:cs="Times New Roman"/>
          <w:b/>
          <w:sz w:val="30"/>
          <w:szCs w:val="30"/>
        </w:rPr>
        <w:t>森林生态屏障</w:t>
      </w:r>
    </w:p>
    <w:p>
      <w:pPr>
        <w:adjustRightInd w:val="0"/>
        <w:snapToGrid w:val="0"/>
        <w:spacing w:line="560" w:lineRule="exact"/>
        <w:ind w:firstLine="600" w:firstLineChars="2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该功能区主要为莲花山山脉，包括海丰、陆河、陆丰片区，是汕尾市森林资源最丰富、乔木林分布最集中的区域，是汕尾市的重点林区，对螺河、水东河、新田河、黄江的水源涵养及水土保持具有重要作用。该区是森林公园、湿地公园和自然保护区的聚集地，</w:t>
      </w:r>
      <w:r>
        <w:rPr>
          <w:rFonts w:hint="eastAsia" w:ascii="Times New Roman" w:hAnsi="Times New Roman" w:eastAsia="仿宋_GB2312"/>
          <w:sz w:val="30"/>
          <w:szCs w:val="30"/>
          <w:highlight w:val="none"/>
        </w:rPr>
        <w:t>分布有广东陆河南万红锥林自然保护区、广东火山峰森林公园、广东莲花山森林公园、汕尾国有黄羌林场五马归槽市级森林公园等。</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本区林业建设目标是依托丰富的森林资源，通过人工造林、林分改造、疏残林改造、低效林改造、抚育提升和封山育林等措施，加强高质量水源林建设以及重点生态敏感区域保护，增加北部山区森林面积，提升森林生态效能。通过增加优质木材、林产品的有效供给，加快培育富民产业，促进自然资源有效转化与利用，助推全市乡村振兴战略。</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二、中</w:t>
      </w:r>
      <w:r>
        <w:rPr>
          <w:rFonts w:hint="eastAsia" w:ascii="Times New Roman" w:hAnsi="Times New Roman" w:eastAsia="仿宋_GB2312" w:cs="Times New Roman"/>
          <w:b/>
          <w:sz w:val="30"/>
          <w:szCs w:val="30"/>
          <w:lang w:val="en-US" w:eastAsia="zh-CN"/>
        </w:rPr>
        <w:t>东</w:t>
      </w:r>
      <w:r>
        <w:rPr>
          <w:rFonts w:hint="default" w:ascii="Times New Roman" w:hAnsi="Times New Roman" w:eastAsia="仿宋_GB2312" w:cs="Times New Roman"/>
          <w:b/>
          <w:sz w:val="30"/>
          <w:szCs w:val="30"/>
        </w:rPr>
        <w:t>部城市生态宜居区</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该功能区位于汕尾市中部和东部，包括市城区、海丰县、陆丰市、陆河县的主要城区。地形以台地和平原为主，地势平缓。</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本区森林资源体量相对较小且分布零散，林业工作重点应以创建森林城市为载体，提高城乡绿化覆盖率和改善森林风景。以重点林业生态工程为载体，加强退化林修复、补植套种、林分改造、四旁绿化和农田林网建设，营建城乡一体、连片大色块特色的城市森林生态景观，提高城市森林绿地总量，改善生态环境，完善城市林业服务体系，建设生态宜居汕尾。</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rPr>
        <w:t>三、</w:t>
      </w:r>
      <w:r>
        <w:rPr>
          <w:rFonts w:hint="default" w:ascii="Times New Roman" w:hAnsi="Times New Roman" w:eastAsia="仿宋_GB2312" w:cs="Times New Roman"/>
          <w:b/>
          <w:sz w:val="30"/>
          <w:szCs w:val="30"/>
          <w:lang w:val="en-US" w:eastAsia="zh-CN"/>
        </w:rPr>
        <w:t>南部</w:t>
      </w:r>
      <w:r>
        <w:rPr>
          <w:rFonts w:hint="default" w:ascii="Times New Roman" w:hAnsi="Times New Roman" w:eastAsia="仿宋_GB2312" w:cs="Times New Roman"/>
          <w:b/>
          <w:sz w:val="30"/>
          <w:szCs w:val="30"/>
        </w:rPr>
        <w:t>沿海</w:t>
      </w:r>
      <w:r>
        <w:rPr>
          <w:rFonts w:hint="default" w:ascii="Times New Roman" w:hAnsi="Times New Roman" w:eastAsia="仿宋_GB2312" w:cs="Times New Roman"/>
          <w:b/>
          <w:sz w:val="30"/>
          <w:szCs w:val="30"/>
          <w:lang w:val="en-US" w:eastAsia="zh-CN"/>
        </w:rPr>
        <w:t>湿地生态屏障</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该区为东南海岸线，包括金厢滩、大湖沙滩、甲湖湾、银龙湾、长沙湾、东关联安围等海湾及其沿海湿地。该区是强台风频繁登陆、危害最严重的地区，是沿海防护林建设的重点区域。</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本区以不断提高防护林抵御台风、风暴潮的能力为主要任务。持续开展沿海防护林建设，初步形成结构稳定、功能完备、多层次的综合防护林体系，使沿海防护林带的森林质量显著提升，防灾减灾能力明显提高，助力发展和提升海滨旅游产业，经济社会发展得到有效保障，城乡人居环境进一步改善。</w:t>
      </w:r>
    </w:p>
    <w:p>
      <w:pPr>
        <w:pStyle w:val="2"/>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drawing>
          <wp:inline distT="0" distB="0" distL="114300" distR="114300">
            <wp:extent cx="5219700" cy="3549015"/>
            <wp:effectExtent l="0" t="0" r="0" b="13335"/>
            <wp:docPr id="5" name="图片 5" descr="C:/Users/Administrator/AppData/Local/Temp/picturecompress_2021100815514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Local/Temp/picturecompress_20211008155147/output_1.jpgoutput_1"/>
                    <pic:cNvPicPr>
                      <a:picLocks noChangeAspect="1"/>
                    </pic:cNvPicPr>
                  </pic:nvPicPr>
                  <pic:blipFill>
                    <a:blip r:embed="rId7"/>
                    <a:srcRect l="3064" t="5120" r="4114" b="5598"/>
                    <a:stretch>
                      <a:fillRect/>
                    </a:stretch>
                  </pic:blipFill>
                  <pic:spPr>
                    <a:xfrm>
                      <a:off x="0" y="0"/>
                      <a:ext cx="5219700" cy="35490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28"/>
          <w:szCs w:val="30"/>
          <w:lang w:eastAsia="zh-CN"/>
        </w:rPr>
      </w:pPr>
      <w:r>
        <w:rPr>
          <w:rFonts w:hint="default" w:ascii="Times New Roman" w:hAnsi="Times New Roman" w:eastAsia="仿宋_GB2312" w:cs="Times New Roman"/>
          <w:sz w:val="28"/>
          <w:szCs w:val="30"/>
        </w:rPr>
        <w:t>图</w:t>
      </w:r>
      <w:r>
        <w:rPr>
          <w:rFonts w:hint="default" w:ascii="Times New Roman" w:hAnsi="Times New Roman" w:eastAsia="仿宋_GB2312" w:cs="Times New Roman"/>
          <w:sz w:val="28"/>
          <w:szCs w:val="30"/>
          <w:lang w:val="en-US" w:eastAsia="zh-CN"/>
        </w:rPr>
        <w:t>2-1</w:t>
      </w:r>
      <w:r>
        <w:rPr>
          <w:rFonts w:hint="default" w:ascii="Times New Roman" w:hAnsi="Times New Roman" w:eastAsia="仿宋_GB2312" w:cs="Times New Roman"/>
          <w:sz w:val="28"/>
          <w:szCs w:val="30"/>
        </w:rPr>
        <w:t xml:space="preserve"> </w:t>
      </w:r>
      <w:r>
        <w:rPr>
          <w:rFonts w:hint="default" w:ascii="Times New Roman" w:hAnsi="Times New Roman" w:eastAsia="仿宋_GB2312" w:cs="Times New Roman"/>
          <w:sz w:val="28"/>
          <w:szCs w:val="30"/>
          <w:lang w:val="en-US" w:eastAsia="zh-CN"/>
        </w:rPr>
        <w:t>汕尾市</w:t>
      </w:r>
      <w:r>
        <w:rPr>
          <w:rFonts w:hint="default" w:ascii="Times New Roman" w:hAnsi="Times New Roman" w:eastAsia="仿宋_GB2312" w:cs="Times New Roman"/>
          <w:sz w:val="28"/>
          <w:szCs w:val="30"/>
        </w:rPr>
        <w:t>林业发展空间布局图</w:t>
      </w:r>
    </w:p>
    <w:p>
      <w:pPr>
        <w:keepNext w:val="0"/>
        <w:keepLines w:val="0"/>
        <w:pageBreakBefore/>
        <w:widowControl w:val="0"/>
        <w:kinsoku/>
        <w:wordWrap/>
        <w:overflowPunct/>
        <w:topLinePunct w:val="0"/>
        <w:autoSpaceDE/>
        <w:autoSpaceDN/>
        <w:bidi w:val="0"/>
        <w:adjustRightInd w:val="0"/>
        <w:snapToGrid w:val="0"/>
        <w:spacing w:before="312" w:beforeLines="100" w:after="312" w:afterLines="100"/>
        <w:jc w:val="center"/>
        <w:textAlignment w:val="auto"/>
        <w:outlineLvl w:val="0"/>
        <w:rPr>
          <w:rFonts w:hint="default" w:ascii="Times New Roman" w:hAnsi="Times New Roman" w:eastAsia="黑体" w:cs="Times New Roman"/>
          <w:b/>
          <w:sz w:val="32"/>
          <w:szCs w:val="30"/>
        </w:rPr>
      </w:pPr>
      <w:bookmarkStart w:id="40" w:name="_Toc15193"/>
      <w:bookmarkStart w:id="41" w:name="_Toc78615445"/>
      <w:r>
        <w:rPr>
          <w:rFonts w:hint="default" w:ascii="Times New Roman" w:hAnsi="Times New Roman" w:eastAsia="黑体" w:cs="Times New Roman"/>
          <w:b/>
          <w:sz w:val="32"/>
          <w:szCs w:val="30"/>
        </w:rPr>
        <w:t>第三章 发展任务</w:t>
      </w:r>
      <w:bookmarkEnd w:id="40"/>
      <w:bookmarkEnd w:id="41"/>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rPr>
      </w:pPr>
      <w:bookmarkStart w:id="42" w:name="_Toc78615446"/>
      <w:bookmarkStart w:id="43" w:name="_Toc22050"/>
      <w:r>
        <w:rPr>
          <w:rFonts w:hint="default" w:ascii="Times New Roman" w:hAnsi="Times New Roman" w:eastAsia="黑体" w:cs="Times New Roman"/>
          <w:sz w:val="30"/>
          <w:szCs w:val="30"/>
        </w:rPr>
        <w:t>第一节 提升</w:t>
      </w:r>
      <w:bookmarkEnd w:id="42"/>
      <w:r>
        <w:rPr>
          <w:rFonts w:hint="default" w:ascii="Times New Roman" w:hAnsi="Times New Roman" w:eastAsia="黑体" w:cs="Times New Roman"/>
          <w:sz w:val="30"/>
          <w:szCs w:val="30"/>
          <w:lang w:val="en-US" w:eastAsia="zh-CN"/>
        </w:rPr>
        <w:t>林业碳中和</w:t>
      </w:r>
      <w:r>
        <w:rPr>
          <w:rFonts w:hint="default" w:ascii="Times New Roman" w:hAnsi="Times New Roman" w:eastAsia="黑体" w:cs="Times New Roman"/>
          <w:sz w:val="30"/>
          <w:szCs w:val="30"/>
        </w:rPr>
        <w:t>能力</w:t>
      </w:r>
      <w:bookmarkEnd w:id="43"/>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森林是陆地生态系统最重要的碳库，具有强大的碳汇功能，森林碳汇在实现</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碳达峰碳中和</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目标中具有重要作用。通过实施林业生态修复增加森林碳储量</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实现增加碳汇的目标。根据小区域林相特征，合理采取造林、低效林改造、抚育、大径材培育等精准经营措施，优化林分结构，加强森林保护，通过持续性的小区域森林质量精准提升，小片连大片，大规模提升全市森林总量和质量，增强森林碳汇能力，实现增汇减排，有助于高效地发挥森林碳库作用，减缓温室效应及气候变化，加快碳达峰的实现和碳中和的转型。</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一、建设高质量水源林</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对螺河、黄江、乌坎河等主要支流两岸山地自然地形中的第一层山脊以内及全市大中型水库与湖泊周围山地自然地形第一层山脊以内或平地1公里以内的宜林荒山荒地、迹地、疏残林（残次林）、低效纯松林、布局不合理的桉树林实施人工造林、更新改造、补植套种</w:t>
      </w:r>
      <w:r>
        <w:rPr>
          <w:rFonts w:hint="eastAsia" w:ascii="Times New Roman" w:hAnsi="Times New Roman" w:eastAsia="仿宋_GB2312" w:cs="Times New Roman"/>
          <w:sz w:val="30"/>
          <w:szCs w:val="30"/>
          <w:lang w:val="en-US" w:eastAsia="zh-CN"/>
        </w:rPr>
        <w:t>和</w:t>
      </w:r>
      <w:r>
        <w:rPr>
          <w:rFonts w:hint="default" w:ascii="Times New Roman" w:hAnsi="Times New Roman" w:eastAsia="仿宋_GB2312" w:cs="Times New Roman"/>
          <w:sz w:val="30"/>
          <w:szCs w:val="30"/>
          <w:lang w:val="en-US" w:eastAsia="zh-CN"/>
        </w:rPr>
        <w:t>封山育林等重点工程，促进流域内森林植被恢复，扩大水源林面积，</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通过种植高效固碳树种及稳定性好、抗逆性强、生态和经济效益高的</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优质珍贵</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树种</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、乡土树种及景观树种</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，提高树木成材速率，增加单位面积的固碳效率，营造高质量的水源林</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sz w:val="30"/>
          <w:szCs w:val="30"/>
          <w:lang w:val="en-US" w:eastAsia="zh-CN"/>
        </w:rPr>
        <w:t>提高森林植被的水土保持、水源涵养能力，逐步建立起多元化、多层次、结构稳定、功能完备的水源林体系。</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期间，规划建设高质量水源林23</w:t>
      </w:r>
      <w:r>
        <w:rPr>
          <w:rFonts w:hint="eastAsia" w:ascii="Times New Roman" w:hAnsi="Times New Roman" w:eastAsia="仿宋_GB2312" w:cs="Times New Roman"/>
          <w:sz w:val="30"/>
          <w:szCs w:val="30"/>
          <w:lang w:val="en-US" w:eastAsia="zh-CN"/>
        </w:rPr>
        <w:t>.86万</w:t>
      </w:r>
      <w:r>
        <w:rPr>
          <w:rFonts w:hint="default" w:ascii="Times New Roman" w:hAnsi="Times New Roman" w:eastAsia="仿宋_GB2312" w:cs="Times New Roman"/>
          <w:sz w:val="30"/>
          <w:szCs w:val="30"/>
          <w:lang w:val="en-US" w:eastAsia="zh-CN"/>
        </w:rPr>
        <w:t>亩。</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二、建设国家储备林</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按照《国家储备林建设总体规划（2018-2035年）》，结合汕尾市森林资源特征，积极参与闽赣粤武夷山中南部国家储备林建设工程，通过人工林集约栽培、现有林改培、抚育及补植补造等措施，优化林龄结构及树种结构，培育高效速生丰产用材林与优质大、中径级用材林，增加汕尾市木材资源储备和区域木材供给能力。根据《国家储备林贷款业务规程（试行）》，针对国家储备林项目的培育周期长、前期投入大、回报周期长的特点，采用政府主导、社会资本广泛参与、开发性政策性金融大力支持的国家储备林融资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三、培育大径材基地</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color w:val="auto"/>
          <w:sz w:val="30"/>
          <w:szCs w:val="30"/>
          <w:lang w:val="en-US" w:eastAsia="zh-CN"/>
        </w:rPr>
        <w:t>依托各林场科学的经营优势，</w:t>
      </w:r>
      <w:r>
        <w:rPr>
          <w:rFonts w:hint="default" w:ascii="Times New Roman" w:hAnsi="Times New Roman" w:eastAsia="仿宋_GB2312" w:cs="Times New Roman"/>
          <w:sz w:val="30"/>
          <w:szCs w:val="30"/>
          <w:lang w:val="en-US" w:eastAsia="zh-CN"/>
        </w:rPr>
        <w:t>推进大径材基地建设，选择相对集中连片、交通条件便利、立地条件较好、林分条件适宜的片区，开展大径材基地建设，培育优质大径材资源。</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期间，规划建设大径材基地5.83万亩。</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lang w:val="en-US" w:eastAsia="zh-CN"/>
        </w:rPr>
        <w:t>四</w:t>
      </w:r>
      <w:r>
        <w:rPr>
          <w:rFonts w:hint="default" w:ascii="Times New Roman" w:hAnsi="Times New Roman" w:eastAsia="仿宋_GB2312" w:cs="Times New Roman"/>
          <w:b/>
          <w:sz w:val="30"/>
          <w:szCs w:val="30"/>
        </w:rPr>
        <w:t>、实施高质量森林抚育</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sz w:val="30"/>
          <w:szCs w:val="30"/>
          <w:lang w:val="en-US" w:eastAsia="zh-CN"/>
        </w:rPr>
        <w:t>以碳中和为引领，优化树种空间结构</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统筹中央和省财政森林抚育补贴项目，加强中幼林抚育经营管理，做实作业设计</w:t>
      </w:r>
      <w:r>
        <w:rPr>
          <w:rFonts w:hint="eastAsia"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sz w:val="30"/>
          <w:szCs w:val="30"/>
          <w:lang w:val="en-US" w:eastAsia="zh-CN"/>
        </w:rPr>
        <w:t>对中幼龄林采取科学合理的间伐、割灌除草、施肥、补植等森林抚育措施，促进林木生长，提高森林蓄积量，培育健康稳定、优质高效的森林生态系统，助力实现碳汇目标。</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w:t>
      </w:r>
      <w:r>
        <w:rPr>
          <w:rFonts w:hint="eastAsia" w:ascii="Times New Roman" w:hAnsi="Times New Roman" w:eastAsia="仿宋_GB2312" w:cs="Times New Roman"/>
          <w:color w:val="auto"/>
          <w:sz w:val="30"/>
          <w:szCs w:val="30"/>
          <w:lang w:val="en-US" w:eastAsia="zh-CN"/>
        </w:rPr>
        <w:t>规划实施</w:t>
      </w:r>
      <w:r>
        <w:rPr>
          <w:rFonts w:hint="default" w:ascii="Times New Roman" w:hAnsi="Times New Roman" w:eastAsia="仿宋_GB2312" w:cs="Times New Roman"/>
          <w:color w:val="auto"/>
          <w:sz w:val="30"/>
          <w:szCs w:val="30"/>
          <w:lang w:val="en-US" w:eastAsia="zh-CN"/>
        </w:rPr>
        <w:t>森林抚育6</w:t>
      </w:r>
      <w:r>
        <w:rPr>
          <w:rFonts w:hint="eastAsia"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color w:val="auto"/>
          <w:sz w:val="30"/>
          <w:szCs w:val="30"/>
          <w:lang w:val="en-US" w:eastAsia="zh-CN"/>
        </w:rPr>
        <w:t>万亩。</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lang w:val="en-US" w:eastAsia="zh-CN"/>
        </w:rPr>
        <w:t>五</w:t>
      </w:r>
      <w:r>
        <w:rPr>
          <w:rFonts w:hint="default" w:ascii="Times New Roman" w:hAnsi="Times New Roman" w:eastAsia="仿宋_GB2312" w:cs="Times New Roman"/>
          <w:b/>
          <w:sz w:val="30"/>
          <w:szCs w:val="30"/>
        </w:rPr>
        <w:t>、培育优良种质资源</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开展林木种质资源普查、鉴定与评价，加大乡土树种、特色树种、珍贵树种的品种选育和推广。在树种选择上，以乡土树种为主，兼顾乡村振兴和美丽乡村建设对多树种的需求，不断丰富品种和规格。积极建设林木种苗生产示范基地，加强林木种苗质量监督，科学提高苗木质量</w:t>
      </w:r>
      <w:r>
        <w:rPr>
          <w:rFonts w:hint="eastAsia" w:ascii="Times New Roman" w:hAnsi="Times New Roman" w:eastAsia="仿宋_GB2312" w:cs="Times New Roman"/>
          <w:sz w:val="30"/>
          <w:szCs w:val="30"/>
          <w:lang w:val="en-US" w:eastAsia="zh-CN"/>
        </w:rPr>
        <w:t>，</w:t>
      </w:r>
      <w:r>
        <w:rPr>
          <w:rFonts w:hint="default" w:ascii="Times New Roman" w:hAnsi="Times New Roman" w:eastAsia="方正仿宋_GB2312" w:cs="Times New Roman"/>
          <w:b w:val="0"/>
          <w:bCs w:val="0"/>
          <w:i w:val="0"/>
          <w:iCs w:val="0"/>
          <w:color w:val="auto"/>
          <w:sz w:val="30"/>
          <w:szCs w:val="30"/>
          <w:highlight w:val="none"/>
        </w:rPr>
        <w:t>为</w:t>
      </w:r>
      <w:r>
        <w:rPr>
          <w:rFonts w:hint="eastAsia" w:ascii="Times New Roman" w:hAnsi="Times New Roman" w:eastAsia="方正仿宋_GB2312" w:cs="Times New Roman"/>
          <w:b w:val="0"/>
          <w:bCs w:val="0"/>
          <w:i w:val="0"/>
          <w:iCs w:val="0"/>
          <w:color w:val="auto"/>
          <w:sz w:val="30"/>
          <w:szCs w:val="30"/>
          <w:highlight w:val="none"/>
          <w:lang w:val="en-US" w:eastAsia="zh-CN"/>
        </w:rPr>
        <w:t>汕尾</w:t>
      </w:r>
      <w:r>
        <w:rPr>
          <w:rFonts w:hint="default" w:ascii="Times New Roman" w:hAnsi="Times New Roman" w:eastAsia="方正仿宋_GB2312" w:cs="Times New Roman"/>
          <w:b w:val="0"/>
          <w:bCs w:val="0"/>
          <w:i w:val="0"/>
          <w:iCs w:val="0"/>
          <w:color w:val="auto"/>
          <w:sz w:val="30"/>
          <w:szCs w:val="30"/>
          <w:highlight w:val="none"/>
        </w:rPr>
        <w:t>市高质量</w:t>
      </w:r>
      <w:r>
        <w:rPr>
          <w:rFonts w:hint="eastAsia" w:ascii="Times New Roman" w:hAnsi="Times New Roman" w:eastAsia="方正仿宋_GB2312" w:cs="Times New Roman"/>
          <w:b w:val="0"/>
          <w:bCs w:val="0"/>
          <w:i w:val="0"/>
          <w:iCs w:val="0"/>
          <w:color w:val="auto"/>
          <w:sz w:val="30"/>
          <w:szCs w:val="30"/>
          <w:highlight w:val="none"/>
          <w:lang w:val="en-US" w:eastAsia="zh-CN"/>
        </w:rPr>
        <w:t>森林城市建设</w:t>
      </w:r>
      <w:r>
        <w:rPr>
          <w:rFonts w:hint="default" w:ascii="Times New Roman" w:hAnsi="Times New Roman" w:eastAsia="方正仿宋_GB2312" w:cs="Times New Roman"/>
          <w:b w:val="0"/>
          <w:bCs w:val="0"/>
          <w:i w:val="0"/>
          <w:iCs w:val="0"/>
          <w:color w:val="auto"/>
          <w:sz w:val="30"/>
          <w:szCs w:val="30"/>
          <w:highlight w:val="none"/>
        </w:rPr>
        <w:t>提供充足的优质良种苗木</w:t>
      </w:r>
      <w:r>
        <w:rPr>
          <w:rFonts w:hint="default" w:ascii="Times New Roman" w:hAnsi="Times New Roman" w:eastAsia="仿宋_GB2312" w:cs="Times New Roman"/>
          <w:color w:val="auto"/>
          <w:sz w:val="30"/>
          <w:szCs w:val="30"/>
          <w:lang w:val="en-US" w:eastAsia="zh-CN"/>
        </w:rPr>
        <w:t>。</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期间，建立3个省级保障性苗圃基地和1个林木采种基地。</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lang w:val="en-US" w:eastAsia="zh-CN"/>
        </w:rPr>
        <w:t>六</w:t>
      </w:r>
      <w:r>
        <w:rPr>
          <w:rFonts w:hint="default" w:ascii="Times New Roman" w:hAnsi="Times New Roman" w:eastAsia="仿宋_GB2312" w:cs="Times New Roman"/>
          <w:b/>
          <w:sz w:val="30"/>
          <w:szCs w:val="30"/>
        </w:rPr>
        <w:t>、加强天然林生态保护修复</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结合生态保护红线、自然保护地整合优化、国土空间规划等因素，确定天然林保护重点区域，建立汕尾市天然林资源数据库。依法依规严格保护天然林资源，全面停止天然林商业性采伐，继续实施国有天然林停伐和管护补助。进一步加强天然林资源保护力度，实施封禁保护、封山育林、中幼林抚育等人工促进自然修复或其他复合生态修复措施，确保天然林面积基本稳定、质量持续提高、功能稳步提升，全面提升天然林管理和保护水平。到2025年，全市天然林保有量达36.25万亩。</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lang w:val="en-US" w:eastAsia="zh-CN"/>
        </w:rPr>
        <w:t>七</w:t>
      </w:r>
      <w:r>
        <w:rPr>
          <w:rFonts w:hint="default" w:ascii="Times New Roman" w:hAnsi="Times New Roman" w:eastAsia="仿宋_GB2312" w:cs="Times New Roman"/>
          <w:b/>
          <w:sz w:val="30"/>
          <w:szCs w:val="30"/>
        </w:rPr>
        <w:t>、加强生态公益林建设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规范和加强省级以上生态公益林补偿资金的发放和管理，提高资金使用效益。持续合理优化调整公益林布局，对公益林实行分级保护，稳定维持公益林面积总量。持续推进公益林树种结构调整，重点对布局不合理的桉树纯林、疏残林和低效纯松杉林进行改造。在符合公益林生态区位保护要求和不影响公益林生态功能的前提下，鼓励和支持科学合理经营公益林，组织编制公益林发展林下经济负面清单。推进公益林示范区建设，展示公益林建设成效。</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期间，建设2个省级生态公益林示范区</w:t>
      </w:r>
      <w:r>
        <w:rPr>
          <w:rFonts w:hint="eastAsia"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八、加强古驿道森林生态修复</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积极响应贯彻党中央、国务院提出的</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修复南粤古驿道，提升绿道网管理和利用水平</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要求。积极开展金厢-碣石古驿道、北中-剑门古驿道、田墘</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大湖古驿道、通平古道、大蹊岭盐运古驿道等两侧森林生态修复，开展林相改造，打造景观节点，建设各具特色的南粤古驿道。到2025年，完成古驿道两侧生态修复6.9</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lang w:val="en-US" w:eastAsia="zh-CN"/>
        </w:rPr>
        <w:t>公里。</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九、加强红树林保护修复</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按照应划尽划、应保尽保的要求，实施红树林整体保护，严格红树林地用途管制，除国家重大项目外，禁止占用红树林地。加强红树林管理，摸清红树林底数，实施红树林生态修复。</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期间，营造红树林7050亩，修复现有红树林720亩。</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十、加强沿海防护林建设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实施新一期沿海防护林建设，形成结构稳定、功能完备、多树种、多层次的立体防护林体系，使沿海防护林质量显著提升，防灾减灾能力明显增强，经济社会发展得到有效保障。</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期间，规划建设沿海防护林7.32万亩。</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十一、加强湿地生态保护修复</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加强湿地保护，严格实行湿地面积总量管控制度，严禁擅自使用、占用和破坏湿地。加强湿地保护宣传教育和培训，结合世界湿地日、世界野生动植物日、爱鸟周和保护野生动物宣传月等开展宣传教育活动，提高公众湿地保护意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加强湿地修复，通过营造适宜生境环境、搭建繁殖巢、建设生态廊道等方式，改善和恢复野生动植物生境和栖息地。充分利用工程措施和生物措施对退化湿地的基质、植被和水生态进行有效恢复，保障湿地生态系统的生物多样性。</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期间，完成汕尾市湿地保护利用规划，开展湿地生境改造工程2250亩。</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十二、加强生物多样性保护建设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加强各级行政执法队伍建设，建立联合执法长效机制，坚决打击破坏行为。针对黑脸琵鹭、紫水鸡、勺嘴鹬等珍稀濒危物种，监测及跟踪其生长、生活动态，提高保护效率。全面构建野生动植物监管体系，防范外来有害物种入侵。加强外来物种和有害生物监测能力，提高对重要野生动植物和重要生态系统构成威胁的外来物种和有害生物的治理和研究水平。建立外来物种入侵早期预警评估系统，利用物理清除、化学除草、生物防治等方式开展外来物种入侵治理。</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rPr>
      </w:pPr>
      <w:bookmarkStart w:id="44" w:name="_Toc78615447"/>
      <w:bookmarkStart w:id="45" w:name="_Toc18630"/>
      <w:r>
        <w:rPr>
          <w:rFonts w:hint="default" w:ascii="Times New Roman" w:hAnsi="Times New Roman" w:eastAsia="黑体" w:cs="Times New Roman"/>
          <w:sz w:val="30"/>
          <w:szCs w:val="30"/>
        </w:rPr>
        <w:t>第二节 建立高水平自然保护地体系</w:t>
      </w:r>
      <w:bookmarkEnd w:id="44"/>
      <w:bookmarkEnd w:id="45"/>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建立高水平自然保护地体系，推进自然保护地整合优化预案落地，建立健全规划体系，加强基础设施建设，提高自然保护区保护水平，提升自然公园生态服务能力。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一、推进整合优化预案落地</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按照整合优化工作部署，开展自然保护地勘界立标，明确自然保护地范围和管控区划边界，建立矢量数据库，依法依规完成勘界立标；积极协调完成自然保护地优化整合后的各项任务，妥善解决自然保护地相互交叉重叠、多头管理、边界不清、权责不明、保护与发展矛盾突出等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二</w:t>
      </w:r>
      <w:r>
        <w:rPr>
          <w:rFonts w:hint="eastAsia" w:ascii="Times New Roman" w:hAnsi="Times New Roman" w:eastAsia="仿宋_GB2312" w:cs="Times New Roman"/>
          <w:b/>
          <w:sz w:val="30"/>
          <w:szCs w:val="30"/>
          <w:lang w:val="en-US" w:eastAsia="zh-CN"/>
        </w:rPr>
        <w:t>、</w:t>
      </w:r>
      <w:r>
        <w:rPr>
          <w:rFonts w:hint="default" w:ascii="Times New Roman" w:hAnsi="Times New Roman" w:eastAsia="仿宋_GB2312" w:cs="Times New Roman"/>
          <w:b/>
          <w:sz w:val="30"/>
          <w:szCs w:val="30"/>
          <w:lang w:val="en-US" w:eastAsia="zh-CN"/>
        </w:rPr>
        <w:t>建立健全规划和监测体系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开展各级别自然保护地综合科学考察，完善自然保护地本底资源数据，编制或修订单个自然保护地总体规划及相关专项规划。以</w:t>
      </w:r>
      <w:r>
        <w:rPr>
          <w:rFonts w:hint="eastAsia" w:ascii="Times New Roman" w:hAnsi="Times New Roman" w:eastAsia="仿宋_GB2312"/>
          <w:sz w:val="30"/>
          <w:szCs w:val="30"/>
          <w:highlight w:val="none"/>
        </w:rPr>
        <w:t>广东陆河南万红锥林自然保护区</w:t>
      </w:r>
      <w:r>
        <w:rPr>
          <w:rFonts w:hint="default" w:ascii="Times New Roman" w:hAnsi="Times New Roman" w:eastAsia="仿宋_GB2312" w:cs="Times New Roman"/>
          <w:sz w:val="30"/>
          <w:szCs w:val="30"/>
          <w:lang w:val="en-US" w:eastAsia="zh-CN"/>
        </w:rPr>
        <w:t>为重点开展野生动植物科研监测项目</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加强野生动植物监测与评估。</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eastAsia" w:ascii="Times New Roman" w:hAnsi="Times New Roman" w:eastAsia="仿宋_GB2312" w:cs="Times New Roman"/>
          <w:b/>
          <w:sz w:val="30"/>
          <w:szCs w:val="30"/>
          <w:lang w:val="en-US" w:eastAsia="zh-CN"/>
        </w:rPr>
        <w:t>三</w:t>
      </w:r>
      <w:r>
        <w:rPr>
          <w:rFonts w:hint="default" w:ascii="Times New Roman" w:hAnsi="Times New Roman" w:eastAsia="仿宋_GB2312" w:cs="Times New Roman"/>
          <w:b/>
          <w:sz w:val="30"/>
          <w:szCs w:val="30"/>
          <w:lang w:val="en-US" w:eastAsia="zh-CN"/>
        </w:rPr>
        <w:t>、提高自然保护区保护水平和修复能力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针对市域内省级和市县级不同级别的自然保护区，实施分类施策保护；优化自然保护区功能分区，实施分区精准保护。坚持保护优先、科学修复、合理利用、可持续发展的方针，采用以自然恢复为主、人工促进为辅的方法，加强自然保护区物种栖息地和关键生境等修复。加强重要鸟类迁徙通道保护，开展迁飞种群动态监测。</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eastAsia" w:ascii="Times New Roman" w:hAnsi="Times New Roman" w:eastAsia="仿宋_GB2312" w:cs="Times New Roman"/>
          <w:b/>
          <w:sz w:val="30"/>
          <w:szCs w:val="30"/>
          <w:lang w:val="en-US" w:eastAsia="zh-CN"/>
        </w:rPr>
        <w:t>四</w:t>
      </w:r>
      <w:r>
        <w:rPr>
          <w:rFonts w:hint="default" w:ascii="Times New Roman" w:hAnsi="Times New Roman" w:eastAsia="仿宋_GB2312" w:cs="Times New Roman"/>
          <w:b/>
          <w:sz w:val="30"/>
          <w:szCs w:val="30"/>
          <w:lang w:val="en-US" w:eastAsia="zh-CN"/>
        </w:rPr>
        <w:t>、提升自然公园生态服务能力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加强保护自然公园内珍贵自然资源及其所承载的生态、景观、文化、科研价值，提升生态功能和景观品质，增强自然公园生态服务能力。加强自然</w:t>
      </w:r>
      <w:r>
        <w:rPr>
          <w:rFonts w:hint="eastAsia" w:ascii="Times New Roman" w:hAnsi="Times New Roman" w:eastAsia="仿宋_GB2312" w:cs="Times New Roman"/>
          <w:sz w:val="30"/>
          <w:szCs w:val="30"/>
          <w:lang w:val="en-US" w:eastAsia="zh-CN"/>
        </w:rPr>
        <w:t>公园</w:t>
      </w:r>
      <w:r>
        <w:rPr>
          <w:rFonts w:hint="default" w:ascii="Times New Roman" w:hAnsi="Times New Roman" w:eastAsia="仿宋_GB2312" w:cs="Times New Roman"/>
          <w:sz w:val="30"/>
          <w:szCs w:val="30"/>
          <w:lang w:val="en-US" w:eastAsia="zh-CN"/>
        </w:rPr>
        <w:t>内科普宣教设施建设，完善自然</w:t>
      </w:r>
      <w:r>
        <w:rPr>
          <w:rFonts w:hint="eastAsia" w:ascii="Times New Roman" w:hAnsi="Times New Roman" w:eastAsia="仿宋_GB2312" w:cs="Times New Roman"/>
          <w:sz w:val="30"/>
          <w:szCs w:val="30"/>
          <w:lang w:val="en-US" w:eastAsia="zh-CN"/>
        </w:rPr>
        <w:t>公园内</w:t>
      </w:r>
      <w:r>
        <w:rPr>
          <w:rFonts w:hint="default" w:ascii="Times New Roman" w:hAnsi="Times New Roman" w:eastAsia="仿宋_GB2312" w:cs="Times New Roman"/>
          <w:sz w:val="30"/>
          <w:szCs w:val="30"/>
          <w:lang w:val="en-US" w:eastAsia="zh-CN"/>
        </w:rPr>
        <w:t>的解说、标识系统建设，增加常见野生动植物和珍稀野生动植物标识展示牌，实现自然保护地健康持续发展，充分发挥生态服务功能。</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eastAsia" w:ascii="Times New Roman" w:hAnsi="Times New Roman" w:eastAsia="仿宋_GB2312" w:cs="Times New Roman"/>
          <w:b/>
          <w:sz w:val="30"/>
          <w:szCs w:val="30"/>
          <w:lang w:val="en-US" w:eastAsia="zh-CN"/>
        </w:rPr>
        <w:t>五、</w:t>
      </w:r>
      <w:r>
        <w:rPr>
          <w:rFonts w:hint="default" w:ascii="Times New Roman" w:hAnsi="Times New Roman" w:eastAsia="仿宋_GB2312" w:cs="Times New Roman"/>
          <w:b/>
          <w:sz w:val="30"/>
          <w:szCs w:val="30"/>
          <w:lang w:val="en-US" w:eastAsia="zh-CN"/>
        </w:rPr>
        <w:t>加强</w:t>
      </w:r>
      <w:r>
        <w:rPr>
          <w:rFonts w:hint="eastAsia" w:ascii="Times New Roman" w:hAnsi="Times New Roman" w:eastAsia="仿宋_GB2312" w:cs="Times New Roman"/>
          <w:b/>
          <w:sz w:val="30"/>
          <w:szCs w:val="30"/>
          <w:lang w:val="en-US" w:eastAsia="zh-CN"/>
        </w:rPr>
        <w:t>自然保护地</w:t>
      </w:r>
      <w:r>
        <w:rPr>
          <w:rFonts w:hint="default" w:ascii="Times New Roman" w:hAnsi="Times New Roman" w:eastAsia="仿宋_GB2312" w:cs="Times New Roman"/>
          <w:b/>
          <w:sz w:val="30"/>
          <w:szCs w:val="30"/>
          <w:lang w:val="en-US" w:eastAsia="zh-CN"/>
        </w:rPr>
        <w:t>基础设施建设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加强自然保护地管护巡护、防灾减灾、生物防控、宣教场馆、解说标识系统、公众教育路线、道路、通讯、网络、给排水、供电、绿化美化等基础设施建设，提高自然保护地在保护管理、生态教育、自然体验、科研监测等方面的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b/>
          <w:bCs/>
          <w:sz w:val="30"/>
          <w:szCs w:val="30"/>
        </w:rPr>
      </w:pPr>
      <w:r>
        <w:rPr>
          <w:rFonts w:hint="eastAsia" w:ascii="Times New Roman" w:hAnsi="Times New Roman" w:eastAsia="仿宋_GB2312" w:cs="Times New Roman"/>
          <w:b/>
          <w:sz w:val="30"/>
          <w:szCs w:val="30"/>
          <w:lang w:val="en-US" w:eastAsia="zh-CN"/>
        </w:rPr>
        <w:t>六、</w:t>
      </w:r>
      <w:r>
        <w:rPr>
          <w:rFonts w:hint="default" w:ascii="Times New Roman" w:hAnsi="Times New Roman" w:eastAsia="仿宋_GB2312" w:cs="Times New Roman"/>
          <w:b/>
          <w:bCs/>
          <w:sz w:val="30"/>
          <w:szCs w:val="30"/>
        </w:rPr>
        <w:t>加强</w:t>
      </w:r>
      <w:r>
        <w:rPr>
          <w:rFonts w:hint="eastAsia" w:ascii="Times New Roman" w:hAnsi="Times New Roman" w:eastAsia="仿宋_GB2312" w:cs="Times New Roman"/>
          <w:b/>
          <w:bCs/>
          <w:sz w:val="30"/>
          <w:szCs w:val="30"/>
          <w:lang w:val="en-US" w:eastAsia="zh-CN"/>
        </w:rPr>
        <w:t>自然保护地</w:t>
      </w:r>
      <w:r>
        <w:rPr>
          <w:rFonts w:hint="default" w:ascii="Times New Roman" w:hAnsi="Times New Roman" w:eastAsia="仿宋_GB2312" w:cs="Times New Roman"/>
          <w:b/>
          <w:bCs/>
          <w:sz w:val="30"/>
          <w:szCs w:val="30"/>
        </w:rPr>
        <w:t>人员队伍建设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保障各自然保护地机构设置和人员配置到位，通过公开招考、人才引进等方式，积极引进自然保护地专业技术人才。注重与省内高等院校、科研院所等高层次平台的交流合作，邀请专家授课培训，提升自然保护地工作人员的专业技能。</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b/>
          <w:bCs/>
          <w:sz w:val="30"/>
          <w:szCs w:val="30"/>
          <w:lang w:eastAsia="zh-CN"/>
        </w:rPr>
      </w:pPr>
      <w:r>
        <w:rPr>
          <w:rFonts w:hint="eastAsia" w:ascii="Times New Roman" w:hAnsi="Times New Roman" w:eastAsia="仿宋_GB2312" w:cs="Times New Roman"/>
          <w:b/>
          <w:bCs/>
          <w:sz w:val="30"/>
          <w:szCs w:val="30"/>
          <w:lang w:val="en-US" w:eastAsia="zh-CN"/>
        </w:rPr>
        <w:t>七、</w:t>
      </w:r>
      <w:r>
        <w:rPr>
          <w:rFonts w:hint="default" w:ascii="Times New Roman" w:hAnsi="Times New Roman" w:eastAsia="仿宋_GB2312" w:cs="Times New Roman"/>
          <w:b/>
          <w:bCs/>
          <w:sz w:val="30"/>
          <w:szCs w:val="30"/>
          <w:lang w:eastAsia="zh-CN"/>
        </w:rPr>
        <w:t>科学设置</w:t>
      </w:r>
      <w:r>
        <w:rPr>
          <w:rFonts w:hint="eastAsia" w:ascii="Times New Roman" w:hAnsi="Times New Roman" w:eastAsia="仿宋_GB2312" w:cs="Times New Roman"/>
          <w:b/>
          <w:bCs/>
          <w:sz w:val="30"/>
          <w:szCs w:val="30"/>
          <w:lang w:val="en-US" w:eastAsia="zh-CN"/>
        </w:rPr>
        <w:t>自然保护地</w:t>
      </w:r>
      <w:r>
        <w:rPr>
          <w:rFonts w:hint="default" w:ascii="Times New Roman" w:hAnsi="Times New Roman" w:eastAsia="仿宋_GB2312" w:cs="Times New Roman"/>
          <w:b/>
          <w:bCs/>
          <w:sz w:val="30"/>
          <w:szCs w:val="30"/>
          <w:lang w:eastAsia="zh-CN"/>
        </w:rPr>
        <w:t>管理机构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结合自然保护地整合优化工作进度，逐步理顺管理体制，做到一个自然保护地、一套机构、一块牌子。探索自然保护地管理模式，科学设置自然保护地管理机构，分批有序完成全</w:t>
      </w:r>
      <w:r>
        <w:rPr>
          <w:rFonts w:hint="default" w:ascii="Times New Roman" w:hAnsi="Times New Roman" w:eastAsia="仿宋_GB2312" w:cs="Times New Roman"/>
          <w:sz w:val="30"/>
          <w:szCs w:val="30"/>
          <w:lang w:val="en-US" w:eastAsia="zh-CN"/>
        </w:rPr>
        <w:t>市</w:t>
      </w:r>
      <w:r>
        <w:rPr>
          <w:rFonts w:hint="default" w:ascii="Times New Roman" w:hAnsi="Times New Roman" w:eastAsia="仿宋_GB2312" w:cs="Times New Roman"/>
          <w:sz w:val="30"/>
          <w:szCs w:val="30"/>
        </w:rPr>
        <w:t>各级各类自然保护地管理机构设置，确保每个自然保护地都有相应的机构管理。</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lang w:eastAsia="zh-CN"/>
        </w:rPr>
      </w:pPr>
      <w:bookmarkStart w:id="46" w:name="_Toc78615449"/>
      <w:bookmarkStart w:id="47" w:name="_Toc16205"/>
      <w:r>
        <w:rPr>
          <w:rFonts w:hint="default" w:ascii="Times New Roman" w:hAnsi="Times New Roman" w:eastAsia="黑体" w:cs="Times New Roman"/>
          <w:sz w:val="30"/>
          <w:szCs w:val="30"/>
        </w:rPr>
        <w:t>第</w:t>
      </w:r>
      <w:r>
        <w:rPr>
          <w:rFonts w:hint="default" w:ascii="Times New Roman" w:hAnsi="Times New Roman" w:eastAsia="黑体" w:cs="Times New Roman"/>
          <w:sz w:val="30"/>
          <w:szCs w:val="30"/>
          <w:lang w:val="en-US" w:eastAsia="zh-CN"/>
        </w:rPr>
        <w:t>三</w:t>
      </w:r>
      <w:r>
        <w:rPr>
          <w:rFonts w:hint="default" w:ascii="Times New Roman" w:hAnsi="Times New Roman" w:eastAsia="黑体" w:cs="Times New Roman"/>
          <w:sz w:val="30"/>
          <w:szCs w:val="30"/>
        </w:rPr>
        <w:t xml:space="preserve">节 </w:t>
      </w:r>
      <w:r>
        <w:rPr>
          <w:rFonts w:hint="default" w:ascii="Times New Roman" w:hAnsi="Times New Roman" w:eastAsia="黑体" w:cs="Times New Roman"/>
          <w:sz w:val="30"/>
          <w:szCs w:val="30"/>
          <w:lang w:val="en-US" w:eastAsia="zh-CN"/>
        </w:rPr>
        <w:t>加快</w:t>
      </w:r>
      <w:r>
        <w:rPr>
          <w:rFonts w:hint="default" w:ascii="Times New Roman" w:hAnsi="Times New Roman" w:eastAsia="黑体" w:cs="Times New Roman"/>
          <w:sz w:val="30"/>
          <w:szCs w:val="30"/>
        </w:rPr>
        <w:t>森林城市</w:t>
      </w:r>
      <w:bookmarkEnd w:id="46"/>
      <w:r>
        <w:rPr>
          <w:rFonts w:hint="default" w:ascii="Times New Roman" w:hAnsi="Times New Roman" w:eastAsia="黑体" w:cs="Times New Roman"/>
          <w:sz w:val="30"/>
          <w:szCs w:val="30"/>
          <w:lang w:val="en-US" w:eastAsia="zh-CN"/>
        </w:rPr>
        <w:t>创建</w:t>
      </w:r>
      <w:bookmarkEnd w:id="47"/>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一、创建汕尾市国家森林城市</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立足自身资源优势，深入开展国家森林城市创建，依照《广东省汕尾市国家森林城市建设总体规划</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2020-2030</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》建设目标和建设布局，着眼中远期规划任务，严格落实</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创森三年行动计划</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，高质量增加城市森林绿地面积、拓展城区绿色空间、改善城乡生态面貌和人居环境，进一步提升森林质量，让森林走进城市，让城市拥抱森林，增加人民群众的获得感和幸福感。</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w:t>
      </w:r>
      <w:r>
        <w:rPr>
          <w:rFonts w:hint="default" w:ascii="Times New Roman" w:hAnsi="Times New Roman" w:eastAsia="仿宋_GB2312" w:cs="Times New Roman"/>
          <w:color w:val="auto"/>
          <w:sz w:val="30"/>
          <w:szCs w:val="30"/>
          <w:lang w:val="en-US" w:eastAsia="zh-CN"/>
        </w:rPr>
        <w:t>顺利通过国家森林城市验收，获得国家森林城市授牌，</w:t>
      </w:r>
      <w:r>
        <w:rPr>
          <w:rFonts w:hint="default" w:ascii="Times New Roman" w:hAnsi="Times New Roman" w:eastAsia="仿宋_GB2312" w:cs="Times New Roman"/>
          <w:sz w:val="30"/>
          <w:szCs w:val="30"/>
          <w:lang w:val="en-US" w:eastAsia="zh-CN"/>
        </w:rPr>
        <w:t>全面提升汕尾市国家森林城市建设水平。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二、建设县级国家森林城市</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各县（市、区）</w:t>
      </w:r>
      <w:r>
        <w:rPr>
          <w:rFonts w:hint="eastAsia" w:ascii="Times New Roman" w:hAnsi="Times New Roman" w:eastAsia="仿宋_GB2312" w:cs="Times New Roman"/>
          <w:sz w:val="30"/>
          <w:szCs w:val="30"/>
          <w:lang w:val="en-US" w:eastAsia="zh-CN"/>
        </w:rPr>
        <w:t>成</w:t>
      </w:r>
      <w:r>
        <w:rPr>
          <w:rFonts w:hint="default" w:ascii="Times New Roman" w:hAnsi="Times New Roman" w:eastAsia="仿宋_GB2312" w:cs="Times New Roman"/>
          <w:sz w:val="30"/>
          <w:szCs w:val="30"/>
          <w:lang w:val="en-US" w:eastAsia="zh-CN"/>
        </w:rPr>
        <w:t>立创建森林城市工作领导小组，明确各部门的责任分工，按时按质推进县级国家森林城市创建工作。充分利用和挖掘森林城市的建设潜力，提高县城森林绿地质量，提升县城城区生态空间。</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期间，创建海丰、陆河2个县级国家森林城市。</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三、建设广东省森林小镇</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按照</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广东省森林小镇</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建设标准及要求，依托城镇建成区内的森林绿地</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丰富的森林旅游资源、河湖水系等湿地景观</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乡土生态文化，深挖城镇发展特色，探索适合当地的绿化发展模式，通过增加休闲游憩绿地、完善旅游配套设施、加强生态文化宣传教育等手段，打造集景观展示、休闲游憩、利于发展等多功能于一体的休闲宜居型或生态旅游型的森林小镇。</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期间，建设3个以上省级森林小镇。</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四、建设绿美古树乡村</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依托秀美的自然环境和深厚的历史文化底蕴，围绕</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一树、两园、三廓、四旁</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的建设布局，在通往村内的道路两旁建设一条绿化景观路，突出村道风貌。引导村民利用房前屋后院内闲置地见缝插绿，种植经济树种、珍贵树种、观赏花木等，增加村庄绿量，形成不同空间层次上的美化，切实改善农村生态环境。</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期间，建设7个绿美古树乡村。</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五、建设绿美红色乡村</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结合乡村振兴战略和全域旅游发展统筹规划，推动红色文化、红色旅游、乡村振兴、乡村绿化美化融合发展，通过提升红色</w:t>
      </w:r>
      <w:r>
        <w:rPr>
          <w:rFonts w:hint="eastAsia" w:ascii="Times New Roman" w:hAnsi="Times New Roman" w:eastAsia="仿宋_GB2312" w:cs="Times New Roman"/>
          <w:sz w:val="30"/>
          <w:szCs w:val="30"/>
          <w:lang w:val="en-US" w:eastAsia="zh-CN"/>
        </w:rPr>
        <w:t>乡</w:t>
      </w:r>
      <w:r>
        <w:rPr>
          <w:rFonts w:hint="default" w:ascii="Times New Roman" w:hAnsi="Times New Roman" w:eastAsia="仿宋_GB2312" w:cs="Times New Roman"/>
          <w:sz w:val="30"/>
          <w:szCs w:val="30"/>
          <w:lang w:val="en-US" w:eastAsia="zh-CN"/>
        </w:rPr>
        <w:t>村绿化美化质量、特色产业发展、生态文化宣传等，完善红色乡村配套服务设施，提高乡村生态环境，打造既突出红色文化，又展示乡村特色的绿美红色乡村。</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期间，建设60个绿美红色乡村。</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六、建设省级森林乡村</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配合省级林业主管部门实施</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千村万树</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等乡村绿化美化工程，提升乡村绿化质量，优化乡村生态空间格局，着力推进乡村生态产业发展，把乡村建设成为生态宜居、富裕繁荣、和谐发展的美丽家园。支持将自然生态风貌保存完好、乡土田园特色突出、森林氛围浓郁、森林功能效益显著、涉林产业发展良好、人居环境整洁、保护管理有效的生态宜居乡村申报省级森林乡村。</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期间，评价认定8个省级森林乡村。</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七、积极推动全民义务植树</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以推动创建国家森林城市为契机，创新推动全民义务植树。丰富和拓展全民义务植树的尽责形式，提升义务植树的效果。通过搭建网络平台，发挥</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互联网+</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项目作用，创新推进义务植树基地建设，提高公众对义务植树的参与度。利用义务植树资金和创森资金实施心地绿洲景观工程项目（汕尾市义务植树项目），在城市拆迁违建空地上，见缝插绿，应绿尽绿，提升城市生态景观。到2025年，汕尾市义务植树尽责率</w:t>
      </w:r>
      <w:r>
        <w:rPr>
          <w:rFonts w:hint="eastAsia" w:ascii="Times New Roman" w:hAnsi="Times New Roman" w:eastAsia="仿宋_GB2312" w:cs="Times New Roman"/>
          <w:sz w:val="30"/>
          <w:szCs w:val="30"/>
          <w:lang w:val="en-US" w:eastAsia="zh-CN"/>
        </w:rPr>
        <w:t>保持在</w:t>
      </w:r>
      <w:r>
        <w:rPr>
          <w:rFonts w:hint="default" w:ascii="Times New Roman" w:hAnsi="Times New Roman" w:eastAsia="仿宋_GB2312" w:cs="Times New Roman"/>
          <w:sz w:val="30"/>
          <w:szCs w:val="30"/>
          <w:lang w:val="en-US" w:eastAsia="zh-CN"/>
        </w:rPr>
        <w:t>90%以上。</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八、加强古树名木保护修复</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严格落实古树名木保护责任制，继续加大后备古树资源的调查力度。进一步加强古树名木日常养护和管理，及时掌握古树名木资源的管理状况和生长动态，实现古树名木有效保护。各县（市、区）要积极统筹落实专项养护资金，根据古树生长情况抢救性复壮一批长势衰弱或濒危的古树名木。开展古树公园建设，推进古树名木认养工作，示范带动全市古树名木保护。通过古树名木保护宣传警示牌、广播、手机、微信、网站等形式大力宣传，弘扬中华民族爱树、植树、护树的优良传统，增强全社会保护古树名木的意识。到2025年，全市古树名木挂牌率达到95%以上，完成制作《汕尾市古树名木画册》，对濒危古树进行抢救性复壮。</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九、建设森林生态综合示范园</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充分利用国有林场资源优势，发展生态旅游，高标准打造多功能示范园，促进生态经营性林场向生态公益性林场转型，服务国有林场改革新发展。</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期间，重点培育国有黄羌林场，打造集森林旅游、森林康养、林下经济、林业科技于一体的森林生态综合示范园。</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十、建设汕尾金霞光森林公园</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以</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森林城市先导、万里碧道起点</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为契机，结合</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创森</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和</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创园</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计划，通过主题花树种植，实现</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公园变花园，荒山变花山，花园花山串花链</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的总愿景。</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期间，规划建设</w:t>
      </w:r>
      <w:r>
        <w:rPr>
          <w:rFonts w:hint="eastAsia" w:ascii="Times New Roman" w:hAnsi="Times New Roman" w:eastAsia="仿宋_GB2312" w:cs="Times New Roman"/>
          <w:sz w:val="30"/>
          <w:szCs w:val="30"/>
          <w:lang w:val="en-US" w:eastAsia="zh-CN"/>
        </w:rPr>
        <w:t>好</w:t>
      </w:r>
      <w:r>
        <w:rPr>
          <w:rFonts w:hint="default" w:ascii="Times New Roman" w:hAnsi="Times New Roman" w:eastAsia="仿宋_GB2312" w:cs="Times New Roman"/>
          <w:sz w:val="30"/>
          <w:szCs w:val="30"/>
          <w:lang w:val="en-US" w:eastAsia="zh-CN"/>
        </w:rPr>
        <w:t>汕尾金霞光森林公园。</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十一、加强生态文化宣传和服务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多渠道、多形式地宣传生态文化建设活动，积极报道林业生态建设的新进展和新成果。创新宣传形式，线上利用网站、微博、微信公众号、直播平台等，随时报道林业生态建设内容和工作动态；线下结合传统媒介电视、报纸等发布林业生态建设新闻，营造全社会</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关注森林、关注生态、关注林业</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的浓厚氛围。广泛开展生态科普活动宣传。依托植树节</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爱鸟周</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世界地球日</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湿地日</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生物多样性日</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环境日等，在森林公园、湿地公园等开展生态科普教育活动，普及生态知识，积极倡导绿色生活，不断增强人民群众的生态保护意识，引导健康消费和绿色消费。</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rPr>
      </w:pPr>
      <w:bookmarkStart w:id="48" w:name="_Toc78615450"/>
      <w:bookmarkStart w:id="49" w:name="_Toc27151"/>
      <w:r>
        <w:rPr>
          <w:rFonts w:hint="default" w:ascii="Times New Roman" w:hAnsi="Times New Roman" w:eastAsia="黑体" w:cs="Times New Roman"/>
          <w:sz w:val="30"/>
          <w:szCs w:val="30"/>
        </w:rPr>
        <w:t>第</w:t>
      </w:r>
      <w:r>
        <w:rPr>
          <w:rFonts w:hint="default" w:ascii="Times New Roman" w:hAnsi="Times New Roman" w:eastAsia="黑体" w:cs="Times New Roman"/>
          <w:sz w:val="30"/>
          <w:szCs w:val="30"/>
          <w:lang w:val="en-US" w:eastAsia="zh-CN"/>
        </w:rPr>
        <w:t>四</w:t>
      </w:r>
      <w:r>
        <w:rPr>
          <w:rFonts w:hint="default" w:ascii="Times New Roman" w:hAnsi="Times New Roman" w:eastAsia="黑体" w:cs="Times New Roman"/>
          <w:sz w:val="30"/>
          <w:szCs w:val="30"/>
        </w:rPr>
        <w:t>节 发展</w:t>
      </w:r>
      <w:r>
        <w:rPr>
          <w:rFonts w:hint="default" w:ascii="Times New Roman" w:hAnsi="Times New Roman" w:eastAsia="黑体" w:cs="Times New Roman"/>
          <w:sz w:val="30"/>
          <w:szCs w:val="30"/>
          <w:lang w:val="en-US" w:eastAsia="zh-CN"/>
        </w:rPr>
        <w:t>绿色富民</w:t>
      </w:r>
      <w:r>
        <w:rPr>
          <w:rFonts w:hint="default" w:ascii="Times New Roman" w:hAnsi="Times New Roman" w:eastAsia="黑体" w:cs="Times New Roman"/>
          <w:sz w:val="30"/>
          <w:szCs w:val="30"/>
        </w:rPr>
        <w:t>产业，助</w:t>
      </w:r>
      <w:r>
        <w:rPr>
          <w:rFonts w:hint="default" w:ascii="Times New Roman" w:hAnsi="Times New Roman" w:eastAsia="黑体" w:cs="Times New Roman"/>
          <w:sz w:val="30"/>
          <w:szCs w:val="30"/>
          <w:lang w:val="en-US" w:eastAsia="zh-CN"/>
        </w:rPr>
        <w:t>力</w:t>
      </w:r>
      <w:r>
        <w:rPr>
          <w:rFonts w:hint="default" w:ascii="Times New Roman" w:hAnsi="Times New Roman" w:eastAsia="黑体" w:cs="Times New Roman"/>
          <w:sz w:val="30"/>
          <w:szCs w:val="30"/>
        </w:rPr>
        <w:t>乡村振兴</w:t>
      </w:r>
      <w:bookmarkEnd w:id="48"/>
      <w:bookmarkEnd w:id="49"/>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一、提升发展传统产业</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立足汕尾市现有优势品种，扩大特色经济林种植规模和改进优质品种，加快特色经济林基地建设。</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期间，建设省级特色经济林示范基地1个。</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做优林下经济，重点推进建成一批规模适度、效益好、带动力强的林下经济标准示范基地，重点扶持一批龙头企业和农村专业合作组织，着力实施林下生态种植、林下生态养殖等多业态融合的循环经济模式。加快推进林下经济产业化、信息化、特色化建设，实现生态与林下经济产业协调发展。</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期间，进一步完善林下示范基地建设，新建省级林下经济示范基地1个。</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二、培育林业新兴产业</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rPr>
        <w:t>（一）发展森林旅游。</w:t>
      </w:r>
      <w:r>
        <w:rPr>
          <w:rFonts w:hint="default" w:ascii="Times New Roman" w:hAnsi="Times New Roman" w:eastAsia="仿宋_GB2312" w:cs="Times New Roman"/>
          <w:sz w:val="30"/>
          <w:szCs w:val="30"/>
        </w:rPr>
        <w:t>以滨海旅游为引领，以全域旅游建设为突破口，积极探索发展森林旅游新业态。依托山川林木等自然资源，发掘丰富的蓝色海洋资源和革命老区红色文化，科学规划、有效利用，努力发展森林旅游新业态，统筹推进</w:t>
      </w:r>
      <w:r>
        <w:rPr>
          <w:rFonts w:hint="eastAsia" w:ascii="Times New Roman" w:hAnsi="Times New Roman" w:eastAsia="仿宋_GB2312"/>
          <w:sz w:val="30"/>
          <w:szCs w:val="30"/>
          <w:highlight w:val="none"/>
        </w:rPr>
        <w:t>汕尾市铜鼎山森林（郊野）公园、广东莲花山森林公园、海丰大云岭森林公园、汕尾陆丰玄武山</w:t>
      </w:r>
      <w:r>
        <w:rPr>
          <w:rFonts w:ascii="Times New Roman" w:hAnsi="Times New Roman" w:eastAsia="仿宋_GB2312"/>
          <w:sz w:val="30"/>
          <w:szCs w:val="30"/>
          <w:highlight w:val="none"/>
        </w:rPr>
        <w:t>-</w:t>
      </w:r>
      <w:r>
        <w:rPr>
          <w:rFonts w:hint="eastAsia" w:ascii="Times New Roman" w:hAnsi="Times New Roman" w:eastAsia="仿宋_GB2312"/>
          <w:sz w:val="30"/>
          <w:szCs w:val="30"/>
          <w:highlight w:val="none"/>
        </w:rPr>
        <w:t>金厢滩省级风景名胜区、</w:t>
      </w:r>
      <w:r>
        <w:rPr>
          <w:rFonts w:hint="default" w:ascii="Times New Roman" w:hAnsi="Times New Roman" w:eastAsia="仿宋_GB2312" w:cs="Times New Roman"/>
          <w:sz w:val="30"/>
          <w:szCs w:val="30"/>
        </w:rPr>
        <w:t>螺洞世外梅园旅游区和红海湾滨海旅游示范园区等森林旅游基地基础设施建设，挖掘森林旅游项目的丰富内涵，为人民群众提供一批优质的森林生态旅游产品。</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十四五</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期间，继续打造5条森林旅游特色路线和2个森林旅游新兴品牌地。</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（二）发展森林康养。</w:t>
      </w:r>
      <w:r>
        <w:rPr>
          <w:rFonts w:hint="default" w:ascii="Times New Roman" w:hAnsi="Times New Roman" w:eastAsia="仿宋_GB2312" w:cs="Times New Roman"/>
          <w:sz w:val="30"/>
          <w:szCs w:val="30"/>
        </w:rPr>
        <w:t>积极响应</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健康中国</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和“冬养汕尾”</w:t>
      </w:r>
      <w:r>
        <w:rPr>
          <w:rFonts w:hint="default" w:ascii="Times New Roman" w:hAnsi="Times New Roman" w:eastAsia="仿宋_GB2312" w:cs="Times New Roman"/>
          <w:sz w:val="30"/>
          <w:szCs w:val="30"/>
        </w:rPr>
        <w:t>的发展理念，依托汕尾市优越的森林景观、湿地景观、海洋景观等自然资源，加快建设森林康养产业。充分利用森林在提供自然体验和促进公众健康中的突出优势，推动森林康养建设，使公众充分享受森林建设带来的生态福利，在</w:t>
      </w:r>
      <w:r>
        <w:rPr>
          <w:rFonts w:hint="eastAsia" w:ascii="Times New Roman" w:hAnsi="Times New Roman" w:eastAsia="仿宋_GB2312"/>
          <w:sz w:val="30"/>
          <w:szCs w:val="30"/>
          <w:highlight w:val="none"/>
        </w:rPr>
        <w:t>广东莲花山森林公园</w:t>
      </w:r>
      <w:r>
        <w:rPr>
          <w:rFonts w:hint="eastAsia" w:ascii="Times New Roman" w:hAnsi="Times New Roman" w:eastAsia="仿宋_GB2312" w:cs="Times New Roman"/>
          <w:sz w:val="30"/>
          <w:szCs w:val="30"/>
          <w:lang w:val="en-US" w:eastAsia="zh-CN"/>
        </w:rPr>
        <w:t>和</w:t>
      </w:r>
      <w:r>
        <w:rPr>
          <w:rFonts w:hint="default" w:ascii="Times New Roman" w:hAnsi="Times New Roman" w:eastAsia="仿宋_GB2312" w:cs="Times New Roman"/>
          <w:sz w:val="30"/>
          <w:szCs w:val="30"/>
        </w:rPr>
        <w:t>汕尾市御林山海景区，积极开展高层次、多类型的森林康养休闲项目建设，打造汕尾市规模化、产业化的康养产业体系。至2025年，实施建设省级以上森林康养基地2个。</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（三）发展自然科普教育。</w:t>
      </w:r>
      <w:r>
        <w:rPr>
          <w:rFonts w:hint="default" w:ascii="Times New Roman" w:hAnsi="Times New Roman" w:eastAsia="仿宋_GB2312" w:cs="Times New Roman"/>
          <w:b w:val="0"/>
          <w:bCs w:val="0"/>
          <w:sz w:val="30"/>
          <w:szCs w:val="30"/>
        </w:rPr>
        <w:t>坚持以习近平生态文明思想为根本指引，不断推进自然教育、健康教育工作。积极开展自然教育活动，多维度展示汕尾特色的森林生态保护成果，引导公众认识和树立正确生态</w:t>
      </w:r>
      <w:r>
        <w:rPr>
          <w:rFonts w:hint="eastAsia" w:ascii="Times New Roman" w:hAnsi="Times New Roman" w:eastAsia="仿宋_GB2312" w:cs="Times New Roman"/>
          <w:b w:val="0"/>
          <w:bCs w:val="0"/>
          <w:sz w:val="30"/>
          <w:szCs w:val="30"/>
          <w:lang w:val="en-US" w:eastAsia="zh-CN"/>
        </w:rPr>
        <w:t>价值</w:t>
      </w:r>
      <w:r>
        <w:rPr>
          <w:rFonts w:hint="default" w:ascii="Times New Roman" w:hAnsi="Times New Roman" w:eastAsia="仿宋_GB2312" w:cs="Times New Roman"/>
          <w:b w:val="0"/>
          <w:bCs w:val="0"/>
          <w:sz w:val="30"/>
          <w:szCs w:val="30"/>
        </w:rPr>
        <w:t>观。加强自然教育人才培育，打造一支高水平</w:t>
      </w:r>
      <w:r>
        <w:rPr>
          <w:rFonts w:hint="eastAsia" w:ascii="Times New Roman" w:hAnsi="Times New Roman" w:eastAsia="仿宋_GB2312" w:cs="Times New Roman"/>
          <w:b w:val="0"/>
          <w:bCs w:val="0"/>
          <w:sz w:val="30"/>
          <w:szCs w:val="30"/>
          <w:lang w:eastAsia="zh-CN"/>
        </w:rPr>
        <w:t>、</w:t>
      </w:r>
      <w:r>
        <w:rPr>
          <w:rFonts w:hint="default" w:ascii="Times New Roman" w:hAnsi="Times New Roman" w:eastAsia="仿宋_GB2312" w:cs="Times New Roman"/>
          <w:b w:val="0"/>
          <w:bCs w:val="0"/>
          <w:sz w:val="30"/>
          <w:szCs w:val="30"/>
        </w:rPr>
        <w:t>专业化的自然教育人才队伍。</w:t>
      </w:r>
      <w:r>
        <w:rPr>
          <w:rFonts w:hint="eastAsia" w:ascii="Times New Roman" w:hAnsi="Times New Roman" w:eastAsia="仿宋_GB2312" w:cs="Times New Roman"/>
          <w:b w:val="0"/>
          <w:bCs w:val="0"/>
          <w:color w:val="auto"/>
          <w:sz w:val="30"/>
          <w:szCs w:val="30"/>
          <w:lang w:eastAsia="zh-CN"/>
        </w:rPr>
        <w:t>“</w:t>
      </w:r>
      <w:r>
        <w:rPr>
          <w:rFonts w:ascii="Times New Roman" w:hAnsi="Times New Roman" w:eastAsia="仿宋_GB2312" w:cs="Times New Roman"/>
          <w:b w:val="0"/>
          <w:bCs w:val="0"/>
          <w:color w:val="auto"/>
          <w:sz w:val="30"/>
          <w:szCs w:val="30"/>
        </w:rPr>
        <w:t>十四五</w:t>
      </w:r>
      <w:r>
        <w:rPr>
          <w:rFonts w:hint="eastAsia" w:ascii="Times New Roman" w:hAnsi="Times New Roman" w:eastAsia="仿宋_GB2312" w:cs="Times New Roman"/>
          <w:b w:val="0"/>
          <w:bCs w:val="0"/>
          <w:color w:val="auto"/>
          <w:sz w:val="30"/>
          <w:szCs w:val="30"/>
          <w:lang w:eastAsia="zh-CN"/>
        </w:rPr>
        <w:t>”</w:t>
      </w:r>
      <w:r>
        <w:rPr>
          <w:rFonts w:ascii="Times New Roman" w:hAnsi="Times New Roman" w:eastAsia="仿宋_GB2312" w:cs="Times New Roman"/>
          <w:b w:val="0"/>
          <w:bCs w:val="0"/>
          <w:color w:val="auto"/>
          <w:sz w:val="30"/>
          <w:szCs w:val="30"/>
        </w:rPr>
        <w:t>期间，建设广东省自然教育基地1个</w:t>
      </w:r>
      <w:r>
        <w:rPr>
          <w:rFonts w:hint="default" w:ascii="Times New Roman" w:hAnsi="Times New Roman" w:eastAsia="仿宋_GB2312" w:cs="Times New Roman"/>
          <w:b w:val="0"/>
          <w:bCs w:val="0"/>
          <w:sz w:val="30"/>
          <w:szCs w:val="30"/>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三、培优壮大林业龙头企业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通过在项目建设用地、企业技术改造及设备购置、贷款贴息等方面给予林业龙头企业倾斜，加强对有潜力、有技术、有规模企业的帮扶力度，打造辐射作用大、支持业绩突出、科技含量高、经济效益显著、成长性好的林业龙头企业。</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期间，培优壮大5家省级林业龙头企业。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四、提升林业产业服务水平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rPr>
        <w:t>（</w:t>
      </w:r>
      <w:r>
        <w:rPr>
          <w:rFonts w:hint="eastAsia" w:ascii="Times New Roman" w:hAnsi="Times New Roman" w:eastAsia="仿宋_GB2312" w:cs="Times New Roman"/>
          <w:b/>
          <w:bCs/>
          <w:sz w:val="30"/>
          <w:szCs w:val="30"/>
          <w:lang w:val="en-US" w:eastAsia="zh-CN"/>
        </w:rPr>
        <w:t>一</w:t>
      </w:r>
      <w:r>
        <w:rPr>
          <w:rFonts w:hint="default" w:ascii="Times New Roman" w:hAnsi="Times New Roman" w:eastAsia="仿宋_GB2312" w:cs="Times New Roman"/>
          <w:b/>
          <w:bCs/>
          <w:sz w:val="30"/>
          <w:szCs w:val="30"/>
        </w:rPr>
        <w:t>）</w:t>
      </w:r>
      <w:r>
        <w:rPr>
          <w:rFonts w:hint="default" w:ascii="Times New Roman" w:hAnsi="Times New Roman" w:eastAsia="仿宋_GB2312" w:cs="Times New Roman"/>
          <w:b/>
          <w:bCs/>
          <w:sz w:val="30"/>
          <w:szCs w:val="30"/>
          <w:lang w:val="en-US" w:eastAsia="zh-CN"/>
        </w:rPr>
        <w:t>加强森林旅游宣传推广力度。</w:t>
      </w:r>
      <w:r>
        <w:rPr>
          <w:rFonts w:hint="default" w:ascii="Times New Roman" w:hAnsi="Times New Roman" w:eastAsia="仿宋_GB2312" w:cs="Times New Roman"/>
          <w:sz w:val="30"/>
          <w:szCs w:val="30"/>
          <w:lang w:val="en-US" w:eastAsia="zh-CN"/>
        </w:rPr>
        <w:t>立足自身资源优势、准确把握市场定位，加强旅游产品的宣传推广力度，打造具有汕尾特色的滨海休闲度假运动品牌、湿地生态观光旅游品牌等；依托网络、媒体等建立森林旅游宣传平台，创新宣传模式，拓展旅游客源市场，促进汕尾市旅游新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rPr>
        <w:t>（二）</w:t>
      </w:r>
      <w:r>
        <w:rPr>
          <w:rFonts w:hint="default" w:ascii="Times New Roman" w:hAnsi="Times New Roman" w:eastAsia="仿宋_GB2312" w:cs="Times New Roman"/>
          <w:b/>
          <w:bCs/>
          <w:sz w:val="30"/>
          <w:szCs w:val="30"/>
          <w:lang w:val="en-US" w:eastAsia="zh-CN"/>
        </w:rPr>
        <w:t>搭建生态产品展销平台。</w:t>
      </w:r>
      <w:r>
        <w:rPr>
          <w:rFonts w:hint="default" w:ascii="Times New Roman" w:hAnsi="Times New Roman" w:eastAsia="仿宋_GB2312" w:cs="Times New Roman"/>
          <w:sz w:val="30"/>
          <w:szCs w:val="30"/>
          <w:lang w:val="en-US" w:eastAsia="zh-CN"/>
        </w:rPr>
        <w:t>通过线下活动和线上平台两种方式搭建生态产品展销平台。线下积极组织林业企业参加各类国家、省、市级生态产品博览会，主动拓展省内外消费市场</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线上通过与省级媒体及各类主流网上平台合作，依托智慧林业、林业电子商务、林特产品馆等，打造汕尾市</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互联网+林产品</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营销平台，进一步拓展销售市场，全方位展销汕尾生态产品，多举措提升汕尾生态产品知名度，推动林业产业营销方式转变。</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rPr>
        <w:t>（</w:t>
      </w:r>
      <w:r>
        <w:rPr>
          <w:rFonts w:hint="eastAsia" w:ascii="Times New Roman" w:hAnsi="Times New Roman" w:eastAsia="仿宋_GB2312" w:cs="Times New Roman"/>
          <w:b/>
          <w:bCs/>
          <w:sz w:val="30"/>
          <w:szCs w:val="30"/>
          <w:lang w:val="en-US" w:eastAsia="zh-CN"/>
        </w:rPr>
        <w:t>三</w:t>
      </w:r>
      <w:r>
        <w:rPr>
          <w:rFonts w:hint="default" w:ascii="Times New Roman" w:hAnsi="Times New Roman" w:eastAsia="仿宋_GB2312" w:cs="Times New Roman"/>
          <w:b/>
          <w:bCs/>
          <w:sz w:val="30"/>
          <w:szCs w:val="30"/>
        </w:rPr>
        <w:t>）</w:t>
      </w:r>
      <w:r>
        <w:rPr>
          <w:rFonts w:hint="default" w:ascii="Times New Roman" w:hAnsi="Times New Roman" w:eastAsia="仿宋_GB2312" w:cs="Times New Roman"/>
          <w:b/>
          <w:bCs/>
          <w:sz w:val="30"/>
          <w:szCs w:val="30"/>
          <w:lang w:val="en-US" w:eastAsia="zh-CN"/>
        </w:rPr>
        <w:t>健全生态产品质量监管机制。</w:t>
      </w:r>
      <w:r>
        <w:rPr>
          <w:rFonts w:hint="default" w:ascii="Times New Roman" w:hAnsi="Times New Roman" w:eastAsia="仿宋_GB2312" w:cs="Times New Roman"/>
          <w:sz w:val="30"/>
          <w:szCs w:val="30"/>
          <w:lang w:val="en-US" w:eastAsia="zh-CN"/>
        </w:rPr>
        <w:t>重点加强林产品质量检验检测体系建设，改善现有的木材及木制品、林化产品、林木种子质量、林果产品等检验检测机构条件</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促进经济林果基地建设和林木良种繁育</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林产品精深加工实施质量安全标准，加大标准实施推广力度；加强林业企业的标准化工作，引导企业特别是龙头企业制定和完善企业标准质量体系，提高林业企业服务能力和质量，促进林业产业规范、有序、健康发展。</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lang w:val="en-US" w:eastAsia="zh-CN"/>
        </w:rPr>
      </w:pPr>
      <w:bookmarkStart w:id="50" w:name="_Toc78615451"/>
      <w:bookmarkStart w:id="51" w:name="_Toc4530"/>
      <w:r>
        <w:rPr>
          <w:rFonts w:hint="default" w:ascii="Times New Roman" w:hAnsi="Times New Roman" w:eastAsia="黑体" w:cs="Times New Roman"/>
          <w:sz w:val="30"/>
          <w:szCs w:val="30"/>
        </w:rPr>
        <w:t>第</w:t>
      </w:r>
      <w:r>
        <w:rPr>
          <w:rFonts w:hint="default" w:ascii="Times New Roman" w:hAnsi="Times New Roman" w:eastAsia="黑体" w:cs="Times New Roman"/>
          <w:sz w:val="30"/>
          <w:szCs w:val="30"/>
          <w:lang w:val="en-US" w:eastAsia="zh-CN"/>
        </w:rPr>
        <w:t>五</w:t>
      </w:r>
      <w:r>
        <w:rPr>
          <w:rFonts w:hint="default" w:ascii="Times New Roman" w:hAnsi="Times New Roman" w:eastAsia="黑体" w:cs="Times New Roman"/>
          <w:sz w:val="30"/>
          <w:szCs w:val="30"/>
        </w:rPr>
        <w:t xml:space="preserve">节 </w:t>
      </w:r>
      <w:bookmarkEnd w:id="50"/>
      <w:r>
        <w:rPr>
          <w:rFonts w:hint="default" w:ascii="Times New Roman" w:hAnsi="Times New Roman" w:eastAsia="黑体" w:cs="Times New Roman"/>
          <w:sz w:val="30"/>
          <w:szCs w:val="30"/>
          <w:lang w:val="en-US" w:eastAsia="zh-CN"/>
        </w:rPr>
        <w:t>完善森林健康与安全保障体系</w:t>
      </w:r>
      <w:bookmarkEnd w:id="51"/>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坚持保护优先、生态优先，提升森林资源管护水平，加强林地林木保护和林业有害生物防治，切实维护全市森林生态安全。</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一、强化林地林木保护</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rPr>
        <w:t>（一）</w:t>
      </w:r>
      <w:r>
        <w:rPr>
          <w:rFonts w:hint="default" w:ascii="Times New Roman" w:hAnsi="Times New Roman" w:eastAsia="仿宋_GB2312" w:cs="Times New Roman"/>
          <w:b/>
          <w:bCs/>
          <w:sz w:val="30"/>
          <w:szCs w:val="30"/>
          <w:lang w:val="en-US" w:eastAsia="zh-CN"/>
        </w:rPr>
        <w:t>加强林地保护利用。</w:t>
      </w:r>
      <w:r>
        <w:rPr>
          <w:rFonts w:hint="default" w:ascii="Times New Roman" w:hAnsi="Times New Roman" w:eastAsia="仿宋_GB2312" w:cs="Times New Roman"/>
          <w:sz w:val="30"/>
          <w:szCs w:val="30"/>
          <w:lang w:val="en-US" w:eastAsia="zh-CN"/>
        </w:rPr>
        <w:t>科学编制市、县两级《林地保护利用规划》，落实林地保护利用各项目标任务，严格执行林地规划管控。强化林地用途管理，分区、分类、分级实施林地用途管制，优先保障重大基础设施、民生项目用地需求。加强对建设项目使用林地的监管，严厉</w:t>
      </w:r>
      <w:r>
        <w:rPr>
          <w:rFonts w:hint="eastAsia" w:ascii="Times New Roman" w:hAnsi="Times New Roman" w:eastAsia="仿宋_GB2312" w:cs="Times New Roman"/>
          <w:sz w:val="30"/>
          <w:szCs w:val="30"/>
          <w:lang w:val="en-US" w:eastAsia="zh-CN"/>
        </w:rPr>
        <w:t>打击</w:t>
      </w:r>
      <w:r>
        <w:rPr>
          <w:rFonts w:hint="default" w:ascii="Times New Roman" w:hAnsi="Times New Roman" w:eastAsia="仿宋_GB2312" w:cs="Times New Roman"/>
          <w:sz w:val="30"/>
          <w:szCs w:val="30"/>
          <w:lang w:val="en-US" w:eastAsia="zh-CN"/>
        </w:rPr>
        <w:t>未批先占、少批多占和乱砍滥伐等涉林违法行为。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rPr>
        <w:t>（</w:t>
      </w:r>
      <w:r>
        <w:rPr>
          <w:rFonts w:hint="eastAsia" w:ascii="Times New Roman" w:hAnsi="Times New Roman" w:eastAsia="仿宋_GB2312" w:cs="Times New Roman"/>
          <w:b/>
          <w:bCs/>
          <w:sz w:val="30"/>
          <w:szCs w:val="30"/>
          <w:lang w:val="en-US" w:eastAsia="zh-CN"/>
        </w:rPr>
        <w:t>二</w:t>
      </w:r>
      <w:r>
        <w:rPr>
          <w:rFonts w:hint="default" w:ascii="Times New Roman" w:hAnsi="Times New Roman" w:eastAsia="仿宋_GB2312" w:cs="Times New Roman"/>
          <w:b/>
          <w:bCs/>
          <w:sz w:val="30"/>
          <w:szCs w:val="30"/>
        </w:rPr>
        <w:t>）</w:t>
      </w:r>
      <w:r>
        <w:rPr>
          <w:rFonts w:hint="default" w:ascii="Times New Roman" w:hAnsi="Times New Roman" w:eastAsia="仿宋_GB2312" w:cs="Times New Roman"/>
          <w:b/>
          <w:bCs/>
          <w:sz w:val="30"/>
          <w:szCs w:val="30"/>
          <w:lang w:val="en-US" w:eastAsia="zh-CN"/>
        </w:rPr>
        <w:t>加强林木采伐管理。</w:t>
      </w:r>
      <w:r>
        <w:rPr>
          <w:rFonts w:hint="default" w:ascii="Times New Roman" w:hAnsi="Times New Roman" w:eastAsia="仿宋_GB2312" w:cs="Times New Roman"/>
          <w:sz w:val="30"/>
          <w:szCs w:val="30"/>
          <w:lang w:val="en-US" w:eastAsia="zh-CN"/>
        </w:rPr>
        <w:t>加强对林区林木采伐的检查监督，依法查处违法采伐林木案件</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结合森林督查工作，加强对各县（市、区）案件查处工作的指导。落实天然林和公益林的采伐管理规定，严格落实</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林木采伐限额，全面停止天然林商业性采伐，严格保护公益林。</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二、加强林业有害生物防治</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（一）加强林业有害生物综合防治。</w:t>
      </w:r>
      <w:r>
        <w:rPr>
          <w:rFonts w:hint="default" w:ascii="Times New Roman" w:hAnsi="Times New Roman" w:eastAsia="仿宋_GB2312" w:cs="Times New Roman"/>
          <w:sz w:val="30"/>
          <w:szCs w:val="30"/>
        </w:rPr>
        <w:t>定期开展林业有害生物普查，制定薇甘菊综合治理专项工程</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科学编制松材线虫病5年</w:t>
      </w:r>
      <w:r>
        <w:rPr>
          <w:rFonts w:hint="default" w:ascii="Times New Roman" w:hAnsi="Times New Roman" w:eastAsia="仿宋_GB2312" w:cs="Times New Roman"/>
          <w:color w:val="000000" w:themeColor="text1"/>
          <w:sz w:val="30"/>
          <w:szCs w:val="30"/>
          <w14:textFill>
            <w14:solidFill>
              <w14:schemeClr w14:val="tx1"/>
            </w14:solidFill>
          </w14:textFill>
        </w:rPr>
        <w:t>攻坚行动和年度实施方案，防范外来物种入侵。确保5年攻坚行动防控目标实现</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双下降</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，使林业有害生物成灾率控制在</w:t>
      </w:r>
      <w:r>
        <w:rPr>
          <w:rFonts w:hint="default" w:ascii="Times New Roman" w:hAnsi="Times New Roman" w:eastAsia="仿宋_GB2312" w:cs="Times New Roman"/>
          <w:color w:val="000000" w:themeColor="text1"/>
          <w:kern w:val="0"/>
          <w:sz w:val="30"/>
          <w:szCs w:val="30"/>
          <w:lang w:val="en-US" w:eastAsia="zh-CN" w:bidi="ar"/>
          <w14:textFill>
            <w14:solidFill>
              <w14:schemeClr w14:val="tx1"/>
            </w14:solidFill>
          </w14:textFill>
        </w:rPr>
        <w:t>8.2‰以下，</w:t>
      </w:r>
      <w:r>
        <w:rPr>
          <w:rFonts w:hint="default" w:ascii="Times New Roman" w:hAnsi="Times New Roman" w:eastAsia="仿宋_GB2312" w:cs="Times New Roman"/>
          <w:b w:val="0"/>
          <w:bCs w:val="0"/>
          <w:color w:val="000000" w:themeColor="text1"/>
          <w:kern w:val="0"/>
          <w:sz w:val="30"/>
          <w:szCs w:val="30"/>
          <w:lang w:val="en-US" w:eastAsia="zh-CN" w:bidi="ar"/>
          <w14:textFill>
            <w14:solidFill>
              <w14:schemeClr w14:val="tx1"/>
            </w14:solidFill>
          </w14:textFill>
        </w:rPr>
        <w:t>无公害防治率达到85%以上，防治目标任务完成率达到100%。</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十四五</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期间，</w:t>
      </w:r>
      <w:r>
        <w:rPr>
          <w:rFonts w:hint="default" w:ascii="Times New Roman" w:hAnsi="Times New Roman" w:eastAsia="仿宋_GB2312" w:cs="Times New Roman"/>
          <w:sz w:val="30"/>
          <w:szCs w:val="30"/>
          <w:lang w:val="en-US" w:eastAsia="zh-CN"/>
        </w:rPr>
        <w:t>全面遏制</w:t>
      </w:r>
      <w:r>
        <w:rPr>
          <w:rFonts w:hint="default" w:ascii="Times New Roman" w:hAnsi="Times New Roman" w:eastAsia="仿宋_GB2312" w:cs="Times New Roman"/>
          <w:sz w:val="30"/>
          <w:szCs w:val="30"/>
        </w:rPr>
        <w:t>松材线虫病</w:t>
      </w:r>
      <w:r>
        <w:rPr>
          <w:rFonts w:hint="default" w:ascii="Times New Roman" w:hAnsi="Times New Roman" w:eastAsia="仿宋_GB2312" w:cs="Times New Roman"/>
          <w:sz w:val="30"/>
          <w:szCs w:val="30"/>
          <w:lang w:val="en-US" w:eastAsia="zh-CN"/>
        </w:rPr>
        <w:t>的蔓延和扩散，</w:t>
      </w:r>
      <w:r>
        <w:rPr>
          <w:rFonts w:hint="default" w:ascii="Times New Roman" w:hAnsi="Times New Roman" w:eastAsia="仿宋_GB2312" w:cs="Times New Roman"/>
          <w:sz w:val="30"/>
          <w:szCs w:val="30"/>
        </w:rPr>
        <w:t>减少发生面积700亩，拔除1个乡镇疫点。</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（二）完善林业有害生物监测体系建设。</w:t>
      </w:r>
      <w:r>
        <w:rPr>
          <w:rFonts w:hint="default" w:ascii="Times New Roman" w:hAnsi="Times New Roman" w:eastAsia="仿宋_GB2312" w:cs="Times New Roman"/>
          <w:sz w:val="30"/>
          <w:szCs w:val="30"/>
        </w:rPr>
        <w:t>以提高镇（街道）、村（社区）两级监测预警能力为重点，继续完善市、县（市、区）、镇（街道）、村（社区）四级监测预警体系的建设，将全市范围内的森林纳入到有害生物防治监测预警体系中。完善林业有害生物信息预警与疫情发布机制，实时监测、发布松材线虫病、薇甘菊、红火蚁等林业有害生物的扩散与治理动态。完善已有林业植物检疫管理站点基础设施，更新检验检疫设备。</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（三）提升林业有害生物防控能力。</w:t>
      </w:r>
      <w:r>
        <w:rPr>
          <w:rFonts w:hint="default" w:ascii="Times New Roman" w:hAnsi="Times New Roman" w:eastAsia="仿宋_GB2312" w:cs="Times New Roman"/>
          <w:sz w:val="30"/>
          <w:szCs w:val="30"/>
        </w:rPr>
        <w:t>以生物防治、仿生防治为主体，以人工、物理等其他防治措施为辅助，形成较为成熟的综合防控体系。严格落实《产地检疫合格证》制度和检疫申报、审批制度，重点抓好产地检疫、调运检疫和检疫复检工作，严防危险性有害生物入侵和传播。加强林业有害生物防治队伍建设，定期开展病虫害防治培训班，提升林业有害生物防治从业人员的业务能力和技术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三、加强森林资源调查和生态监测</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（一）强化森林资源调查。</w:t>
      </w:r>
      <w:r>
        <w:rPr>
          <w:rFonts w:hint="default" w:ascii="Times New Roman" w:hAnsi="Times New Roman" w:eastAsia="仿宋_GB2312" w:cs="Times New Roman"/>
          <w:color w:val="000000" w:themeColor="text1"/>
          <w:sz w:val="30"/>
          <w:szCs w:val="30"/>
          <w14:textFill>
            <w14:solidFill>
              <w14:schemeClr w14:val="tx1"/>
            </w14:solidFill>
          </w14:textFill>
        </w:rPr>
        <w:t>积极推进国土三调与林草数据融合工作</w:t>
      </w:r>
      <w:r>
        <w:rPr>
          <w:rFonts w:hint="eastAsia"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sz w:val="30"/>
          <w:szCs w:val="30"/>
        </w:rPr>
        <w:t>开展森林督查暨森林资源</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一张图</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年度更新工作，完成林地变更调查。建立森林资源档案管理专项制度，利用森林资源管理信息系统，每年对森林资源档案数据库进行维护和更新，确保森林资源调查的真实性和时效性。</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（二）加强资源生态监测。</w:t>
      </w:r>
      <w:r>
        <w:rPr>
          <w:rFonts w:hint="default" w:ascii="Times New Roman" w:hAnsi="Times New Roman" w:eastAsia="仿宋_GB2312" w:cs="Times New Roman"/>
          <w:sz w:val="30"/>
          <w:szCs w:val="30"/>
        </w:rPr>
        <w:t>开展全市森林资源专项调查监测，加强野生动植物、林地土壤等专项监测</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加强</w:t>
      </w:r>
      <w:r>
        <w:rPr>
          <w:rFonts w:hint="default" w:ascii="Times New Roman" w:hAnsi="Times New Roman" w:eastAsia="仿宋_GB2312" w:cs="Times New Roman"/>
          <w:b w:val="0"/>
          <w:bCs w:val="0"/>
          <w:color w:val="000000" w:themeColor="text1"/>
          <w:sz w:val="30"/>
          <w:szCs w:val="30"/>
          <w14:textFill>
            <w14:solidFill>
              <w14:schemeClr w14:val="tx1"/>
            </w14:solidFill>
          </w14:textFill>
        </w:rPr>
        <w:t>对台风等自然灾害的防控，减</w:t>
      </w:r>
      <w:r>
        <w:rPr>
          <w:rFonts w:hint="eastAsia" w:ascii="Times New Roman" w:hAnsi="Times New Roman" w:eastAsia="仿宋_GB2312" w:cs="Times New Roman"/>
          <w:b w:val="0"/>
          <w:bCs w:val="0"/>
          <w:color w:val="000000" w:themeColor="text1"/>
          <w:sz w:val="30"/>
          <w:szCs w:val="30"/>
          <w:lang w:eastAsia="zh-CN"/>
          <w14:textFill>
            <w14:solidFill>
              <w14:schemeClr w14:val="tx1"/>
            </w14:solidFill>
          </w14:textFill>
        </w:rPr>
        <w:t>少</w:t>
      </w:r>
      <w:r>
        <w:rPr>
          <w:rFonts w:hint="default" w:ascii="Times New Roman" w:hAnsi="Times New Roman" w:eastAsia="仿宋_GB2312" w:cs="Times New Roman"/>
          <w:b w:val="0"/>
          <w:bCs w:val="0"/>
          <w:color w:val="000000" w:themeColor="text1"/>
          <w:sz w:val="30"/>
          <w:szCs w:val="30"/>
          <w14:textFill>
            <w14:solidFill>
              <w14:schemeClr w14:val="tx1"/>
            </w14:solidFill>
          </w14:textFill>
        </w:rPr>
        <w:t>森林与林木资源的损失</w:t>
      </w:r>
      <w:r>
        <w:rPr>
          <w:rFonts w:hint="default" w:ascii="Times New Roman" w:hAnsi="Times New Roman" w:eastAsia="仿宋_GB2312" w:cs="Times New Roman"/>
          <w:color w:val="000000" w:themeColor="text1"/>
          <w:sz w:val="30"/>
          <w:szCs w:val="30"/>
          <w14:textFill>
            <w14:solidFill>
              <w14:schemeClr w14:val="tx1"/>
            </w14:solidFill>
          </w14:textFill>
        </w:rPr>
        <w:t>。推进</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3S</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技术在森林资源、森林火灾、林业有害生物监测及林业灾害防治、信息服务中的应用，健全森林生态状况综合监测体系。</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十四五</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期间，推动各县（市、区）建设森林资源监测系统，实现森林资源监测全覆盖。</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（三）提高资源监管能力。</w:t>
      </w:r>
      <w:r>
        <w:rPr>
          <w:rFonts w:hint="default" w:ascii="Times New Roman" w:hAnsi="Times New Roman" w:eastAsia="仿宋_GB2312" w:cs="Times New Roman"/>
          <w:sz w:val="30"/>
          <w:szCs w:val="30"/>
        </w:rPr>
        <w:t>加强软硬件建设，运用无人机、视频监控、手持平板终端等设备，配合护林员现场巡护，提升森林资源监管能力。乡镇成立综合执法办公室，提高基层管护效率。加强护林员队伍建设，开展护林员技术培训，切实提高护林员的业务知识和工作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eastAsia="zh-CN"/>
        </w:rPr>
        <w:t>（</w:t>
      </w:r>
      <w:r>
        <w:rPr>
          <w:rFonts w:hint="default" w:ascii="Times New Roman" w:hAnsi="Times New Roman" w:eastAsia="仿宋_GB2312" w:cs="Times New Roman"/>
          <w:b/>
          <w:bCs/>
          <w:sz w:val="30"/>
          <w:szCs w:val="30"/>
          <w:lang w:val="en-US" w:eastAsia="zh-CN"/>
        </w:rPr>
        <w:t>四</w:t>
      </w:r>
      <w:r>
        <w:rPr>
          <w:rFonts w:hint="default" w:ascii="Times New Roman" w:hAnsi="Times New Roman" w:eastAsia="仿宋_GB2312" w:cs="Times New Roman"/>
          <w:b/>
          <w:bCs/>
          <w:sz w:val="30"/>
          <w:szCs w:val="30"/>
          <w:lang w:eastAsia="zh-CN"/>
        </w:rPr>
        <w:t>）</w:t>
      </w:r>
      <w:r>
        <w:rPr>
          <w:rFonts w:hint="default" w:ascii="Times New Roman" w:hAnsi="Times New Roman" w:eastAsia="仿宋_GB2312" w:cs="Times New Roman"/>
          <w:b/>
          <w:bCs/>
          <w:sz w:val="30"/>
          <w:szCs w:val="30"/>
          <w:lang w:val="en-US" w:eastAsia="zh-CN"/>
        </w:rPr>
        <w:t>开展</w:t>
      </w:r>
      <w:r>
        <w:rPr>
          <w:rFonts w:hint="default" w:ascii="Times New Roman" w:hAnsi="Times New Roman" w:eastAsia="仿宋_GB2312" w:cs="Times New Roman"/>
          <w:b/>
          <w:bCs/>
          <w:sz w:val="30"/>
          <w:szCs w:val="30"/>
          <w:lang w:eastAsia="zh-CN"/>
        </w:rPr>
        <w:t>林草生态综合监测</w:t>
      </w:r>
      <w:r>
        <w:rPr>
          <w:rFonts w:hint="default" w:ascii="Times New Roman" w:hAnsi="Times New Roman" w:eastAsia="仿宋_GB2312" w:cs="Times New Roman"/>
          <w:b/>
          <w:bCs/>
          <w:sz w:val="30"/>
          <w:szCs w:val="30"/>
          <w:lang w:val="en-US" w:eastAsia="zh-CN"/>
        </w:rPr>
        <w:t>评价工作</w:t>
      </w:r>
      <w:r>
        <w:rPr>
          <w:rFonts w:hint="default" w:ascii="Times New Roman" w:hAnsi="Times New Roman" w:eastAsia="仿宋_GB2312" w:cs="Times New Roman"/>
          <w:b/>
          <w:bCs/>
          <w:sz w:val="30"/>
          <w:szCs w:val="30"/>
          <w:lang w:eastAsia="zh-CN"/>
        </w:rPr>
        <w:t>。</w:t>
      </w:r>
      <w:r>
        <w:rPr>
          <w:rFonts w:hint="default" w:ascii="Times New Roman" w:hAnsi="Times New Roman" w:eastAsia="仿宋_GB2312" w:cs="Times New Roman"/>
          <w:sz w:val="30"/>
          <w:szCs w:val="30"/>
          <w:lang w:eastAsia="zh-CN"/>
        </w:rPr>
        <w:t>林草生态综合监测评价工作是统筹推进山水林田湖草沙一体化保护和修复，切实履行</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eastAsia="zh-CN"/>
        </w:rPr>
        <w:t>森林、草原、湿地、荒漠和陆生野生动植物资源动态监测与评价</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eastAsia="zh-CN"/>
        </w:rPr>
        <w:t>职能，是不断推进生态治理体系和治理能力现代化的重要举措。</w:t>
      </w:r>
      <w:r>
        <w:rPr>
          <w:rFonts w:hint="default" w:ascii="Times New Roman" w:hAnsi="Times New Roman" w:eastAsia="仿宋_GB2312" w:cs="Times New Roman"/>
          <w:sz w:val="30"/>
          <w:szCs w:val="30"/>
          <w:lang w:val="en-US" w:eastAsia="zh-CN"/>
        </w:rPr>
        <w:t>积极配合省级林业主管部门开展</w:t>
      </w:r>
      <w:r>
        <w:rPr>
          <w:rFonts w:hint="default" w:ascii="Times New Roman" w:hAnsi="Times New Roman" w:eastAsia="仿宋_GB2312" w:cs="Times New Roman"/>
          <w:sz w:val="30"/>
          <w:szCs w:val="30"/>
          <w:lang w:eastAsia="zh-CN"/>
        </w:rPr>
        <w:t>林草生态综合监测</w:t>
      </w:r>
      <w:r>
        <w:rPr>
          <w:rFonts w:hint="default" w:ascii="Times New Roman" w:hAnsi="Times New Roman" w:eastAsia="仿宋_GB2312" w:cs="Times New Roman"/>
          <w:sz w:val="30"/>
          <w:szCs w:val="30"/>
          <w:lang w:val="en-US" w:eastAsia="zh-CN"/>
        </w:rPr>
        <w:t>评价工作，严格按照技术规程做好固定样地位置、周界复位和样地、样木因子调查与记录工作。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bookmarkStart w:id="52" w:name="_Toc78615452"/>
      <w:r>
        <w:rPr>
          <w:rFonts w:hint="default" w:ascii="Times New Roman" w:hAnsi="Times New Roman" w:eastAsia="仿宋_GB2312" w:cs="Times New Roman"/>
          <w:b/>
          <w:sz w:val="30"/>
          <w:szCs w:val="30"/>
          <w:lang w:val="en-US" w:eastAsia="zh-CN"/>
        </w:rPr>
        <w:t>四、完善森林防火体系</w:t>
      </w:r>
      <w:bookmarkEnd w:id="52"/>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严控森林火灾的发生，减少森林面积的受损</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sz w:val="30"/>
          <w:szCs w:val="30"/>
          <w:lang w:val="en-US" w:eastAsia="zh-CN"/>
        </w:rPr>
        <w:t>开展《汕尾市森林防火</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规划》编制工作，全市基本形成完备的森林火灾预防体系，森林火灾次数持续下降，大力推进森林防火基础设施建设，健全森林防火长效机制，森林火灾受害率稳定控制在0.9‰以内，确保不发生重大以上森林火灾，确保不发生重大人员伤亡，确保不发生火烧连营。</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（一）强化源头管理，完善预防机制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压实各级森林防火责任制，建立健全森林防火长效机制。与应急管理部门共建共享森林防火监测预警系统，建立隐患排查和宣传教育联合机制。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积极开展</w:t>
      </w:r>
      <w:r>
        <w:rPr>
          <w:rFonts w:hint="eastAsia" w:ascii="Times New Roman" w:hAnsi="Times New Roman" w:eastAsia="仿宋_GB2312" w:cs="Times New Roman"/>
          <w:sz w:val="30"/>
          <w:szCs w:val="30"/>
          <w:lang w:val="en-US" w:eastAsia="zh-CN"/>
        </w:rPr>
        <w:t>森林</w:t>
      </w:r>
      <w:r>
        <w:rPr>
          <w:rFonts w:hint="default" w:ascii="Times New Roman" w:hAnsi="Times New Roman" w:eastAsia="仿宋_GB2312" w:cs="Times New Roman"/>
          <w:sz w:val="30"/>
          <w:szCs w:val="30"/>
          <w:lang w:val="en-US" w:eastAsia="zh-CN"/>
        </w:rPr>
        <w:t>火灾风险普查</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摸清汕尾市森林火灾风险隐患底数，查明重点区域抗灾能力，客观认识汕尾市森林火灾风险水平，为有效开展森林火灾防治和应急管理工作、切实保障社会经济可持续发展提供权威的森林火灾风险信息及科学决策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（二）提升森林火灾早期处置能力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加强野外火源管控力度。在交通要道、进山路口等重点敏感地段配置宣教、管控等设施设备，全力推广</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防火码</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，加大巡护和检查力度。</w:t>
      </w:r>
      <w:r>
        <w:rPr>
          <w:rFonts w:hint="eastAsia" w:ascii="Times New Roman" w:hAnsi="Times New Roman" w:eastAsia="仿宋_GB2312" w:cs="Times New Roman"/>
          <w:sz w:val="30"/>
          <w:szCs w:val="30"/>
          <w:lang w:val="en-US" w:eastAsia="zh-CN"/>
        </w:rPr>
        <w:t>在</w:t>
      </w:r>
      <w:r>
        <w:rPr>
          <w:rFonts w:hint="default" w:ascii="Times New Roman" w:hAnsi="Times New Roman" w:eastAsia="仿宋_GB2312" w:cs="Times New Roman"/>
          <w:sz w:val="30"/>
          <w:szCs w:val="30"/>
          <w:lang w:val="en-US" w:eastAsia="zh-CN"/>
        </w:rPr>
        <w:t>森林特别防护期</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每年10月1日至次年4月30日</w:t>
      </w:r>
      <w:r>
        <w:rPr>
          <w:rFonts w:hint="eastAsia" w:ascii="Times New Roman" w:hAnsi="Times New Roman" w:eastAsia="仿宋_GB2312" w:cs="Times New Roman"/>
          <w:sz w:val="30"/>
          <w:szCs w:val="30"/>
          <w:lang w:val="en-US" w:eastAsia="zh-CN"/>
        </w:rPr>
        <w:t>）内，</w:t>
      </w:r>
      <w:r>
        <w:rPr>
          <w:rFonts w:hint="default" w:ascii="Times New Roman" w:hAnsi="Times New Roman" w:eastAsia="仿宋_GB2312" w:cs="Times New Roman"/>
          <w:sz w:val="30"/>
          <w:szCs w:val="30"/>
          <w:lang w:val="en-US" w:eastAsia="zh-CN"/>
        </w:rPr>
        <w:t>进入林区的主要路口</w:t>
      </w:r>
      <w:r>
        <w:rPr>
          <w:rFonts w:hint="eastAsia" w:ascii="Times New Roman" w:hAnsi="Times New Roman" w:eastAsia="仿宋_GB2312" w:cs="Times New Roman"/>
          <w:sz w:val="30"/>
          <w:szCs w:val="30"/>
          <w:lang w:val="en-US" w:eastAsia="zh-CN"/>
        </w:rPr>
        <w:t>应</w:t>
      </w:r>
      <w:r>
        <w:rPr>
          <w:rFonts w:hint="default" w:ascii="Times New Roman" w:hAnsi="Times New Roman" w:eastAsia="仿宋_GB2312" w:cs="Times New Roman"/>
          <w:sz w:val="30"/>
          <w:szCs w:val="30"/>
          <w:lang w:val="en-US" w:eastAsia="zh-CN"/>
        </w:rPr>
        <w:t>设立防火哨卡，落实专人看守，进入人员一律实名登记、上缴火源。</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协调公安机关持续严厉打击违法违规野外用火行为。强化早期火情应急处理，推行突发火情应急处理一区一策、一地一案。</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开展森林</w:t>
      </w:r>
      <w:r>
        <w:rPr>
          <w:rFonts w:hint="eastAsia" w:ascii="Times New Roman" w:hAnsi="Times New Roman" w:eastAsia="仿宋_GB2312" w:cs="Times New Roman"/>
          <w:sz w:val="30"/>
          <w:szCs w:val="30"/>
          <w:lang w:val="en-US" w:eastAsia="zh-CN"/>
        </w:rPr>
        <w:t>火灾预防和早期处置工作，落实行业安全检查</w:t>
      </w:r>
      <w:r>
        <w:rPr>
          <w:rFonts w:hint="default" w:ascii="Times New Roman" w:hAnsi="Times New Roman" w:eastAsia="仿宋_GB2312" w:cs="Times New Roman"/>
          <w:sz w:val="30"/>
          <w:szCs w:val="30"/>
          <w:lang w:val="en-US" w:eastAsia="zh-CN"/>
        </w:rPr>
        <w:t>，切实做到隐患整治</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五到位</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，即整改措施到位、责任到位、资金到位、时限到位和预案到位，防患于未然。</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（三）强化森林防火基础设施建设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完善配备必要的消防设施和装备器材，配备专业无人机、巡护应用终端，构建集卫星遥感、视频监控、空中巡查和地面巡护的立体林火预警监测体系，实现火情早发现、早处置。专业护林员队伍在地面巡护时配置红外探测仪，对于发现的火情，及时上报给林业主管部门和</w:t>
      </w:r>
      <w:r>
        <w:rPr>
          <w:rFonts w:hint="eastAsia" w:ascii="Times New Roman" w:hAnsi="Times New Roman" w:eastAsia="仿宋_GB2312" w:cs="Times New Roman"/>
          <w:sz w:val="30"/>
          <w:szCs w:val="30"/>
          <w:lang w:val="en-US" w:eastAsia="zh-CN"/>
        </w:rPr>
        <w:t>应急管理</w:t>
      </w:r>
      <w:r>
        <w:rPr>
          <w:rFonts w:hint="default" w:ascii="Times New Roman" w:hAnsi="Times New Roman" w:eastAsia="仿宋_GB2312" w:cs="Times New Roman"/>
          <w:sz w:val="30"/>
          <w:szCs w:val="30"/>
          <w:lang w:val="en-US" w:eastAsia="zh-CN"/>
        </w:rPr>
        <w:t>部门；配置一定数量的二号工具，对于在巡护中发现的小规模火情除了及时上报外，在保障自身安全的情况下，积极参与火源扑灭，并给予合理的用工补助。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以水灭火具有拦截火头高效、扑灭明火迅速、清理火场彻底</w:t>
      </w:r>
      <w:r>
        <w:rPr>
          <w:rFonts w:hint="eastAsia" w:ascii="Times New Roman" w:hAnsi="Times New Roman" w:eastAsia="仿宋_GB2312" w:cs="Times New Roman"/>
          <w:sz w:val="30"/>
          <w:szCs w:val="30"/>
          <w:lang w:val="en-US" w:eastAsia="zh-CN"/>
        </w:rPr>
        <w:t>的</w:t>
      </w:r>
      <w:r>
        <w:rPr>
          <w:rFonts w:hint="default" w:ascii="Times New Roman" w:hAnsi="Times New Roman" w:eastAsia="仿宋_GB2312" w:cs="Times New Roman"/>
          <w:sz w:val="30"/>
          <w:szCs w:val="30"/>
          <w:lang w:val="en-US" w:eastAsia="zh-CN"/>
        </w:rPr>
        <w:t>特点，是扑救森林火灾的最有效手段之一。根据林地面积</w:t>
      </w:r>
      <w:r>
        <w:rPr>
          <w:rFonts w:hint="eastAsia" w:ascii="Times New Roman" w:hAnsi="Times New Roman" w:eastAsia="仿宋_GB2312" w:cs="Times New Roman"/>
          <w:sz w:val="30"/>
          <w:szCs w:val="30"/>
          <w:lang w:val="en-US" w:eastAsia="zh-CN"/>
        </w:rPr>
        <w:t>及建设需求，</w:t>
      </w:r>
      <w:r>
        <w:rPr>
          <w:rFonts w:hint="default" w:ascii="Times New Roman" w:hAnsi="Times New Roman" w:eastAsia="仿宋_GB2312" w:cs="Times New Roman"/>
          <w:sz w:val="30"/>
          <w:szCs w:val="30"/>
          <w:lang w:val="en-US" w:eastAsia="zh-CN"/>
        </w:rPr>
        <w:t>合理选择地点建设</w:t>
      </w:r>
      <w:r>
        <w:rPr>
          <w:rFonts w:hint="eastAsia" w:ascii="Times New Roman" w:hAnsi="Times New Roman" w:eastAsia="仿宋_GB2312" w:cs="Times New Roman"/>
          <w:sz w:val="30"/>
          <w:szCs w:val="30"/>
          <w:lang w:val="en-US" w:eastAsia="zh-CN"/>
        </w:rPr>
        <w:t>瞭望塔台和</w:t>
      </w:r>
      <w:r>
        <w:rPr>
          <w:rFonts w:hint="default" w:ascii="Times New Roman" w:hAnsi="Times New Roman" w:eastAsia="仿宋_GB2312" w:cs="Times New Roman"/>
          <w:sz w:val="30"/>
          <w:szCs w:val="30"/>
          <w:lang w:val="en-US" w:eastAsia="zh-CN"/>
        </w:rPr>
        <w:t>森林</w:t>
      </w:r>
      <w:r>
        <w:rPr>
          <w:rFonts w:hint="eastAsia" w:ascii="Times New Roman" w:hAnsi="Times New Roman" w:eastAsia="仿宋_GB2312" w:cs="Times New Roman"/>
          <w:sz w:val="30"/>
          <w:szCs w:val="30"/>
          <w:lang w:val="en-US" w:eastAsia="zh-CN"/>
        </w:rPr>
        <w:t>消防</w:t>
      </w:r>
      <w:r>
        <w:rPr>
          <w:rFonts w:hint="default" w:ascii="Times New Roman" w:hAnsi="Times New Roman" w:eastAsia="仿宋_GB2312" w:cs="Times New Roman"/>
          <w:sz w:val="30"/>
          <w:szCs w:val="30"/>
          <w:lang w:val="en-US" w:eastAsia="zh-CN"/>
        </w:rPr>
        <w:t>蓄水池。</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期间，建设26座瞭望塔台，设置</w:t>
      </w:r>
      <w:r>
        <w:rPr>
          <w:rFonts w:hint="eastAsia" w:ascii="Times New Roman" w:hAnsi="Times New Roman" w:eastAsia="仿宋_GB2312" w:cs="Times New Roman"/>
          <w:sz w:val="30"/>
          <w:szCs w:val="30"/>
          <w:lang w:val="en-US" w:eastAsia="zh-CN"/>
        </w:rPr>
        <w:t>森林消防蓄水池</w:t>
      </w:r>
      <w:r>
        <w:rPr>
          <w:rFonts w:hint="default" w:ascii="Times New Roman" w:hAnsi="Times New Roman" w:eastAsia="仿宋_GB2312" w:cs="Times New Roman"/>
          <w:sz w:val="30"/>
          <w:szCs w:val="30"/>
          <w:lang w:val="en-US" w:eastAsia="zh-CN"/>
        </w:rPr>
        <w:t>62处。在森林火灾易发、多发、高发区域采用增设临时检查站。因地制宜，新建森林防火道路300公里，提高森林火灾防治</w:t>
      </w:r>
      <w:r>
        <w:rPr>
          <w:rFonts w:hint="eastAsia" w:ascii="Times New Roman" w:hAnsi="Times New Roman" w:eastAsia="仿宋_GB2312" w:cs="Times New Roman"/>
          <w:sz w:val="30"/>
          <w:szCs w:val="30"/>
          <w:lang w:val="en-US" w:eastAsia="zh-CN"/>
        </w:rPr>
        <w:t>综合</w:t>
      </w:r>
      <w:r>
        <w:rPr>
          <w:rFonts w:hint="default" w:ascii="Times New Roman" w:hAnsi="Times New Roman" w:eastAsia="仿宋_GB2312" w:cs="Times New Roman"/>
          <w:sz w:val="30"/>
          <w:szCs w:val="30"/>
          <w:lang w:val="en-US" w:eastAsia="zh-CN"/>
        </w:rPr>
        <w:t>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（四）营建高质量防火隔离带</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在市界、县界以及田林交界、入山道路两旁、林缘山脚、村庄周围林地，开设和维护防火隔离带；选用木荷等耐火性强的树种，通过科学配植组合成林带，形成相对闭合的生物防火林网。</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期间，结合汕尾实际，因地制宜，规划新建维护生物防火林带和防火隔离带693千米。</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default" w:ascii="Times New Roman" w:hAnsi="Times New Roman" w:eastAsia="仿宋_GB2312" w:cs="Times New Roman"/>
          <w:b/>
          <w:bCs/>
          <w:sz w:val="30"/>
          <w:szCs w:val="30"/>
          <w:lang w:val="en-US" w:eastAsia="zh-CN"/>
        </w:rPr>
      </w:pPr>
      <w:bookmarkStart w:id="53" w:name="_Toc78615453"/>
      <w:r>
        <w:rPr>
          <w:rFonts w:hint="default" w:ascii="Times New Roman" w:hAnsi="Times New Roman" w:eastAsia="仿宋_GB2312" w:cs="Times New Roman"/>
          <w:b/>
          <w:bCs/>
          <w:sz w:val="30"/>
          <w:szCs w:val="30"/>
          <w:lang w:val="en-US" w:eastAsia="zh-CN"/>
        </w:rPr>
        <w:t>（五）加强森林防火宣传、培训和演练</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创新宣传方式方法，建立全方位社会化的森林防火宣传教育体系。在各县（市、区）开展防火宣传教育，扩大宣传全民森林防火科普知识、火灾扑救及安全避险知识，增加林区的防火宣传牌、宣传窗、宣传栏和防火检查站的数量，增配防火宣传设备。</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针对机构改革后林业部门主要承担的森林防火巡护、火源管理、防火设施建设和火情早期处理等任务，对林业部门管理人员、和专（兼）职护林员进行专业技能培训和实战演练，组织防火技能培训及专题讲座，着重开展依法治火管理、安全隐患排查、森林防护巡护等培训，全面提高森林防火从业人员的业务水平。可采用集中培训和网络学院自学相结合的方式，从业人员实行考核上岗，并开展进阶培训，进一步提高人员能力与岗位要求的匹配程度。</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推进联训联演联动机制。与应急救援部门、森林公安部门进行联合演练，打通防火巡护、发现火情、火情上报、救援部门进场救援等各个环节，使得各相关单位形成合力，共同完成好森林防火任务。</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rPr>
      </w:pPr>
      <w:bookmarkStart w:id="54" w:name="_Toc27202"/>
      <w:r>
        <w:rPr>
          <w:rFonts w:hint="default" w:ascii="Times New Roman" w:hAnsi="Times New Roman" w:eastAsia="黑体" w:cs="Times New Roman"/>
          <w:sz w:val="30"/>
          <w:szCs w:val="30"/>
        </w:rPr>
        <w:t>第</w:t>
      </w:r>
      <w:r>
        <w:rPr>
          <w:rFonts w:hint="default" w:ascii="Times New Roman" w:hAnsi="Times New Roman" w:eastAsia="黑体" w:cs="Times New Roman"/>
          <w:sz w:val="30"/>
          <w:szCs w:val="30"/>
          <w:lang w:val="en-US" w:eastAsia="zh-CN"/>
        </w:rPr>
        <w:t>六</w:t>
      </w:r>
      <w:r>
        <w:rPr>
          <w:rFonts w:hint="default" w:ascii="Times New Roman" w:hAnsi="Times New Roman" w:eastAsia="黑体" w:cs="Times New Roman"/>
          <w:sz w:val="30"/>
          <w:szCs w:val="30"/>
        </w:rPr>
        <w:t xml:space="preserve">节 </w:t>
      </w:r>
      <w:r>
        <w:rPr>
          <w:rFonts w:hint="default" w:ascii="Times New Roman" w:hAnsi="Times New Roman" w:eastAsia="黑体" w:cs="Times New Roman"/>
          <w:sz w:val="30"/>
          <w:szCs w:val="30"/>
          <w:lang w:val="en-US" w:eastAsia="zh-CN"/>
        </w:rPr>
        <w:t>全面</w:t>
      </w:r>
      <w:r>
        <w:rPr>
          <w:rFonts w:hint="default" w:ascii="Times New Roman" w:hAnsi="Times New Roman" w:eastAsia="黑体" w:cs="Times New Roman"/>
          <w:sz w:val="30"/>
          <w:szCs w:val="30"/>
        </w:rPr>
        <w:t>推行林长制，提升林业治理能力</w:t>
      </w:r>
      <w:bookmarkEnd w:id="53"/>
      <w:bookmarkEnd w:id="54"/>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贯彻落实中共中央办公厅、国务院办公厅印发的《关于全面推行林长制的意见》、国家林草局制定的贯彻落实《关于全面推行林长制的意见》实施方案以及广东省《关于全面推行林长制的</w:t>
      </w:r>
      <w:r>
        <w:rPr>
          <w:rFonts w:hint="eastAsia" w:ascii="Times New Roman" w:hAnsi="Times New Roman" w:eastAsia="仿宋_GB2312" w:cs="Times New Roman"/>
          <w:sz w:val="30"/>
          <w:szCs w:val="30"/>
          <w:lang w:val="en-US" w:eastAsia="zh-CN"/>
        </w:rPr>
        <w:t>实施</w:t>
      </w:r>
      <w:r>
        <w:rPr>
          <w:rFonts w:hint="default" w:ascii="Times New Roman" w:hAnsi="Times New Roman" w:eastAsia="仿宋_GB2312" w:cs="Times New Roman"/>
          <w:sz w:val="30"/>
          <w:szCs w:val="30"/>
          <w:lang w:val="en-US" w:eastAsia="zh-CN"/>
        </w:rPr>
        <w:t>意见》的相关文件，建立以林长制为总抓手的林业保护发展目标责任制，压实各级林长的职责，实施资源网格化管护，开展林业发展目标责任制考核。深化林业重大改革，创新体制机制，推进林业科技创新，建设智慧林业，提升汕尾林业现代化治理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一、全面推行林长制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编制</w:t>
      </w:r>
      <w:r>
        <w:rPr>
          <w:rFonts w:hint="eastAsia" w:ascii="Times New Roman" w:hAnsi="Times New Roman" w:eastAsia="仿宋_GB2312" w:cs="Times New Roman"/>
          <w:sz w:val="30"/>
          <w:szCs w:val="30"/>
          <w:lang w:val="en-US" w:eastAsia="zh-CN"/>
        </w:rPr>
        <w:t>汕尾市</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《关于全面推行林长制的实施方案》</w:t>
      </w:r>
      <w:r>
        <w:rPr>
          <w:rFonts w:hint="default" w:ascii="Times New Roman" w:hAnsi="Times New Roman" w:eastAsia="仿宋_GB2312" w:cs="Times New Roman"/>
          <w:sz w:val="30"/>
          <w:szCs w:val="30"/>
          <w:lang w:val="en-US" w:eastAsia="zh-CN"/>
        </w:rPr>
        <w:t>，进一步压实各级党委和政府保护发展森林资源的主体责任，建立林长制体系，构建党政同责、属地负责、部门协同、源头治理、全域覆盖的长效机制，加快推进汕尾市生态文明和美丽汕尾建设。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建立完善的林长制组织体系。市、县（市、区）、乡镇（街道）设立第一林长、林长和副林长，分别由党委、政府主要负责同志和有关负责同志担任。各村（社区）可根据实际情况设立林长和副林长，分别由村（社区）党组织书记、村（居）委会主任和有关委员担任，构建以村级林长、基层监督员、护林员为主体的</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一</w:t>
      </w:r>
      <w:r>
        <w:rPr>
          <w:rFonts w:hint="eastAsia" w:ascii="Times New Roman" w:hAnsi="Times New Roman" w:eastAsia="仿宋_GB2312" w:cs="Times New Roman"/>
          <w:sz w:val="30"/>
          <w:szCs w:val="30"/>
          <w:lang w:val="en-US" w:eastAsia="zh-CN"/>
        </w:rPr>
        <w:t>长</w:t>
      </w:r>
      <w:r>
        <w:rPr>
          <w:rFonts w:hint="default" w:ascii="Times New Roman" w:hAnsi="Times New Roman" w:eastAsia="仿宋_GB2312" w:cs="Times New Roman"/>
          <w:sz w:val="30"/>
          <w:szCs w:val="30"/>
          <w:lang w:val="en-US" w:eastAsia="zh-CN"/>
        </w:rPr>
        <w:t>两员</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森林资源源头管护机制。健全林长制工作机构，综合考虑区域、资源特点和自然生态系统完整性，科学确定林长责任区域，明确各级林长责任。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各级林长实行分区（片）负责，组织领导责任区域森林资源保护发展工作，落实保护发展森林资源目标责任制，组织制定森保护发展规划计划，依法全面保护森林资源，推动生态保护修复，组织落实森林防火、重大有害生物防治责任和措施，强化森林资源行政执法，协调解决责任区域的重点难点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压实林长责任，落实好森林资源监管、生态修复、自然保护地体系建设、森林资源灾害防控、信息化建设、林业改革以及基层建设等方面的各项任务。确保林业生态林业建设等专项资金优先用于森林资源保护发展。执行林长制有关的巡查、督查、考核制度等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二、深化林业机制体制改革</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深化集体林权制度改革。探索完善</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三权分置</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运行机制，巩固集体所有权、保障农户承包权、落实经营自主权。规范林权流转、完善林权流转服务、加强林权流转用途监督、推进林权流转市场信用体系建设，做好林权管理社会化服务。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完善集体林流转制度。积极引导林农依法采取转包、出租、互换、转让及入股等方式流转林地经营权，促进林业适度规模经营。依法妥善处理林权争议和林地承包经营权纠纷，切实维护林权权利人合法权益。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深化国有林场改革。进一步深化国有林场改革，探索新体制机制下的国有林场保护发展模式。完善国有林场林地登记确权，探索实行以国有林场为重点的国有森林资源有偿使用制度改革，建立健全国有森林资源资产管理制度。发展森林康养旅游，建立健全以森林经营方案为核心的森林经营管理制度。探索大径材培育、中幼林抚育等工程运营新模式，提升森林资源质量和生态保障能力，增强森林碳汇，建设高质量现代化国有林场。</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开展国有林场森林经营方案编制与实施，按森林经营方案编制采伐限额、制定年度生产计划。加快森林资源培育与恢复，加大对林场林区公路、森林防火、管护站点用房、有害生物防治等基础设施建设的投入。</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探索林业生态补偿制度。依据区域生态功能定位，结合林业保护发展规划，对林业重点生态保护区域内的集体公益林，探索创新公平合理、权责分明、利益协调的集体公益林政府赎买和租赁制度。积极参与全国林业碳汇计量监测体系建设，引导有社会责任心的企业单位自愿参与林业碳汇交易。</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三、推进智慧林业创新发展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整合现有的森林、湿地、自然保护地、国有林场等方面的图件及数据，按照省里</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一套数</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一张图</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目标要求，建立省级标准统一的数据库，并做好与国土资源相关内容的对接工作。做好全市森林资源档案数据的年度更新与通报工作。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建立完善林业信息化体系，推动新一代信息技术与林业管理融合发展，利用林业北斗导航应用和卫星遥感应用，构建天地空和点线面一体化遥感分析、地面调查、定位观测的林业综合数据库，提高对森林防火、有害生物防治、自然保护地、野生动植物等各类数据的整合与应用分析。加大对现代信息化装备的投入，</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期间，各地配齐日常巡护无人机、移动数据处理终端、护林员巡护终端和行政执法终端等现代化装备，重点生态功能区实现视频监控全覆盖。</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四、加强林业治理能力建设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加强人才队伍建设。健全人才流动机制，多渠道引进高水平专业技术人才和经营管理人才，为林所用。针对林业人才队伍建设存在的机构编制设置、领导干部队伍年龄结构、干部队伍梯次配备、专业能力素养等突出问题和短板弱项进行深入调研和总结；进一步推进党政人才、专业技术人才、技能人才和经营管理人才建设，优化人才配置，通过统一面授培训、网络继续教育、现场典型示范等方式不断提升林业人才队伍素质。完成林业基层实用人才培训体系，大规模开展</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送知识下乡</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活动，加大对基层林业职工、林农的教育培训工作。完善林业行业职称、职业资格、技能等级认定、职业技能培训等，不断完善人才发展治理体系。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深化林业行政执法体制改革，积极对接综合行政执法部门、生态环境执法部门并加强监督指导，加快构建新形势下林业行政综合执法体系。加强各级行政执法队伍的建设，加强市场监督管理，建立联合执法长效机制。积极利用无人机、视频监控等科技手段，加快森林资源监管信息化建设，及时发现和打击破坏森林资源的违法行为。加强林业执法信息平台建设，实现与林业基础数据和管理数据的互联互通、有机衔接。</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积极创新宣传方式，加大《中华人民共和国森林法》《中华人民共和国行政处罚法》等法律法规的宣传培训，提高执法人员的依法行政能力和业务能力。督促指导各</w:t>
      </w:r>
      <w:bookmarkStart w:id="83" w:name="_GoBack"/>
      <w:bookmarkEnd w:id="83"/>
      <w:r>
        <w:rPr>
          <w:rFonts w:hint="default" w:ascii="Times New Roman" w:hAnsi="Times New Roman" w:eastAsia="仿宋_GB2312" w:cs="Times New Roman"/>
          <w:sz w:val="30"/>
          <w:szCs w:val="30"/>
          <w:lang w:val="en-US" w:eastAsia="zh-CN"/>
        </w:rPr>
        <w:t>县（市、区）严格执行行政执法公示制度、执法全过程记录制度、重大执法决定法制审核制度。</w:t>
      </w:r>
    </w:p>
    <w:p>
      <w:pPr>
        <w:keepNext w:val="0"/>
        <w:keepLines w:val="0"/>
        <w:pageBreakBefore/>
        <w:widowControl w:val="0"/>
        <w:kinsoku/>
        <w:wordWrap/>
        <w:overflowPunct/>
        <w:topLinePunct w:val="0"/>
        <w:autoSpaceDE/>
        <w:autoSpaceDN/>
        <w:bidi w:val="0"/>
        <w:adjustRightInd w:val="0"/>
        <w:snapToGrid w:val="0"/>
        <w:spacing w:before="312" w:beforeLines="100" w:after="312" w:afterLines="100"/>
        <w:jc w:val="center"/>
        <w:textAlignment w:val="auto"/>
        <w:outlineLvl w:val="0"/>
        <w:rPr>
          <w:rFonts w:hint="default" w:ascii="Times New Roman" w:hAnsi="Times New Roman" w:eastAsia="黑体" w:cs="Times New Roman"/>
          <w:b/>
          <w:sz w:val="32"/>
          <w:szCs w:val="30"/>
        </w:rPr>
      </w:pPr>
      <w:bookmarkStart w:id="55" w:name="_Toc78615454"/>
      <w:bookmarkStart w:id="56" w:name="_Toc23705"/>
      <w:r>
        <w:rPr>
          <w:rFonts w:hint="default" w:ascii="Times New Roman" w:hAnsi="Times New Roman" w:eastAsia="黑体" w:cs="Times New Roman"/>
          <w:b/>
          <w:sz w:val="32"/>
          <w:szCs w:val="30"/>
        </w:rPr>
        <w:t>第四章 重点工程</w:t>
      </w:r>
      <w:bookmarkEnd w:id="55"/>
      <w:bookmarkEnd w:id="56"/>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rPr>
      </w:pPr>
      <w:bookmarkStart w:id="57" w:name="_Toc4652"/>
      <w:bookmarkStart w:id="58" w:name="_Toc78615455"/>
      <w:r>
        <w:rPr>
          <w:rFonts w:hint="default" w:ascii="Times New Roman" w:hAnsi="Times New Roman" w:eastAsia="黑体" w:cs="Times New Roman"/>
          <w:sz w:val="30"/>
          <w:szCs w:val="30"/>
        </w:rPr>
        <w:t xml:space="preserve">第一节 </w:t>
      </w:r>
      <w:r>
        <w:rPr>
          <w:rFonts w:hint="default" w:ascii="Times New Roman" w:hAnsi="Times New Roman" w:eastAsia="黑体" w:cs="Times New Roman"/>
          <w:sz w:val="30"/>
          <w:szCs w:val="30"/>
          <w:lang w:val="en-US" w:eastAsia="zh-CN"/>
        </w:rPr>
        <w:t>森林质量精准</w:t>
      </w:r>
      <w:r>
        <w:rPr>
          <w:rFonts w:hint="default" w:ascii="Times New Roman" w:hAnsi="Times New Roman" w:eastAsia="黑体" w:cs="Times New Roman"/>
          <w:sz w:val="30"/>
          <w:szCs w:val="30"/>
        </w:rPr>
        <w:t>提升工程</w:t>
      </w:r>
      <w:bookmarkEnd w:id="57"/>
      <w:bookmarkEnd w:id="58"/>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期间，结合省林业局下达的任务指标，制定各阶段森林质量精准提升实施方案，合理安排建设任务。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一、高质量水源林建设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高质量水源林建设对象主要分为宜林荒山荒地、迹地、疏残林（残次林）、低效纯松林、布局不合理的桉树林、未成林封育地。</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期间，建设高质量水源林238600亩，其中，人工造林30690亩，更新改造46850亩，补植套种82460亩，封山育林78600亩。</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表4-</w:t>
      </w:r>
      <w:r>
        <w:rPr>
          <w:rFonts w:hint="default" w:ascii="Times New Roman" w:hAnsi="Times New Roman" w:eastAsia="仿宋_GB2312" w:cs="Times New Roman"/>
          <w:sz w:val="28"/>
          <w:szCs w:val="30"/>
          <w:lang w:val="en-US" w:eastAsia="zh-CN"/>
        </w:rPr>
        <w:t>1</w:t>
      </w:r>
      <w:r>
        <w:rPr>
          <w:rFonts w:hint="default" w:ascii="Times New Roman" w:hAnsi="Times New Roman" w:eastAsia="仿宋_GB2312" w:cs="Times New Roman"/>
          <w:sz w:val="28"/>
          <w:szCs w:val="30"/>
        </w:rPr>
        <w:t xml:space="preserve"> 汕尾市高质量水源林建设工程任务分解表</w:t>
      </w:r>
    </w:p>
    <w:tbl>
      <w:tblPr>
        <w:tblStyle w:val="14"/>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577"/>
        <w:gridCol w:w="1185"/>
        <w:gridCol w:w="1337"/>
        <w:gridCol w:w="1372"/>
        <w:gridCol w:w="1374"/>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1577" w:type="dxa"/>
            <w:vMerge w:val="restart"/>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建设单位</w:t>
            </w:r>
          </w:p>
        </w:tc>
        <w:tc>
          <w:tcPr>
            <w:tcW w:w="6643" w:type="dxa"/>
            <w:gridSpan w:val="5"/>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建设面积（单位：亩）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1577" w:type="dxa"/>
            <w:vMerge w:val="continue"/>
            <w:vAlign w:val="center"/>
          </w:tcPr>
          <w:p>
            <w:pPr>
              <w:jc w:val="center"/>
              <w:rPr>
                <w:rFonts w:hint="default" w:ascii="Times New Roman" w:hAnsi="Times New Roman" w:eastAsia="宋体" w:cs="Times New Roman"/>
                <w:b/>
                <w:bCs/>
                <w:kern w:val="0"/>
                <w:sz w:val="24"/>
                <w:szCs w:val="24"/>
              </w:rPr>
            </w:pPr>
          </w:p>
        </w:tc>
        <w:tc>
          <w:tcPr>
            <w:tcW w:w="1185"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合计</w:t>
            </w:r>
          </w:p>
        </w:tc>
        <w:tc>
          <w:tcPr>
            <w:tcW w:w="1337"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人工造林</w:t>
            </w:r>
          </w:p>
        </w:tc>
        <w:tc>
          <w:tcPr>
            <w:tcW w:w="1372"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更新改造</w:t>
            </w:r>
          </w:p>
        </w:tc>
        <w:tc>
          <w:tcPr>
            <w:tcW w:w="1374"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补植套种</w:t>
            </w:r>
          </w:p>
        </w:tc>
        <w:tc>
          <w:tcPr>
            <w:tcW w:w="1375"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封山育林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1577"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汕尾市</w:t>
            </w:r>
          </w:p>
        </w:tc>
        <w:tc>
          <w:tcPr>
            <w:tcW w:w="1185"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238600</w:t>
            </w:r>
          </w:p>
        </w:tc>
        <w:tc>
          <w:tcPr>
            <w:tcW w:w="1337"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30690</w:t>
            </w:r>
          </w:p>
        </w:tc>
        <w:tc>
          <w:tcPr>
            <w:tcW w:w="137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46850</w:t>
            </w:r>
          </w:p>
        </w:tc>
        <w:tc>
          <w:tcPr>
            <w:tcW w:w="1374" w:type="dxa"/>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82460</w:t>
            </w:r>
          </w:p>
        </w:tc>
        <w:tc>
          <w:tcPr>
            <w:tcW w:w="1375"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1577"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汕尾市本级</w:t>
            </w:r>
          </w:p>
        </w:tc>
        <w:tc>
          <w:tcPr>
            <w:tcW w:w="1185"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13070</w:t>
            </w:r>
          </w:p>
        </w:tc>
        <w:tc>
          <w:tcPr>
            <w:tcW w:w="1337"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1660</w:t>
            </w:r>
          </w:p>
        </w:tc>
        <w:tc>
          <w:tcPr>
            <w:tcW w:w="137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2540</w:t>
            </w:r>
          </w:p>
        </w:tc>
        <w:tc>
          <w:tcPr>
            <w:tcW w:w="1374"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6170</w:t>
            </w:r>
          </w:p>
        </w:tc>
        <w:tc>
          <w:tcPr>
            <w:tcW w:w="1375"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1577"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城区</w:t>
            </w:r>
          </w:p>
        </w:tc>
        <w:tc>
          <w:tcPr>
            <w:tcW w:w="1185"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34880</w:t>
            </w:r>
          </w:p>
        </w:tc>
        <w:tc>
          <w:tcPr>
            <w:tcW w:w="1337"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6800</w:t>
            </w:r>
          </w:p>
        </w:tc>
        <w:tc>
          <w:tcPr>
            <w:tcW w:w="137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6930</w:t>
            </w:r>
          </w:p>
        </w:tc>
        <w:tc>
          <w:tcPr>
            <w:tcW w:w="1374"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10000</w:t>
            </w:r>
          </w:p>
        </w:tc>
        <w:tc>
          <w:tcPr>
            <w:tcW w:w="1375"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1577"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陆丰市</w:t>
            </w:r>
          </w:p>
        </w:tc>
        <w:tc>
          <w:tcPr>
            <w:tcW w:w="1185"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85220</w:t>
            </w:r>
          </w:p>
        </w:tc>
        <w:tc>
          <w:tcPr>
            <w:tcW w:w="1337"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10000</w:t>
            </w:r>
          </w:p>
        </w:tc>
        <w:tc>
          <w:tcPr>
            <w:tcW w:w="137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15470</w:t>
            </w:r>
          </w:p>
        </w:tc>
        <w:tc>
          <w:tcPr>
            <w:tcW w:w="1374"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30000</w:t>
            </w:r>
          </w:p>
        </w:tc>
        <w:tc>
          <w:tcPr>
            <w:tcW w:w="1375"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1577"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海丰县</w:t>
            </w:r>
          </w:p>
        </w:tc>
        <w:tc>
          <w:tcPr>
            <w:tcW w:w="1185"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59180</w:t>
            </w:r>
          </w:p>
        </w:tc>
        <w:tc>
          <w:tcPr>
            <w:tcW w:w="1337"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8080</w:t>
            </w:r>
          </w:p>
        </w:tc>
        <w:tc>
          <w:tcPr>
            <w:tcW w:w="137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12500</w:t>
            </w:r>
          </w:p>
        </w:tc>
        <w:tc>
          <w:tcPr>
            <w:tcW w:w="1374"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20000</w:t>
            </w:r>
          </w:p>
        </w:tc>
        <w:tc>
          <w:tcPr>
            <w:tcW w:w="1375"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1577"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陆河县</w:t>
            </w:r>
          </w:p>
        </w:tc>
        <w:tc>
          <w:tcPr>
            <w:tcW w:w="1185"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46250</w:t>
            </w:r>
          </w:p>
        </w:tc>
        <w:tc>
          <w:tcPr>
            <w:tcW w:w="1337"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4150</w:t>
            </w:r>
          </w:p>
        </w:tc>
        <w:tc>
          <w:tcPr>
            <w:tcW w:w="137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9410</w:t>
            </w:r>
          </w:p>
        </w:tc>
        <w:tc>
          <w:tcPr>
            <w:tcW w:w="1374"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16290</w:t>
            </w:r>
          </w:p>
        </w:tc>
        <w:tc>
          <w:tcPr>
            <w:tcW w:w="1375"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16400</w:t>
            </w:r>
          </w:p>
        </w:tc>
      </w:tr>
    </w:tbl>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注：</w:t>
      </w:r>
      <w:r>
        <w:rPr>
          <w:rFonts w:hint="default" w:ascii="Times New Roman" w:hAnsi="Times New Roman" w:eastAsia="宋体" w:cs="Times New Roman"/>
          <w:szCs w:val="21"/>
          <w:lang w:val="en-US" w:eastAsia="zh-CN"/>
        </w:rPr>
        <w:t>任务来源于《广东省高质量水源林建设规划（2021-2025年）》，</w:t>
      </w:r>
      <w:r>
        <w:rPr>
          <w:rFonts w:hint="eastAsia" w:ascii="Times New Roman" w:hAnsi="Times New Roman" w:eastAsia="宋体" w:cs="Times New Roman"/>
          <w:szCs w:val="21"/>
          <w:lang w:val="en-US" w:eastAsia="zh-CN"/>
        </w:rPr>
        <w:t>其中市本级包含红海湾经济开发区、华侨管理区以及六个市属林场，具体任务分解由市林业局生态保护修复科负责；</w:t>
      </w:r>
      <w:r>
        <w:rPr>
          <w:rFonts w:hint="default" w:ascii="Times New Roman" w:hAnsi="Times New Roman" w:eastAsia="宋体" w:cs="Times New Roman"/>
          <w:szCs w:val="21"/>
        </w:rPr>
        <w:t>以上数据采用四舍五入法保留整数位。</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二、大径材基地建设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以国有林场为主，发展以土沉香、红锥、火力楠等优质树种为主的大径材基地，延长采伐周期，增加木材蓄积，培育大径材。</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期间，建设大径材基地58333亩，其中，陆丰市16667亩，海丰县25000亩，陆河县1666</w:t>
      </w:r>
      <w:r>
        <w:rPr>
          <w:rFonts w:hint="eastAsia"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lang w:val="en-US" w:eastAsia="zh-CN"/>
        </w:rPr>
        <w:t>亩。</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表4-</w:t>
      </w:r>
      <w:r>
        <w:rPr>
          <w:rFonts w:hint="default" w:ascii="Times New Roman" w:hAnsi="Times New Roman" w:eastAsia="仿宋_GB2312" w:cs="Times New Roman"/>
          <w:sz w:val="28"/>
          <w:szCs w:val="30"/>
          <w:lang w:val="en-US" w:eastAsia="zh-CN"/>
        </w:rPr>
        <w:t>2</w:t>
      </w:r>
      <w:r>
        <w:rPr>
          <w:rFonts w:hint="default" w:ascii="Times New Roman" w:hAnsi="Times New Roman" w:eastAsia="仿宋_GB2312" w:cs="Times New Roman"/>
          <w:sz w:val="28"/>
          <w:szCs w:val="30"/>
        </w:rPr>
        <w:t xml:space="preserve"> 汕尾市大径材建设工程年度分解表</w:t>
      </w:r>
    </w:p>
    <w:tbl>
      <w:tblPr>
        <w:tblStyle w:val="14"/>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605"/>
        <w:gridCol w:w="1168"/>
        <w:gridCol w:w="1043"/>
        <w:gridCol w:w="1062"/>
        <w:gridCol w:w="1052"/>
        <w:gridCol w:w="1052"/>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1605" w:type="dxa"/>
            <w:vMerge w:val="restart"/>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建设单位</w:t>
            </w:r>
          </w:p>
        </w:tc>
        <w:tc>
          <w:tcPr>
            <w:tcW w:w="6615" w:type="dxa"/>
            <w:gridSpan w:val="6"/>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建设面积（单位：亩）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1605" w:type="dxa"/>
            <w:vMerge w:val="continue"/>
            <w:vAlign w:val="center"/>
          </w:tcPr>
          <w:p>
            <w:pPr>
              <w:jc w:val="center"/>
              <w:rPr>
                <w:rFonts w:hint="default" w:ascii="Times New Roman" w:hAnsi="Times New Roman" w:eastAsia="宋体" w:cs="Times New Roman"/>
                <w:b/>
                <w:bCs/>
                <w:kern w:val="0"/>
                <w:sz w:val="24"/>
                <w:szCs w:val="24"/>
              </w:rPr>
            </w:pPr>
          </w:p>
        </w:tc>
        <w:tc>
          <w:tcPr>
            <w:tcW w:w="1168"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合计</w:t>
            </w:r>
          </w:p>
        </w:tc>
        <w:tc>
          <w:tcPr>
            <w:tcW w:w="1043"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2021年</w:t>
            </w:r>
          </w:p>
        </w:tc>
        <w:tc>
          <w:tcPr>
            <w:tcW w:w="1062"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2022年</w:t>
            </w:r>
          </w:p>
        </w:tc>
        <w:tc>
          <w:tcPr>
            <w:tcW w:w="1052"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2023年</w:t>
            </w:r>
          </w:p>
        </w:tc>
        <w:tc>
          <w:tcPr>
            <w:tcW w:w="1052"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2024年</w:t>
            </w:r>
          </w:p>
        </w:tc>
        <w:tc>
          <w:tcPr>
            <w:tcW w:w="1238"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1605" w:type="dxa"/>
            <w:vAlign w:val="center"/>
          </w:tcPr>
          <w:p>
            <w:pPr>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汕尾市</w:t>
            </w:r>
          </w:p>
        </w:tc>
        <w:tc>
          <w:tcPr>
            <w:tcW w:w="1168" w:type="dxa"/>
            <w:vAlign w:val="center"/>
          </w:tcPr>
          <w:p>
            <w:pPr>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58333</w:t>
            </w:r>
          </w:p>
        </w:tc>
        <w:tc>
          <w:tcPr>
            <w:tcW w:w="1043" w:type="dxa"/>
            <w:vAlign w:val="center"/>
          </w:tcPr>
          <w:p>
            <w:pPr>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13333</w:t>
            </w:r>
          </w:p>
        </w:tc>
        <w:tc>
          <w:tcPr>
            <w:tcW w:w="1062" w:type="dxa"/>
            <w:vAlign w:val="center"/>
          </w:tcPr>
          <w:p>
            <w:pPr>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rPr>
              <w:t>133</w:t>
            </w:r>
            <w:r>
              <w:rPr>
                <w:rFonts w:hint="eastAsia" w:ascii="Times New Roman" w:hAnsi="Times New Roman" w:eastAsia="宋体" w:cs="Times New Roman"/>
                <w:color w:val="auto"/>
                <w:kern w:val="0"/>
                <w:sz w:val="24"/>
                <w:szCs w:val="24"/>
                <w:lang w:val="en-US" w:eastAsia="zh-CN"/>
              </w:rPr>
              <w:t>33</w:t>
            </w:r>
          </w:p>
        </w:tc>
        <w:tc>
          <w:tcPr>
            <w:tcW w:w="1052" w:type="dxa"/>
            <w:vAlign w:val="center"/>
          </w:tcPr>
          <w:p>
            <w:pPr>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rPr>
              <w:t>133</w:t>
            </w:r>
            <w:r>
              <w:rPr>
                <w:rFonts w:hint="eastAsia" w:ascii="Times New Roman" w:hAnsi="Times New Roman" w:eastAsia="宋体" w:cs="Times New Roman"/>
                <w:color w:val="auto"/>
                <w:kern w:val="0"/>
                <w:sz w:val="24"/>
                <w:szCs w:val="24"/>
                <w:lang w:val="en-US" w:eastAsia="zh-CN"/>
              </w:rPr>
              <w:t>33</w:t>
            </w:r>
          </w:p>
        </w:tc>
        <w:tc>
          <w:tcPr>
            <w:tcW w:w="1052" w:type="dxa"/>
            <w:vAlign w:val="center"/>
          </w:tcPr>
          <w:p>
            <w:pPr>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rPr>
              <w:t>133</w:t>
            </w:r>
            <w:r>
              <w:rPr>
                <w:rFonts w:hint="eastAsia" w:ascii="Times New Roman" w:hAnsi="Times New Roman" w:eastAsia="宋体" w:cs="Times New Roman"/>
                <w:color w:val="auto"/>
                <w:kern w:val="0"/>
                <w:sz w:val="24"/>
                <w:szCs w:val="24"/>
                <w:lang w:val="en-US" w:eastAsia="zh-CN"/>
              </w:rPr>
              <w:t>33</w:t>
            </w:r>
          </w:p>
        </w:tc>
        <w:tc>
          <w:tcPr>
            <w:tcW w:w="1238" w:type="dxa"/>
            <w:vAlign w:val="center"/>
          </w:tcPr>
          <w:p>
            <w:pPr>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1605" w:type="dxa"/>
            <w:vAlign w:val="center"/>
          </w:tcPr>
          <w:p>
            <w:pPr>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海丰县</w:t>
            </w:r>
          </w:p>
        </w:tc>
        <w:tc>
          <w:tcPr>
            <w:tcW w:w="1168" w:type="dxa"/>
            <w:vAlign w:val="center"/>
          </w:tcPr>
          <w:p>
            <w:pPr>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25000</w:t>
            </w:r>
          </w:p>
        </w:tc>
        <w:tc>
          <w:tcPr>
            <w:tcW w:w="1043" w:type="dxa"/>
            <w:vAlign w:val="center"/>
          </w:tcPr>
          <w:p>
            <w:pPr>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5000</w:t>
            </w:r>
          </w:p>
        </w:tc>
        <w:tc>
          <w:tcPr>
            <w:tcW w:w="1062" w:type="dxa"/>
            <w:vAlign w:val="center"/>
          </w:tcPr>
          <w:p>
            <w:pPr>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5000</w:t>
            </w:r>
          </w:p>
        </w:tc>
        <w:tc>
          <w:tcPr>
            <w:tcW w:w="1052" w:type="dxa"/>
            <w:vAlign w:val="center"/>
          </w:tcPr>
          <w:p>
            <w:pPr>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5000</w:t>
            </w:r>
          </w:p>
        </w:tc>
        <w:tc>
          <w:tcPr>
            <w:tcW w:w="1052" w:type="dxa"/>
            <w:vAlign w:val="center"/>
          </w:tcPr>
          <w:p>
            <w:pPr>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5000</w:t>
            </w:r>
          </w:p>
        </w:tc>
        <w:tc>
          <w:tcPr>
            <w:tcW w:w="1238" w:type="dxa"/>
            <w:vAlign w:val="center"/>
          </w:tcPr>
          <w:p>
            <w:pPr>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1605" w:type="dxa"/>
            <w:vAlign w:val="center"/>
          </w:tcPr>
          <w:p>
            <w:pPr>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陆河县</w:t>
            </w:r>
          </w:p>
        </w:tc>
        <w:tc>
          <w:tcPr>
            <w:tcW w:w="1168" w:type="dxa"/>
            <w:vAlign w:val="center"/>
          </w:tcPr>
          <w:p>
            <w:pPr>
              <w:jc w:val="center"/>
              <w:rPr>
                <w:rFonts w:hint="eastAsia"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rPr>
              <w:t>16667</w:t>
            </w:r>
          </w:p>
        </w:tc>
        <w:tc>
          <w:tcPr>
            <w:tcW w:w="1043" w:type="dxa"/>
            <w:vAlign w:val="center"/>
          </w:tcPr>
          <w:p>
            <w:pPr>
              <w:jc w:val="center"/>
              <w:rPr>
                <w:rFonts w:hint="eastAsia"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rPr>
              <w:t>4167</w:t>
            </w:r>
          </w:p>
        </w:tc>
        <w:tc>
          <w:tcPr>
            <w:tcW w:w="1062" w:type="dxa"/>
            <w:vAlign w:val="center"/>
          </w:tcPr>
          <w:p>
            <w:pPr>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4167</w:t>
            </w:r>
          </w:p>
        </w:tc>
        <w:tc>
          <w:tcPr>
            <w:tcW w:w="1052" w:type="dxa"/>
            <w:vAlign w:val="center"/>
          </w:tcPr>
          <w:p>
            <w:pPr>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4167</w:t>
            </w:r>
          </w:p>
        </w:tc>
        <w:tc>
          <w:tcPr>
            <w:tcW w:w="1052" w:type="dxa"/>
            <w:vAlign w:val="center"/>
          </w:tcPr>
          <w:p>
            <w:pPr>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4167</w:t>
            </w:r>
          </w:p>
        </w:tc>
        <w:tc>
          <w:tcPr>
            <w:tcW w:w="1238" w:type="dxa"/>
            <w:vAlign w:val="center"/>
          </w:tcPr>
          <w:p>
            <w:pPr>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1605" w:type="dxa"/>
            <w:vAlign w:val="center"/>
          </w:tcPr>
          <w:p>
            <w:pPr>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陆丰市</w:t>
            </w:r>
          </w:p>
        </w:tc>
        <w:tc>
          <w:tcPr>
            <w:tcW w:w="1168" w:type="dxa"/>
            <w:vAlign w:val="center"/>
          </w:tcPr>
          <w:p>
            <w:pPr>
              <w:jc w:val="center"/>
              <w:rPr>
                <w:rFonts w:hint="eastAsia"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rPr>
              <w:t>16667</w:t>
            </w:r>
          </w:p>
        </w:tc>
        <w:tc>
          <w:tcPr>
            <w:tcW w:w="1043" w:type="dxa"/>
            <w:vAlign w:val="center"/>
          </w:tcPr>
          <w:p>
            <w:pPr>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4167</w:t>
            </w:r>
          </w:p>
        </w:tc>
        <w:tc>
          <w:tcPr>
            <w:tcW w:w="1062" w:type="dxa"/>
            <w:vAlign w:val="center"/>
          </w:tcPr>
          <w:p>
            <w:pPr>
              <w:jc w:val="center"/>
              <w:rPr>
                <w:rFonts w:hint="eastAsia"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rPr>
              <w:t>416</w:t>
            </w:r>
            <w:r>
              <w:rPr>
                <w:rFonts w:hint="eastAsia" w:ascii="Times New Roman" w:hAnsi="Times New Roman" w:eastAsia="宋体" w:cs="Times New Roman"/>
                <w:color w:val="auto"/>
                <w:kern w:val="0"/>
                <w:sz w:val="24"/>
                <w:szCs w:val="24"/>
                <w:lang w:val="en-US" w:eastAsia="zh-CN"/>
              </w:rPr>
              <w:t>7</w:t>
            </w:r>
          </w:p>
        </w:tc>
        <w:tc>
          <w:tcPr>
            <w:tcW w:w="1052" w:type="dxa"/>
            <w:vAlign w:val="center"/>
          </w:tcPr>
          <w:p>
            <w:pPr>
              <w:jc w:val="center"/>
              <w:rPr>
                <w:rFonts w:hint="eastAsia"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rPr>
              <w:t>416</w:t>
            </w:r>
            <w:r>
              <w:rPr>
                <w:rFonts w:hint="eastAsia" w:ascii="Times New Roman" w:hAnsi="Times New Roman" w:eastAsia="宋体" w:cs="Times New Roman"/>
                <w:color w:val="auto"/>
                <w:kern w:val="0"/>
                <w:sz w:val="24"/>
                <w:szCs w:val="24"/>
                <w:lang w:val="en-US" w:eastAsia="zh-CN"/>
              </w:rPr>
              <w:t>7</w:t>
            </w:r>
          </w:p>
        </w:tc>
        <w:tc>
          <w:tcPr>
            <w:tcW w:w="1052" w:type="dxa"/>
            <w:vAlign w:val="center"/>
          </w:tcPr>
          <w:p>
            <w:pPr>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rPr>
              <w:t>41</w:t>
            </w:r>
            <w:r>
              <w:rPr>
                <w:rFonts w:hint="eastAsia" w:ascii="Times New Roman" w:hAnsi="Times New Roman" w:eastAsia="宋体" w:cs="Times New Roman"/>
                <w:color w:val="auto"/>
                <w:kern w:val="0"/>
                <w:sz w:val="24"/>
                <w:szCs w:val="24"/>
                <w:lang w:val="en-US" w:eastAsia="zh-CN"/>
              </w:rPr>
              <w:t>67</w:t>
            </w:r>
          </w:p>
        </w:tc>
        <w:tc>
          <w:tcPr>
            <w:tcW w:w="1238" w:type="dxa"/>
            <w:vAlign w:val="center"/>
          </w:tcPr>
          <w:p>
            <w:pPr>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p>
        </w:tc>
      </w:tr>
    </w:tbl>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注：</w:t>
      </w:r>
      <w:r>
        <w:rPr>
          <w:rFonts w:hint="default" w:ascii="Times New Roman" w:hAnsi="Times New Roman" w:eastAsia="宋体" w:cs="Times New Roman"/>
          <w:szCs w:val="21"/>
          <w:lang w:val="en-US" w:eastAsia="zh-CN"/>
        </w:rPr>
        <w:t>任务来源于《广东省大径材基地建设实施方案》，</w:t>
      </w:r>
      <w:r>
        <w:rPr>
          <w:rFonts w:hint="default" w:ascii="Times New Roman" w:hAnsi="Times New Roman" w:eastAsia="宋体" w:cs="Times New Roman"/>
          <w:szCs w:val="21"/>
        </w:rPr>
        <w:t>以上数据采用四舍五入法保留整数位。</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rPr>
      </w:pPr>
      <w:bookmarkStart w:id="59" w:name="_Toc2461"/>
      <w:bookmarkStart w:id="60" w:name="_Toc78615457"/>
      <w:r>
        <w:rPr>
          <w:rFonts w:hint="default" w:ascii="Times New Roman" w:hAnsi="Times New Roman" w:eastAsia="黑体" w:cs="Times New Roman"/>
          <w:sz w:val="30"/>
          <w:szCs w:val="30"/>
        </w:rPr>
        <w:t>第</w:t>
      </w:r>
      <w:r>
        <w:rPr>
          <w:rFonts w:hint="default" w:ascii="Times New Roman" w:hAnsi="Times New Roman" w:eastAsia="黑体" w:cs="Times New Roman"/>
          <w:sz w:val="30"/>
          <w:szCs w:val="30"/>
          <w:lang w:val="en-US" w:eastAsia="zh-CN"/>
        </w:rPr>
        <w:t>二</w:t>
      </w:r>
      <w:r>
        <w:rPr>
          <w:rFonts w:hint="default" w:ascii="Times New Roman" w:hAnsi="Times New Roman" w:eastAsia="黑体" w:cs="Times New Roman"/>
          <w:sz w:val="30"/>
          <w:szCs w:val="30"/>
        </w:rPr>
        <w:t>节 自然生态系统保护修复工程</w:t>
      </w:r>
      <w:bookmarkEnd w:id="59"/>
      <w:bookmarkEnd w:id="60"/>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一、天然林生态保护修复</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坚持尊重自然、科学修复的原则，以自然恢复为主、人工促进为辅，保育并举，改善天然林林分结构，注重乡土阔叶树种培育，提高天然林质量。科学修复低效退化天然林，修复对象为已落界天然林中的马尾松和杉木林，</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期间，天然林修复面积2100亩。</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表4-</w:t>
      </w:r>
      <w:r>
        <w:rPr>
          <w:rFonts w:hint="default" w:ascii="Times New Roman" w:hAnsi="Times New Roman" w:eastAsia="仿宋_GB2312" w:cs="Times New Roman"/>
          <w:sz w:val="28"/>
          <w:szCs w:val="30"/>
          <w:lang w:val="en-US" w:eastAsia="zh-CN"/>
        </w:rPr>
        <w:t>3</w:t>
      </w:r>
      <w:r>
        <w:rPr>
          <w:rFonts w:hint="default" w:ascii="Times New Roman" w:hAnsi="Times New Roman" w:eastAsia="仿宋_GB2312" w:cs="Times New Roman"/>
          <w:sz w:val="28"/>
          <w:szCs w:val="30"/>
        </w:rPr>
        <w:t xml:space="preserve"> 汕尾市</w:t>
      </w:r>
      <w:r>
        <w:rPr>
          <w:rFonts w:hint="default" w:ascii="Times New Roman" w:hAnsi="Times New Roman" w:eastAsia="仿宋_GB2312" w:cs="Times New Roman"/>
          <w:sz w:val="28"/>
          <w:szCs w:val="30"/>
          <w:lang w:val="en-US" w:eastAsia="zh-CN"/>
        </w:rPr>
        <w:t>天然林修复</w:t>
      </w:r>
      <w:r>
        <w:rPr>
          <w:rFonts w:hint="default" w:ascii="Times New Roman" w:hAnsi="Times New Roman" w:eastAsia="仿宋_GB2312" w:cs="Times New Roman"/>
          <w:sz w:val="28"/>
          <w:szCs w:val="30"/>
        </w:rPr>
        <w:t>任务分解表</w:t>
      </w:r>
    </w:p>
    <w:tbl>
      <w:tblPr>
        <w:tblStyle w:val="14"/>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655"/>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3655"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建设单位</w:t>
            </w:r>
          </w:p>
        </w:tc>
        <w:tc>
          <w:tcPr>
            <w:tcW w:w="4565"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补植修复面积（亩）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3655"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合计</w:t>
            </w:r>
          </w:p>
        </w:tc>
        <w:tc>
          <w:tcPr>
            <w:tcW w:w="4565"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3655"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海丰县</w:t>
            </w:r>
          </w:p>
        </w:tc>
        <w:tc>
          <w:tcPr>
            <w:tcW w:w="4565"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3655"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陆河县</w:t>
            </w:r>
          </w:p>
        </w:tc>
        <w:tc>
          <w:tcPr>
            <w:tcW w:w="4565"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3655"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陆丰市</w:t>
            </w:r>
          </w:p>
        </w:tc>
        <w:tc>
          <w:tcPr>
            <w:tcW w:w="4565"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650</w:t>
            </w:r>
          </w:p>
        </w:tc>
      </w:tr>
    </w:tbl>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二、生态公益林</w:t>
      </w:r>
      <w:r>
        <w:rPr>
          <w:rFonts w:hint="eastAsia" w:ascii="Times New Roman" w:hAnsi="Times New Roman" w:eastAsia="仿宋_GB2312" w:cs="Times New Roman"/>
          <w:b/>
          <w:sz w:val="30"/>
          <w:szCs w:val="30"/>
          <w:lang w:val="en-US" w:eastAsia="zh-CN"/>
        </w:rPr>
        <w:t>示范区</w:t>
      </w:r>
      <w:r>
        <w:rPr>
          <w:rFonts w:hint="default" w:ascii="Times New Roman" w:hAnsi="Times New Roman" w:eastAsia="仿宋_GB2312" w:cs="Times New Roman"/>
          <w:b/>
          <w:sz w:val="30"/>
          <w:szCs w:val="30"/>
          <w:lang w:val="en-US" w:eastAsia="zh-CN"/>
        </w:rPr>
        <w:t>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全市落界省级以上生态公益林面积162.46万亩，按照落界审核后的面积进行生态补偿，对公益林任务面积缺口进行调进平衡或提交核减申请，基本确定全市生态公益林空间布局，完善公益林体系。</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期间，对全市生态公益林进行分级分类保护，建设2个省级生态公益林示范区，分别为海丰县海城镇莲花山生态公益林示范区和</w:t>
      </w:r>
      <w:r>
        <w:rPr>
          <w:rFonts w:hint="eastAsia" w:ascii="Times New Roman" w:hAnsi="Times New Roman" w:eastAsia="仿宋_GB2312"/>
          <w:sz w:val="30"/>
          <w:szCs w:val="30"/>
          <w:highlight w:val="none"/>
        </w:rPr>
        <w:t>广东陆河南万红锥林自然保护区</w:t>
      </w:r>
      <w:r>
        <w:rPr>
          <w:rFonts w:hint="default" w:ascii="Times New Roman" w:hAnsi="Times New Roman" w:eastAsia="仿宋_GB2312" w:cs="Times New Roman"/>
          <w:sz w:val="30"/>
          <w:szCs w:val="30"/>
          <w:lang w:val="en-US" w:eastAsia="zh-CN"/>
        </w:rPr>
        <w:t>生态公益林示范区。</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三、红树林保护修复</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优先选用本地红树物种实施宜林地造林</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加大红树林保护修复投入，在适宜恢复区域营造红树林，在退化区域实施抚育和提质改造，逐步提升红树林生态系统质量和功能。依据《广东省红树林保护修复专项行动计划实施方案》，</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期间，全市完成红树林造林7050亩，修复现有红树林720亩。</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坚持自然修复为主、人工修复为辅的方针开展现有红树林修复，加强对人工纯林、有害生物入侵、生境退化的红树林进行修复，采取树种改造、有害生物清除、潮沟和光滩恢复措施，对红树林生态系统进行修复，提高红树林生态系统稳定性和完整性。</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表4-</w:t>
      </w:r>
      <w:r>
        <w:rPr>
          <w:rFonts w:hint="default" w:ascii="Times New Roman" w:hAnsi="Times New Roman" w:eastAsia="仿宋_GB2312" w:cs="Times New Roman"/>
          <w:sz w:val="28"/>
          <w:szCs w:val="30"/>
          <w:lang w:val="en-US" w:eastAsia="zh-CN"/>
        </w:rPr>
        <w:t>4</w:t>
      </w:r>
      <w:r>
        <w:rPr>
          <w:rFonts w:hint="default" w:ascii="Times New Roman" w:hAnsi="Times New Roman" w:eastAsia="仿宋_GB2312" w:cs="Times New Roman"/>
          <w:sz w:val="28"/>
          <w:szCs w:val="30"/>
        </w:rPr>
        <w:t xml:space="preserve"> 汕尾市红树林造林任务分解表</w:t>
      </w:r>
    </w:p>
    <w:tbl>
      <w:tblPr>
        <w:tblStyle w:val="14"/>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233"/>
        <w:gridCol w:w="1233"/>
        <w:gridCol w:w="1233"/>
        <w:gridCol w:w="1233"/>
        <w:gridCol w:w="1233"/>
        <w:gridCol w:w="1233"/>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1233" w:type="dxa"/>
            <w:vMerge w:val="restart"/>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建设单位</w:t>
            </w:r>
          </w:p>
        </w:tc>
        <w:tc>
          <w:tcPr>
            <w:tcW w:w="6987" w:type="dxa"/>
            <w:gridSpan w:val="6"/>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建设面积（单位：亩）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1233" w:type="dxa"/>
            <w:vMerge w:val="continue"/>
            <w:vAlign w:val="center"/>
          </w:tcPr>
          <w:p>
            <w:pPr>
              <w:jc w:val="center"/>
              <w:rPr>
                <w:rFonts w:hint="default" w:ascii="Times New Roman" w:hAnsi="Times New Roman" w:eastAsia="宋体" w:cs="Times New Roman"/>
                <w:b/>
                <w:bCs/>
                <w:kern w:val="0"/>
                <w:sz w:val="24"/>
                <w:szCs w:val="24"/>
              </w:rPr>
            </w:pPr>
          </w:p>
        </w:tc>
        <w:tc>
          <w:tcPr>
            <w:tcW w:w="1233"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2021年</w:t>
            </w:r>
          </w:p>
        </w:tc>
        <w:tc>
          <w:tcPr>
            <w:tcW w:w="1233"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2022年</w:t>
            </w:r>
          </w:p>
        </w:tc>
        <w:tc>
          <w:tcPr>
            <w:tcW w:w="1233"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2023年</w:t>
            </w:r>
          </w:p>
        </w:tc>
        <w:tc>
          <w:tcPr>
            <w:tcW w:w="1233"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2024年</w:t>
            </w:r>
          </w:p>
        </w:tc>
        <w:tc>
          <w:tcPr>
            <w:tcW w:w="1233"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2025年</w:t>
            </w:r>
          </w:p>
        </w:tc>
        <w:tc>
          <w:tcPr>
            <w:tcW w:w="822"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123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小计</w:t>
            </w:r>
          </w:p>
        </w:tc>
        <w:tc>
          <w:tcPr>
            <w:tcW w:w="123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1410</w:t>
            </w:r>
          </w:p>
        </w:tc>
        <w:tc>
          <w:tcPr>
            <w:tcW w:w="123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1410</w:t>
            </w:r>
          </w:p>
        </w:tc>
        <w:tc>
          <w:tcPr>
            <w:tcW w:w="123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1410</w:t>
            </w:r>
          </w:p>
        </w:tc>
        <w:tc>
          <w:tcPr>
            <w:tcW w:w="123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1410</w:t>
            </w:r>
          </w:p>
        </w:tc>
        <w:tc>
          <w:tcPr>
            <w:tcW w:w="123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1410</w:t>
            </w:r>
          </w:p>
        </w:tc>
        <w:tc>
          <w:tcPr>
            <w:tcW w:w="82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123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城区</w:t>
            </w:r>
          </w:p>
        </w:tc>
        <w:tc>
          <w:tcPr>
            <w:tcW w:w="123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24</w:t>
            </w:r>
          </w:p>
        </w:tc>
        <w:tc>
          <w:tcPr>
            <w:tcW w:w="123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24</w:t>
            </w:r>
          </w:p>
        </w:tc>
        <w:tc>
          <w:tcPr>
            <w:tcW w:w="123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24</w:t>
            </w:r>
          </w:p>
        </w:tc>
        <w:tc>
          <w:tcPr>
            <w:tcW w:w="123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24</w:t>
            </w:r>
          </w:p>
        </w:tc>
        <w:tc>
          <w:tcPr>
            <w:tcW w:w="123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24</w:t>
            </w:r>
          </w:p>
        </w:tc>
        <w:tc>
          <w:tcPr>
            <w:tcW w:w="82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123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海丰县</w:t>
            </w:r>
          </w:p>
        </w:tc>
        <w:tc>
          <w:tcPr>
            <w:tcW w:w="123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1386</w:t>
            </w:r>
          </w:p>
        </w:tc>
        <w:tc>
          <w:tcPr>
            <w:tcW w:w="123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1386</w:t>
            </w:r>
          </w:p>
        </w:tc>
        <w:tc>
          <w:tcPr>
            <w:tcW w:w="123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1386</w:t>
            </w:r>
          </w:p>
        </w:tc>
        <w:tc>
          <w:tcPr>
            <w:tcW w:w="123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1386</w:t>
            </w:r>
          </w:p>
        </w:tc>
        <w:tc>
          <w:tcPr>
            <w:tcW w:w="123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1386</w:t>
            </w:r>
          </w:p>
        </w:tc>
        <w:tc>
          <w:tcPr>
            <w:tcW w:w="82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6930</w:t>
            </w:r>
          </w:p>
        </w:tc>
      </w:tr>
    </w:tbl>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表4-</w:t>
      </w:r>
      <w:r>
        <w:rPr>
          <w:rFonts w:hint="default" w:ascii="Times New Roman" w:hAnsi="Times New Roman" w:eastAsia="仿宋_GB2312" w:cs="Times New Roman"/>
          <w:sz w:val="28"/>
          <w:szCs w:val="30"/>
          <w:lang w:val="en-US" w:eastAsia="zh-CN"/>
        </w:rPr>
        <w:t>5</w:t>
      </w:r>
      <w:r>
        <w:rPr>
          <w:rFonts w:hint="default" w:ascii="Times New Roman" w:hAnsi="Times New Roman" w:eastAsia="仿宋_GB2312" w:cs="Times New Roman"/>
          <w:sz w:val="28"/>
          <w:szCs w:val="30"/>
        </w:rPr>
        <w:t xml:space="preserve"> 汕尾市红树林修复任务分解表</w:t>
      </w:r>
    </w:p>
    <w:tbl>
      <w:tblPr>
        <w:tblStyle w:val="14"/>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642"/>
        <w:gridCol w:w="1069"/>
        <w:gridCol w:w="1069"/>
        <w:gridCol w:w="1069"/>
        <w:gridCol w:w="1069"/>
        <w:gridCol w:w="1069"/>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1642" w:type="dxa"/>
            <w:vMerge w:val="restart"/>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建设单位</w:t>
            </w:r>
          </w:p>
        </w:tc>
        <w:tc>
          <w:tcPr>
            <w:tcW w:w="6578" w:type="dxa"/>
            <w:gridSpan w:val="6"/>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建设面积（单位：亩）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1642" w:type="dxa"/>
            <w:vMerge w:val="continue"/>
            <w:vAlign w:val="center"/>
          </w:tcPr>
          <w:p>
            <w:pPr>
              <w:jc w:val="center"/>
              <w:rPr>
                <w:rFonts w:hint="default" w:ascii="Times New Roman" w:hAnsi="Times New Roman" w:eastAsia="宋体" w:cs="Times New Roman"/>
                <w:b/>
                <w:bCs/>
                <w:kern w:val="0"/>
                <w:sz w:val="24"/>
                <w:szCs w:val="24"/>
              </w:rPr>
            </w:pPr>
          </w:p>
        </w:tc>
        <w:tc>
          <w:tcPr>
            <w:tcW w:w="1069" w:type="dxa"/>
            <w:vAlign w:val="center"/>
          </w:tcPr>
          <w:p>
            <w:pPr>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2021年</w:t>
            </w:r>
          </w:p>
        </w:tc>
        <w:tc>
          <w:tcPr>
            <w:tcW w:w="1069" w:type="dxa"/>
            <w:vAlign w:val="center"/>
          </w:tcPr>
          <w:p>
            <w:pPr>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2022年</w:t>
            </w:r>
          </w:p>
        </w:tc>
        <w:tc>
          <w:tcPr>
            <w:tcW w:w="1069" w:type="dxa"/>
            <w:vAlign w:val="center"/>
          </w:tcPr>
          <w:p>
            <w:pPr>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2023年</w:t>
            </w:r>
          </w:p>
        </w:tc>
        <w:tc>
          <w:tcPr>
            <w:tcW w:w="1069" w:type="dxa"/>
            <w:vAlign w:val="center"/>
          </w:tcPr>
          <w:p>
            <w:pPr>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2024年</w:t>
            </w:r>
          </w:p>
        </w:tc>
        <w:tc>
          <w:tcPr>
            <w:tcW w:w="1069" w:type="dxa"/>
            <w:vAlign w:val="center"/>
          </w:tcPr>
          <w:p>
            <w:pPr>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2025年</w:t>
            </w:r>
          </w:p>
        </w:tc>
        <w:tc>
          <w:tcPr>
            <w:tcW w:w="1233" w:type="dxa"/>
            <w:vAlign w:val="center"/>
          </w:tcPr>
          <w:p>
            <w:pPr>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164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小计</w:t>
            </w:r>
          </w:p>
        </w:tc>
        <w:tc>
          <w:tcPr>
            <w:tcW w:w="106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144</w:t>
            </w:r>
          </w:p>
        </w:tc>
        <w:tc>
          <w:tcPr>
            <w:tcW w:w="106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144</w:t>
            </w:r>
          </w:p>
        </w:tc>
        <w:tc>
          <w:tcPr>
            <w:tcW w:w="106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144</w:t>
            </w:r>
          </w:p>
        </w:tc>
        <w:tc>
          <w:tcPr>
            <w:tcW w:w="106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144</w:t>
            </w:r>
          </w:p>
        </w:tc>
        <w:tc>
          <w:tcPr>
            <w:tcW w:w="106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144</w:t>
            </w:r>
          </w:p>
        </w:tc>
        <w:tc>
          <w:tcPr>
            <w:tcW w:w="123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164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城区</w:t>
            </w:r>
          </w:p>
        </w:tc>
        <w:tc>
          <w:tcPr>
            <w:tcW w:w="106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106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106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106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106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123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164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海丰县</w:t>
            </w:r>
          </w:p>
        </w:tc>
        <w:tc>
          <w:tcPr>
            <w:tcW w:w="106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141</w:t>
            </w:r>
          </w:p>
        </w:tc>
        <w:tc>
          <w:tcPr>
            <w:tcW w:w="106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141</w:t>
            </w:r>
          </w:p>
        </w:tc>
        <w:tc>
          <w:tcPr>
            <w:tcW w:w="106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141</w:t>
            </w:r>
          </w:p>
        </w:tc>
        <w:tc>
          <w:tcPr>
            <w:tcW w:w="106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141</w:t>
            </w:r>
          </w:p>
        </w:tc>
        <w:tc>
          <w:tcPr>
            <w:tcW w:w="106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141</w:t>
            </w:r>
          </w:p>
        </w:tc>
        <w:tc>
          <w:tcPr>
            <w:tcW w:w="123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705</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四、沿海防护林保护修复</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沿海岸营造防风固沙林、护岸林和水土保持林，通过低效林改造、封山育林等措施，提高林分质量，增强森林、湿地生态系统稳定性。根据《广东省沿海防护林体系建设工程规划》（2016-2025），完成汕尾城区、海丰县、陆丰市、红海湾经济开发区、湖东林场、东海岸林场等6个县（市、区）、林场的建设任务。</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期间，沿海防护林建设面积7.32万亩。</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表4-</w:t>
      </w:r>
      <w:r>
        <w:rPr>
          <w:rFonts w:hint="default" w:ascii="Times New Roman" w:hAnsi="Times New Roman" w:eastAsia="仿宋_GB2312" w:cs="Times New Roman"/>
          <w:sz w:val="28"/>
          <w:szCs w:val="30"/>
          <w:lang w:val="en-US" w:eastAsia="zh-CN"/>
        </w:rPr>
        <w:t>6</w:t>
      </w:r>
      <w:r>
        <w:rPr>
          <w:rFonts w:hint="default" w:ascii="Times New Roman" w:hAnsi="Times New Roman" w:eastAsia="仿宋_GB2312" w:cs="Times New Roman"/>
          <w:sz w:val="28"/>
          <w:szCs w:val="30"/>
        </w:rPr>
        <w:t xml:space="preserve"> 汕尾市沿海防护林带建设任务分解表</w:t>
      </w:r>
    </w:p>
    <w:tbl>
      <w:tblPr>
        <w:tblStyle w:val="15"/>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03"/>
        <w:gridCol w:w="1182"/>
        <w:gridCol w:w="726"/>
        <w:gridCol w:w="726"/>
        <w:gridCol w:w="726"/>
        <w:gridCol w:w="726"/>
        <w:gridCol w:w="726"/>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1803" w:type="dxa"/>
            <w:vMerge w:val="restart"/>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建设单位</w:t>
            </w:r>
          </w:p>
        </w:tc>
        <w:tc>
          <w:tcPr>
            <w:tcW w:w="1182" w:type="dxa"/>
            <w:vMerge w:val="restart"/>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合计</w:t>
            </w:r>
          </w:p>
        </w:tc>
        <w:tc>
          <w:tcPr>
            <w:tcW w:w="3630" w:type="dxa"/>
            <w:gridSpan w:val="5"/>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建设面积（单位：亩）</w:t>
            </w:r>
          </w:p>
        </w:tc>
        <w:tc>
          <w:tcPr>
            <w:tcW w:w="1605" w:type="dxa"/>
            <w:vMerge w:val="restart"/>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1803" w:type="dxa"/>
            <w:vMerge w:val="continue"/>
            <w:vAlign w:val="center"/>
          </w:tcPr>
          <w:p>
            <w:pPr>
              <w:jc w:val="center"/>
              <w:rPr>
                <w:rFonts w:hint="default" w:ascii="Times New Roman" w:hAnsi="Times New Roman" w:eastAsia="宋体" w:cs="Times New Roman"/>
                <w:b/>
                <w:bCs/>
                <w:kern w:val="0"/>
                <w:sz w:val="24"/>
                <w:szCs w:val="24"/>
              </w:rPr>
            </w:pPr>
          </w:p>
        </w:tc>
        <w:tc>
          <w:tcPr>
            <w:tcW w:w="1182" w:type="dxa"/>
            <w:vMerge w:val="continue"/>
            <w:vAlign w:val="center"/>
          </w:tcPr>
          <w:p>
            <w:pPr>
              <w:jc w:val="center"/>
              <w:rPr>
                <w:rFonts w:hint="default" w:ascii="Times New Roman" w:hAnsi="Times New Roman" w:eastAsia="宋体" w:cs="Times New Roman"/>
                <w:b/>
                <w:bCs/>
                <w:kern w:val="0"/>
                <w:sz w:val="24"/>
                <w:szCs w:val="24"/>
              </w:rPr>
            </w:pPr>
          </w:p>
        </w:tc>
        <w:tc>
          <w:tcPr>
            <w:tcW w:w="726"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2021</w:t>
            </w:r>
          </w:p>
        </w:tc>
        <w:tc>
          <w:tcPr>
            <w:tcW w:w="726"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2022</w:t>
            </w:r>
          </w:p>
        </w:tc>
        <w:tc>
          <w:tcPr>
            <w:tcW w:w="726"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2023</w:t>
            </w:r>
          </w:p>
        </w:tc>
        <w:tc>
          <w:tcPr>
            <w:tcW w:w="726"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2024</w:t>
            </w:r>
          </w:p>
        </w:tc>
        <w:tc>
          <w:tcPr>
            <w:tcW w:w="726"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2025</w:t>
            </w:r>
          </w:p>
        </w:tc>
        <w:tc>
          <w:tcPr>
            <w:tcW w:w="1605" w:type="dxa"/>
            <w:vMerge w:val="continue"/>
            <w:vAlign w:val="center"/>
          </w:tcPr>
          <w:p>
            <w:pPr>
              <w:jc w:val="center"/>
              <w:rPr>
                <w:rFonts w:hint="default" w:ascii="Times New Roman" w:hAnsi="Times New Roman"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80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汕尾市</w:t>
            </w:r>
          </w:p>
        </w:tc>
        <w:tc>
          <w:tcPr>
            <w:tcW w:w="118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73245</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14649</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14649</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14649</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14649</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14649</w:t>
            </w:r>
          </w:p>
        </w:tc>
        <w:tc>
          <w:tcPr>
            <w:tcW w:w="1605" w:type="dxa"/>
            <w:vMerge w:val="restart"/>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工程建设内容包括人工造林、灾损基干林带修复等。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0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汕尾城区</w:t>
            </w:r>
          </w:p>
        </w:tc>
        <w:tc>
          <w:tcPr>
            <w:tcW w:w="118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12240</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2448</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2448</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2448</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2448</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2448</w:t>
            </w:r>
          </w:p>
        </w:tc>
        <w:tc>
          <w:tcPr>
            <w:tcW w:w="1605" w:type="dxa"/>
            <w:vMerge w:val="continue"/>
            <w:vAlign w:val="center"/>
          </w:tcPr>
          <w:p>
            <w:pPr>
              <w:jc w:val="center"/>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80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海丰县</w:t>
            </w:r>
          </w:p>
        </w:tc>
        <w:tc>
          <w:tcPr>
            <w:tcW w:w="118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26655</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5331</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5331</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5331</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5331</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5331</w:t>
            </w:r>
          </w:p>
        </w:tc>
        <w:tc>
          <w:tcPr>
            <w:tcW w:w="1605" w:type="dxa"/>
            <w:vMerge w:val="continue"/>
            <w:vAlign w:val="center"/>
          </w:tcPr>
          <w:p>
            <w:pPr>
              <w:jc w:val="center"/>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803" w:type="dxa"/>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陆丰</w:t>
            </w:r>
            <w:r>
              <w:rPr>
                <w:rFonts w:hint="default" w:ascii="Times New Roman" w:hAnsi="Times New Roman" w:eastAsia="宋体" w:cs="Times New Roman"/>
                <w:kern w:val="0"/>
                <w:sz w:val="24"/>
                <w:szCs w:val="24"/>
                <w:lang w:val="en-US" w:eastAsia="zh-CN"/>
              </w:rPr>
              <w:t>市</w:t>
            </w:r>
          </w:p>
        </w:tc>
        <w:tc>
          <w:tcPr>
            <w:tcW w:w="118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19200</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3840</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3840</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3840</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3840</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3840</w:t>
            </w:r>
          </w:p>
        </w:tc>
        <w:tc>
          <w:tcPr>
            <w:tcW w:w="1605" w:type="dxa"/>
            <w:vMerge w:val="continue"/>
            <w:vAlign w:val="center"/>
          </w:tcPr>
          <w:p>
            <w:pPr>
              <w:jc w:val="center"/>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80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红海湾经济开发区</w:t>
            </w:r>
          </w:p>
        </w:tc>
        <w:tc>
          <w:tcPr>
            <w:tcW w:w="118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2250</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450</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450</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450</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450</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450</w:t>
            </w:r>
          </w:p>
        </w:tc>
        <w:tc>
          <w:tcPr>
            <w:tcW w:w="1605" w:type="dxa"/>
            <w:vMerge w:val="continue"/>
            <w:vAlign w:val="center"/>
          </w:tcPr>
          <w:p>
            <w:pPr>
              <w:jc w:val="center"/>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80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湖东林场</w:t>
            </w:r>
          </w:p>
        </w:tc>
        <w:tc>
          <w:tcPr>
            <w:tcW w:w="118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3000</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600</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600</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600</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600</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600</w:t>
            </w:r>
          </w:p>
        </w:tc>
        <w:tc>
          <w:tcPr>
            <w:tcW w:w="1605" w:type="dxa"/>
            <w:vMerge w:val="continue"/>
            <w:vAlign w:val="center"/>
          </w:tcPr>
          <w:p>
            <w:pPr>
              <w:jc w:val="center"/>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80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东海岸林场</w:t>
            </w:r>
          </w:p>
        </w:tc>
        <w:tc>
          <w:tcPr>
            <w:tcW w:w="118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9900</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1980</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1980</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1980</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1980</w:t>
            </w:r>
          </w:p>
        </w:tc>
        <w:tc>
          <w:tcPr>
            <w:tcW w:w="726"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1980</w:t>
            </w:r>
          </w:p>
        </w:tc>
        <w:tc>
          <w:tcPr>
            <w:tcW w:w="1605" w:type="dxa"/>
            <w:vMerge w:val="continue"/>
            <w:vAlign w:val="center"/>
          </w:tcPr>
          <w:p>
            <w:pPr>
              <w:jc w:val="center"/>
              <w:rPr>
                <w:rFonts w:hint="default" w:ascii="Times New Roman" w:hAnsi="Times New Roman" w:eastAsia="仿宋_GB2312" w:cs="Times New Roman"/>
                <w:color w:val="auto"/>
                <w:sz w:val="28"/>
                <w:szCs w:val="28"/>
              </w:rPr>
            </w:pPr>
          </w:p>
        </w:tc>
      </w:tr>
    </w:tbl>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五、湿地生态保护修复</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秉承</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自然恢复为主、自然恢复与人工修复相结合</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的原则，开展湿地现状调查工作，对集中连片、破碎化严重、功能退化的湿地进行修复和综合整治，优先修复生态功能严重退化的重要湿地，恢复湿地生态功能，打造健康的湿地系统。在保护湿地环境的前提下，优化湿地公园植物群落结构，丰富生物多样性，提升湿地环境质量；完善湿地公园基础设施建设，适当开展自然教育、生态旅游等活动，打造高品质、多样化服务的湿地公园。通过植物优化、生境营造、观鸟设施建设、科普宣教基础设施建设、科普教育活动宣传等措施，改善水鸟栖息生活环境，营造高水平观鸟体验，提升市民对水鸟保护意识，形成人与自然和谐发展的良好氛围。</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在海丰鸟类省级自然保护区内开展大湖区湿地生境改造项目，面积2250亩，依托海丰湿地生态系统定位研究站等，开展水鸟迁徙、栖息、监测等科研项目；开展陆湖县级湿地公园的保护与恢复工作，增设湿地特色标识。</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rPr>
      </w:pPr>
      <w:bookmarkStart w:id="61" w:name="_Toc78615456"/>
      <w:bookmarkStart w:id="62" w:name="_Toc24823"/>
      <w:r>
        <w:rPr>
          <w:rFonts w:hint="default" w:ascii="Times New Roman" w:hAnsi="Times New Roman" w:eastAsia="黑体" w:cs="Times New Roman"/>
          <w:sz w:val="30"/>
          <w:szCs w:val="30"/>
        </w:rPr>
        <w:t>第</w:t>
      </w:r>
      <w:r>
        <w:rPr>
          <w:rFonts w:hint="default" w:ascii="Times New Roman" w:hAnsi="Times New Roman" w:eastAsia="黑体" w:cs="Times New Roman"/>
          <w:sz w:val="30"/>
          <w:szCs w:val="30"/>
          <w:lang w:val="en-US" w:eastAsia="zh-CN"/>
        </w:rPr>
        <w:t>三</w:t>
      </w:r>
      <w:r>
        <w:rPr>
          <w:rFonts w:hint="default" w:ascii="Times New Roman" w:hAnsi="Times New Roman" w:eastAsia="黑体" w:cs="Times New Roman"/>
          <w:sz w:val="30"/>
          <w:szCs w:val="30"/>
        </w:rPr>
        <w:t>节 自然保护地体系完善工程</w:t>
      </w:r>
      <w:bookmarkEnd w:id="61"/>
      <w:bookmarkEnd w:id="62"/>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根据《国家林业和草原局自然保护地管理司关于提前谋划自然保护地体系建设工作计划的通知》（保区字〔2020〕24号）的文件要求：各地要将自然保护地勘界立标、科考监测、编制修订总体规划、确权登记、健全保护地管理机构、完善保护地立法及制度等自然保护地体系建立工作，列为2020-2025年间重点工作安排，统筹谋划，优先部署。</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期间，汕尾市应全面扎实推进各级自然保护地建设工作，完成自然保护地整合优化、勘界立标，开展自然保护地综合科学考察，积极开展自然保护地基础工程建设工作，初步建成具有汕尾特色的自然保护地体系。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一、推动自然保护地整合优化落地</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按照国家审核后的整合优化规则，推动汕尾市自然保护区、森林公园、湿地公园等资源整合优化，推进生态功能重要、生态系统脆弱、自然生态保护空缺的区域纳入自然保护地体系。整合交叉重叠、归并优化相邻的自然保护地，全市整合优化后自然保护地为26个，其中，自然保护区8个，面积为336441.90亩；自然公园18个，面积为335164.05亩。</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表4-</w:t>
      </w:r>
      <w:r>
        <w:rPr>
          <w:rFonts w:hint="default" w:ascii="Times New Roman" w:hAnsi="Times New Roman" w:eastAsia="仿宋_GB2312" w:cs="Times New Roman"/>
          <w:sz w:val="28"/>
          <w:szCs w:val="30"/>
          <w:lang w:val="en-US" w:eastAsia="zh-CN"/>
        </w:rPr>
        <w:t>7</w:t>
      </w:r>
      <w:r>
        <w:rPr>
          <w:rFonts w:hint="default" w:ascii="Times New Roman" w:hAnsi="Times New Roman" w:eastAsia="仿宋_GB2312" w:cs="Times New Roman"/>
          <w:sz w:val="28"/>
          <w:szCs w:val="30"/>
        </w:rPr>
        <w:t xml:space="preserve"> 汕尾市自然保护地整合优化汇总表</w:t>
      </w:r>
    </w:p>
    <w:tbl>
      <w:tblPr>
        <w:tblStyle w:val="14"/>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5"/>
        <w:gridCol w:w="1451"/>
        <w:gridCol w:w="1143"/>
        <w:gridCol w:w="2022"/>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606" w:type="dxa"/>
            <w:gridSpan w:val="2"/>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自然保护地类型</w:t>
            </w:r>
          </w:p>
        </w:tc>
        <w:tc>
          <w:tcPr>
            <w:tcW w:w="1143"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级别</w:t>
            </w:r>
          </w:p>
        </w:tc>
        <w:tc>
          <w:tcPr>
            <w:tcW w:w="2022"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保护地数量（个）</w:t>
            </w:r>
          </w:p>
        </w:tc>
        <w:tc>
          <w:tcPr>
            <w:tcW w:w="2449" w:type="dxa"/>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总面积（亩）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606" w:type="dxa"/>
            <w:gridSpan w:val="2"/>
            <w:vMerge w:val="restart"/>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自然保护区</w:t>
            </w:r>
          </w:p>
        </w:tc>
        <w:tc>
          <w:tcPr>
            <w:tcW w:w="114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小计</w:t>
            </w:r>
          </w:p>
        </w:tc>
        <w:tc>
          <w:tcPr>
            <w:tcW w:w="202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w:t>
            </w:r>
          </w:p>
        </w:tc>
        <w:tc>
          <w:tcPr>
            <w:tcW w:w="244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336441.90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606" w:type="dxa"/>
            <w:gridSpan w:val="2"/>
            <w:vMerge w:val="continue"/>
            <w:vAlign w:val="center"/>
          </w:tcPr>
          <w:p>
            <w:pPr>
              <w:jc w:val="center"/>
              <w:rPr>
                <w:rFonts w:hint="default" w:ascii="Times New Roman" w:hAnsi="Times New Roman" w:eastAsia="宋体" w:cs="Times New Roman"/>
                <w:kern w:val="0"/>
                <w:sz w:val="24"/>
                <w:szCs w:val="24"/>
              </w:rPr>
            </w:pPr>
          </w:p>
        </w:tc>
        <w:tc>
          <w:tcPr>
            <w:tcW w:w="114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省级</w:t>
            </w:r>
          </w:p>
        </w:tc>
        <w:tc>
          <w:tcPr>
            <w:tcW w:w="202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244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271544.40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606" w:type="dxa"/>
            <w:gridSpan w:val="2"/>
            <w:vMerge w:val="continue"/>
            <w:vAlign w:val="center"/>
          </w:tcPr>
          <w:p>
            <w:pPr>
              <w:jc w:val="center"/>
              <w:rPr>
                <w:rFonts w:hint="default" w:ascii="Times New Roman" w:hAnsi="Times New Roman" w:eastAsia="宋体" w:cs="Times New Roman"/>
                <w:kern w:val="0"/>
                <w:sz w:val="24"/>
                <w:szCs w:val="24"/>
              </w:rPr>
            </w:pPr>
          </w:p>
        </w:tc>
        <w:tc>
          <w:tcPr>
            <w:tcW w:w="114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市级</w:t>
            </w:r>
          </w:p>
        </w:tc>
        <w:tc>
          <w:tcPr>
            <w:tcW w:w="202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244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37015.20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606" w:type="dxa"/>
            <w:gridSpan w:val="2"/>
            <w:vMerge w:val="continue"/>
            <w:vAlign w:val="center"/>
          </w:tcPr>
          <w:p>
            <w:pPr>
              <w:jc w:val="center"/>
              <w:rPr>
                <w:rFonts w:hint="default" w:ascii="Times New Roman" w:hAnsi="Times New Roman" w:eastAsia="宋体" w:cs="Times New Roman"/>
                <w:kern w:val="0"/>
                <w:sz w:val="24"/>
                <w:szCs w:val="24"/>
              </w:rPr>
            </w:pPr>
          </w:p>
        </w:tc>
        <w:tc>
          <w:tcPr>
            <w:tcW w:w="114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县级</w:t>
            </w:r>
          </w:p>
        </w:tc>
        <w:tc>
          <w:tcPr>
            <w:tcW w:w="202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244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27882.30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55" w:type="dxa"/>
            <w:vMerge w:val="restart"/>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自然公园</w:t>
            </w:r>
          </w:p>
        </w:tc>
        <w:tc>
          <w:tcPr>
            <w:tcW w:w="1451" w:type="dxa"/>
            <w:vMerge w:val="restart"/>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风景</w:t>
            </w:r>
            <w:r>
              <w:rPr>
                <w:rFonts w:hint="default" w:ascii="Times New Roman" w:hAnsi="Times New Roman" w:eastAsia="宋体" w:cs="Times New Roman"/>
                <w:kern w:val="0"/>
                <w:sz w:val="24"/>
                <w:szCs w:val="24"/>
                <w:lang w:val="en-US" w:eastAsia="zh-CN"/>
              </w:rPr>
              <w:t>名胜区</w:t>
            </w:r>
          </w:p>
        </w:tc>
        <w:tc>
          <w:tcPr>
            <w:tcW w:w="114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小计</w:t>
            </w:r>
          </w:p>
        </w:tc>
        <w:tc>
          <w:tcPr>
            <w:tcW w:w="202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244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39060.00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55" w:type="dxa"/>
            <w:vMerge w:val="continue"/>
            <w:vAlign w:val="center"/>
          </w:tcPr>
          <w:p>
            <w:pPr>
              <w:jc w:val="center"/>
              <w:rPr>
                <w:rFonts w:hint="default" w:ascii="Times New Roman" w:hAnsi="Times New Roman" w:eastAsia="宋体" w:cs="Times New Roman"/>
                <w:kern w:val="0"/>
                <w:sz w:val="24"/>
                <w:szCs w:val="24"/>
              </w:rPr>
            </w:pPr>
          </w:p>
        </w:tc>
        <w:tc>
          <w:tcPr>
            <w:tcW w:w="1451" w:type="dxa"/>
            <w:vMerge w:val="continue"/>
            <w:vAlign w:val="center"/>
          </w:tcPr>
          <w:p>
            <w:pPr>
              <w:jc w:val="center"/>
              <w:rPr>
                <w:rFonts w:hint="default" w:ascii="Times New Roman" w:hAnsi="Times New Roman" w:eastAsia="宋体" w:cs="Times New Roman"/>
                <w:kern w:val="0"/>
                <w:sz w:val="24"/>
                <w:szCs w:val="24"/>
              </w:rPr>
            </w:pPr>
          </w:p>
        </w:tc>
        <w:tc>
          <w:tcPr>
            <w:tcW w:w="114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省级</w:t>
            </w:r>
          </w:p>
        </w:tc>
        <w:tc>
          <w:tcPr>
            <w:tcW w:w="202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244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39060.00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55" w:type="dxa"/>
            <w:vMerge w:val="continue"/>
            <w:vAlign w:val="center"/>
          </w:tcPr>
          <w:p>
            <w:pPr>
              <w:jc w:val="center"/>
              <w:rPr>
                <w:rFonts w:hint="default" w:ascii="Times New Roman" w:hAnsi="Times New Roman" w:eastAsia="宋体" w:cs="Times New Roman"/>
                <w:kern w:val="0"/>
                <w:sz w:val="24"/>
                <w:szCs w:val="24"/>
              </w:rPr>
            </w:pPr>
          </w:p>
        </w:tc>
        <w:tc>
          <w:tcPr>
            <w:tcW w:w="1451" w:type="dxa"/>
            <w:vMerge w:val="restart"/>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森林公园</w:t>
            </w:r>
          </w:p>
        </w:tc>
        <w:tc>
          <w:tcPr>
            <w:tcW w:w="114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小计</w:t>
            </w:r>
          </w:p>
        </w:tc>
        <w:tc>
          <w:tcPr>
            <w:tcW w:w="202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w:t>
            </w:r>
          </w:p>
        </w:tc>
        <w:tc>
          <w:tcPr>
            <w:tcW w:w="244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256237.65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55" w:type="dxa"/>
            <w:vMerge w:val="continue"/>
            <w:vAlign w:val="center"/>
          </w:tcPr>
          <w:p>
            <w:pPr>
              <w:jc w:val="center"/>
              <w:rPr>
                <w:rFonts w:hint="default" w:ascii="Times New Roman" w:hAnsi="Times New Roman" w:eastAsia="宋体" w:cs="Times New Roman"/>
                <w:kern w:val="0"/>
                <w:sz w:val="24"/>
                <w:szCs w:val="24"/>
              </w:rPr>
            </w:pPr>
          </w:p>
        </w:tc>
        <w:tc>
          <w:tcPr>
            <w:tcW w:w="1451" w:type="dxa"/>
            <w:vMerge w:val="continue"/>
            <w:vAlign w:val="center"/>
          </w:tcPr>
          <w:p>
            <w:pPr>
              <w:jc w:val="center"/>
              <w:rPr>
                <w:rFonts w:hint="default" w:ascii="Times New Roman" w:hAnsi="Times New Roman" w:eastAsia="宋体" w:cs="Times New Roman"/>
                <w:kern w:val="0"/>
                <w:sz w:val="24"/>
                <w:szCs w:val="24"/>
              </w:rPr>
            </w:pPr>
          </w:p>
        </w:tc>
        <w:tc>
          <w:tcPr>
            <w:tcW w:w="114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省级</w:t>
            </w:r>
          </w:p>
        </w:tc>
        <w:tc>
          <w:tcPr>
            <w:tcW w:w="202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244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146740.05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55" w:type="dxa"/>
            <w:vMerge w:val="continue"/>
            <w:vAlign w:val="center"/>
          </w:tcPr>
          <w:p>
            <w:pPr>
              <w:jc w:val="center"/>
              <w:rPr>
                <w:rFonts w:hint="default" w:ascii="Times New Roman" w:hAnsi="Times New Roman" w:eastAsia="宋体" w:cs="Times New Roman"/>
                <w:kern w:val="0"/>
                <w:sz w:val="24"/>
                <w:szCs w:val="24"/>
              </w:rPr>
            </w:pPr>
          </w:p>
        </w:tc>
        <w:tc>
          <w:tcPr>
            <w:tcW w:w="1451" w:type="dxa"/>
            <w:vMerge w:val="continue"/>
            <w:vAlign w:val="center"/>
          </w:tcPr>
          <w:p>
            <w:pPr>
              <w:jc w:val="center"/>
              <w:rPr>
                <w:rFonts w:hint="default" w:ascii="Times New Roman" w:hAnsi="Times New Roman" w:eastAsia="宋体" w:cs="Times New Roman"/>
                <w:kern w:val="0"/>
                <w:sz w:val="24"/>
                <w:szCs w:val="24"/>
              </w:rPr>
            </w:pPr>
          </w:p>
        </w:tc>
        <w:tc>
          <w:tcPr>
            <w:tcW w:w="114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市级</w:t>
            </w:r>
          </w:p>
        </w:tc>
        <w:tc>
          <w:tcPr>
            <w:tcW w:w="202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w:t>
            </w:r>
          </w:p>
        </w:tc>
        <w:tc>
          <w:tcPr>
            <w:tcW w:w="244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23934.30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55" w:type="dxa"/>
            <w:vMerge w:val="continue"/>
            <w:vAlign w:val="center"/>
          </w:tcPr>
          <w:p>
            <w:pPr>
              <w:jc w:val="center"/>
              <w:rPr>
                <w:rFonts w:hint="default" w:ascii="Times New Roman" w:hAnsi="Times New Roman" w:eastAsia="宋体" w:cs="Times New Roman"/>
                <w:kern w:val="0"/>
                <w:sz w:val="24"/>
                <w:szCs w:val="24"/>
              </w:rPr>
            </w:pPr>
          </w:p>
        </w:tc>
        <w:tc>
          <w:tcPr>
            <w:tcW w:w="1451" w:type="dxa"/>
            <w:vMerge w:val="continue"/>
            <w:vAlign w:val="center"/>
          </w:tcPr>
          <w:p>
            <w:pPr>
              <w:jc w:val="center"/>
              <w:rPr>
                <w:rFonts w:hint="default" w:ascii="Times New Roman" w:hAnsi="Times New Roman" w:eastAsia="宋体" w:cs="Times New Roman"/>
                <w:kern w:val="0"/>
                <w:sz w:val="24"/>
                <w:szCs w:val="24"/>
              </w:rPr>
            </w:pPr>
          </w:p>
        </w:tc>
        <w:tc>
          <w:tcPr>
            <w:tcW w:w="114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县级</w:t>
            </w:r>
          </w:p>
        </w:tc>
        <w:tc>
          <w:tcPr>
            <w:tcW w:w="202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w:t>
            </w:r>
          </w:p>
        </w:tc>
        <w:tc>
          <w:tcPr>
            <w:tcW w:w="244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85563.30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55" w:type="dxa"/>
            <w:vMerge w:val="continue"/>
            <w:vAlign w:val="center"/>
          </w:tcPr>
          <w:p>
            <w:pPr>
              <w:jc w:val="center"/>
              <w:rPr>
                <w:rFonts w:hint="default" w:ascii="Times New Roman" w:hAnsi="Times New Roman" w:eastAsia="宋体" w:cs="Times New Roman"/>
                <w:kern w:val="0"/>
                <w:sz w:val="24"/>
                <w:szCs w:val="24"/>
              </w:rPr>
            </w:pPr>
          </w:p>
        </w:tc>
        <w:tc>
          <w:tcPr>
            <w:tcW w:w="1451" w:type="dxa"/>
            <w:vMerge w:val="restart"/>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湿地公园</w:t>
            </w:r>
          </w:p>
        </w:tc>
        <w:tc>
          <w:tcPr>
            <w:tcW w:w="114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小计</w:t>
            </w:r>
          </w:p>
        </w:tc>
        <w:tc>
          <w:tcPr>
            <w:tcW w:w="202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244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11696.40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55" w:type="dxa"/>
            <w:vMerge w:val="continue"/>
            <w:vAlign w:val="center"/>
          </w:tcPr>
          <w:p>
            <w:pPr>
              <w:jc w:val="center"/>
              <w:rPr>
                <w:rFonts w:hint="default" w:ascii="Times New Roman" w:hAnsi="Times New Roman" w:eastAsia="宋体" w:cs="Times New Roman"/>
                <w:kern w:val="0"/>
                <w:sz w:val="24"/>
                <w:szCs w:val="24"/>
              </w:rPr>
            </w:pPr>
          </w:p>
        </w:tc>
        <w:tc>
          <w:tcPr>
            <w:tcW w:w="1451" w:type="dxa"/>
            <w:vMerge w:val="continue"/>
            <w:vAlign w:val="center"/>
          </w:tcPr>
          <w:p>
            <w:pPr>
              <w:jc w:val="center"/>
              <w:rPr>
                <w:rFonts w:hint="default" w:ascii="Times New Roman" w:hAnsi="Times New Roman" w:eastAsia="宋体" w:cs="Times New Roman"/>
                <w:kern w:val="0"/>
                <w:sz w:val="24"/>
                <w:szCs w:val="24"/>
              </w:rPr>
            </w:pPr>
          </w:p>
        </w:tc>
        <w:tc>
          <w:tcPr>
            <w:tcW w:w="114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县级</w:t>
            </w:r>
          </w:p>
        </w:tc>
        <w:tc>
          <w:tcPr>
            <w:tcW w:w="202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244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11696.40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55" w:type="dxa"/>
            <w:vMerge w:val="continue"/>
            <w:vAlign w:val="center"/>
          </w:tcPr>
          <w:p>
            <w:pPr>
              <w:jc w:val="center"/>
              <w:rPr>
                <w:rFonts w:hint="default" w:ascii="Times New Roman" w:hAnsi="Times New Roman" w:eastAsia="宋体" w:cs="Times New Roman"/>
                <w:kern w:val="0"/>
                <w:sz w:val="24"/>
                <w:szCs w:val="24"/>
              </w:rPr>
            </w:pPr>
          </w:p>
        </w:tc>
        <w:tc>
          <w:tcPr>
            <w:tcW w:w="1451" w:type="dxa"/>
            <w:vMerge w:val="restart"/>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海洋公园</w:t>
            </w:r>
          </w:p>
        </w:tc>
        <w:tc>
          <w:tcPr>
            <w:tcW w:w="1143" w:type="dxa"/>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小计</w:t>
            </w:r>
          </w:p>
        </w:tc>
        <w:tc>
          <w:tcPr>
            <w:tcW w:w="202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244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28170.00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55" w:type="dxa"/>
            <w:vMerge w:val="continue"/>
            <w:vAlign w:val="center"/>
          </w:tcPr>
          <w:p>
            <w:pPr>
              <w:jc w:val="center"/>
              <w:rPr>
                <w:rFonts w:hint="default" w:ascii="Times New Roman" w:hAnsi="Times New Roman" w:eastAsia="宋体" w:cs="Times New Roman"/>
                <w:kern w:val="0"/>
                <w:sz w:val="24"/>
                <w:szCs w:val="24"/>
              </w:rPr>
            </w:pPr>
          </w:p>
        </w:tc>
        <w:tc>
          <w:tcPr>
            <w:tcW w:w="1451" w:type="dxa"/>
            <w:vMerge w:val="continue"/>
            <w:vAlign w:val="center"/>
          </w:tcPr>
          <w:p>
            <w:pPr>
              <w:jc w:val="center"/>
              <w:rPr>
                <w:rFonts w:hint="default" w:ascii="Times New Roman" w:hAnsi="Times New Roman" w:eastAsia="宋体" w:cs="Times New Roman"/>
                <w:kern w:val="0"/>
                <w:sz w:val="24"/>
                <w:szCs w:val="24"/>
              </w:rPr>
            </w:pPr>
          </w:p>
        </w:tc>
        <w:tc>
          <w:tcPr>
            <w:tcW w:w="1143"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国家级</w:t>
            </w:r>
          </w:p>
        </w:tc>
        <w:tc>
          <w:tcPr>
            <w:tcW w:w="2022" w:type="dxa"/>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1</w:t>
            </w:r>
          </w:p>
        </w:tc>
        <w:tc>
          <w:tcPr>
            <w:tcW w:w="2449" w:type="dxa"/>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28170.00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55" w:type="dxa"/>
            <w:vMerge w:val="continue"/>
            <w:vAlign w:val="center"/>
          </w:tcPr>
          <w:p>
            <w:pPr>
              <w:jc w:val="center"/>
              <w:rPr>
                <w:rFonts w:hint="default" w:ascii="Times New Roman" w:hAnsi="Times New Roman" w:eastAsia="宋体" w:cs="Times New Roman"/>
                <w:kern w:val="0"/>
                <w:sz w:val="24"/>
                <w:szCs w:val="24"/>
              </w:rPr>
            </w:pPr>
          </w:p>
        </w:tc>
        <w:tc>
          <w:tcPr>
            <w:tcW w:w="2594" w:type="dxa"/>
            <w:gridSpan w:val="2"/>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合计</w:t>
            </w:r>
          </w:p>
        </w:tc>
        <w:tc>
          <w:tcPr>
            <w:tcW w:w="2022"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26</w:t>
            </w:r>
          </w:p>
        </w:tc>
        <w:tc>
          <w:tcPr>
            <w:tcW w:w="2449"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671605.95</w:t>
            </w:r>
          </w:p>
        </w:tc>
      </w:tr>
    </w:tbl>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注：以上数据来源于《汕尾市自然保护地整合优化预案》，各个自然保护地面积届时根据国家审核数据及勘界后的数据进行修正。</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二、开展勘界立标和总体规划工作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开展各自然保护地勘界，并结合第三次全国国土调查及林地、湿地、海洋等专项调查成果建立矢量数据库，实现全市自然保护地一张图、一套数。根据勘界结果，对汕尾市8个自然保护区和18个自然公园重要地段、重要部位设立界桩和标识牌，明确汕尾市自然保护地界线。组织编制各自然保护地总体规划，明确发展目标、规模和划定区域，体现各自然保护地特色。</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三、提升自然保护地生态服务能力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针对各自然保护地现状，开展自然保护地生物多样性监测工作，对基础设施不完善的自然保护地进行基础设施升级。全面开展自然保护地教育解说设施建设，充分发挥自然保护地的自然教育和生态科普功能，体现</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生态惠民</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的林业发展思想。</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四、合理设置自然保护地管理机构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各类自然保护地可设立专职管理机构或由综合管理机构统一管理，确保每个自然保护地都有相应机构进行管理。根据国家、省级要求，完善全市自然保护地管理机构队伍，构建汕尾市自然保护地分类分级管理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根据各类自然保护地功能定位</w:t>
      </w:r>
      <w:r>
        <w:rPr>
          <w:rFonts w:hint="eastAsia" w:ascii="Times New Roman" w:hAnsi="Times New Roman" w:eastAsia="仿宋_GB2312" w:cs="Times New Roman"/>
          <w:sz w:val="30"/>
          <w:szCs w:val="30"/>
          <w:lang w:val="en-US" w:eastAsia="zh-CN"/>
        </w:rPr>
        <w:t>进行</w:t>
      </w:r>
      <w:r>
        <w:rPr>
          <w:rFonts w:hint="default" w:ascii="Times New Roman" w:hAnsi="Times New Roman" w:eastAsia="仿宋_GB2312" w:cs="Times New Roman"/>
          <w:sz w:val="30"/>
          <w:szCs w:val="30"/>
          <w:lang w:val="en-US" w:eastAsia="zh-CN"/>
        </w:rPr>
        <w:t>合理分区，实行差别化管控。自然保护区按核心保护区和一般控制区实行分区管控，自然公园原则上按一般控制区管理。除自然保护地有关法律法规允许的以外，原则上核心保护区内禁止人为活动，一般控制区内限制人为活动。在自然保护地内实行建设项目负面清单管理。</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rPr>
      </w:pPr>
      <w:bookmarkStart w:id="63" w:name="_Toc20308"/>
      <w:bookmarkStart w:id="64" w:name="_Toc78615458"/>
      <w:r>
        <w:rPr>
          <w:rFonts w:hint="default" w:ascii="Times New Roman" w:hAnsi="Times New Roman" w:eastAsia="黑体" w:cs="Times New Roman"/>
          <w:sz w:val="30"/>
          <w:szCs w:val="30"/>
        </w:rPr>
        <w:t>第四节 全域森林城市</w:t>
      </w:r>
      <w:r>
        <w:rPr>
          <w:rFonts w:hint="default" w:ascii="Times New Roman" w:hAnsi="Times New Roman" w:eastAsia="黑体" w:cs="Times New Roman"/>
          <w:sz w:val="30"/>
          <w:szCs w:val="30"/>
          <w:lang w:val="en-US" w:eastAsia="zh-CN"/>
        </w:rPr>
        <w:t>创建</w:t>
      </w:r>
      <w:r>
        <w:rPr>
          <w:rFonts w:hint="default" w:ascii="Times New Roman" w:hAnsi="Times New Roman" w:eastAsia="黑体" w:cs="Times New Roman"/>
          <w:sz w:val="30"/>
          <w:szCs w:val="30"/>
        </w:rPr>
        <w:t>工程</w:t>
      </w:r>
      <w:bookmarkEnd w:id="63"/>
      <w:bookmarkEnd w:id="64"/>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充分依托汕尾市的山、水、林、田、湖、海等自然资源和深厚的人文历史底蕴，全面启动森林城市</w:t>
      </w:r>
      <w:r>
        <w:rPr>
          <w:rFonts w:hint="eastAsia" w:ascii="Times New Roman" w:hAnsi="Times New Roman" w:eastAsia="仿宋_GB2312" w:cs="Times New Roman"/>
          <w:sz w:val="30"/>
          <w:szCs w:val="30"/>
          <w:lang w:val="en-US" w:eastAsia="zh-CN"/>
        </w:rPr>
        <w:t>创建</w:t>
      </w:r>
      <w:r>
        <w:rPr>
          <w:rFonts w:hint="default" w:ascii="Times New Roman" w:hAnsi="Times New Roman" w:eastAsia="仿宋_GB2312" w:cs="Times New Roman"/>
          <w:sz w:val="30"/>
          <w:szCs w:val="30"/>
          <w:lang w:val="en-US" w:eastAsia="zh-CN"/>
        </w:rPr>
        <w:t>工程。</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期间，各县（市、区）应立足自身资源优势，参照《广东省汕尾市国家森林城市建设总体规划</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2020-2030</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》指标，严格落实创森三年行动计划，逐一按照指标完成考核标准。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在</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的创建期（2021-2022年），逐步增加城市森林绿地面积，拓展城区绿色空间，进一步改善城乡生态面貌和人居环境，提升森林质量。加强生态文化基础设施建设，开展森林城市宣传活动，形成人人参与</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创森</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的良好氛围。各县（市、区）</w:t>
      </w:r>
      <w:r>
        <w:rPr>
          <w:rFonts w:hint="eastAsia" w:ascii="Times New Roman" w:hAnsi="Times New Roman" w:eastAsia="仿宋_GB2312" w:cs="Times New Roman"/>
          <w:sz w:val="30"/>
          <w:szCs w:val="30"/>
          <w:lang w:val="en-US" w:eastAsia="zh-CN"/>
        </w:rPr>
        <w:t>成立</w:t>
      </w:r>
      <w:r>
        <w:rPr>
          <w:rFonts w:hint="default" w:ascii="Times New Roman" w:hAnsi="Times New Roman" w:eastAsia="仿宋_GB2312" w:cs="Times New Roman"/>
          <w:sz w:val="30"/>
          <w:szCs w:val="30"/>
          <w:lang w:val="en-US" w:eastAsia="zh-CN"/>
        </w:rPr>
        <w:t>创建森林城市工作领导小组，明确各部门的责任分工，实时跟进创森工作的进展情况，抓好创森资料收集和后续评定、审查的准备工作，稳步推进</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创森</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工作。</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表4-</w:t>
      </w:r>
      <w:r>
        <w:rPr>
          <w:rFonts w:hint="default" w:ascii="Times New Roman" w:hAnsi="Times New Roman" w:eastAsia="仿宋_GB2312" w:cs="Times New Roman"/>
          <w:sz w:val="28"/>
          <w:szCs w:val="30"/>
          <w:lang w:val="en-US" w:eastAsia="zh-CN"/>
        </w:rPr>
        <w:t>8</w:t>
      </w:r>
      <w:r>
        <w:rPr>
          <w:rFonts w:hint="default" w:ascii="Times New Roman" w:hAnsi="Times New Roman" w:eastAsia="仿宋_GB2312" w:cs="Times New Roman"/>
          <w:sz w:val="28"/>
          <w:szCs w:val="30"/>
        </w:rPr>
        <w:t xml:space="preserve"> 全域森林城市建设任务一览表</w:t>
      </w:r>
    </w:p>
    <w:tbl>
      <w:tblPr>
        <w:tblStyle w:val="1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1"/>
        <w:gridCol w:w="2359"/>
        <w:gridCol w:w="1485"/>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111" w:type="dxa"/>
            <w:shd w:val="clear" w:color="auto" w:fill="auto"/>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主要内容</w:t>
            </w:r>
          </w:p>
        </w:tc>
        <w:tc>
          <w:tcPr>
            <w:tcW w:w="2359" w:type="dxa"/>
            <w:shd w:val="clear" w:color="auto" w:fill="auto"/>
            <w:noWrap/>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建设地点</w:t>
            </w:r>
          </w:p>
        </w:tc>
        <w:tc>
          <w:tcPr>
            <w:tcW w:w="1485" w:type="dxa"/>
            <w:shd w:val="clear" w:color="auto" w:fill="auto"/>
            <w:noWrap/>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建设数量</w:t>
            </w:r>
          </w:p>
        </w:tc>
        <w:tc>
          <w:tcPr>
            <w:tcW w:w="1549" w:type="dxa"/>
            <w:shd w:val="clear" w:color="auto" w:fill="auto"/>
            <w:noWrap/>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1" w:type="dxa"/>
            <w:vMerge w:val="restart"/>
            <w:shd w:val="clear" w:color="auto" w:fill="auto"/>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县级国家森林城市建设</w:t>
            </w:r>
          </w:p>
        </w:tc>
        <w:tc>
          <w:tcPr>
            <w:tcW w:w="2359"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合计</w:t>
            </w:r>
          </w:p>
        </w:tc>
        <w:tc>
          <w:tcPr>
            <w:tcW w:w="1485" w:type="dxa"/>
            <w:shd w:val="clear" w:color="auto" w:fill="auto"/>
            <w:noWrap/>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2</w:t>
            </w:r>
            <w:r>
              <w:rPr>
                <w:rFonts w:hint="default" w:ascii="Times New Roman" w:hAnsi="Times New Roman" w:eastAsia="宋体" w:cs="Times New Roman"/>
                <w:kern w:val="0"/>
                <w:sz w:val="24"/>
                <w:szCs w:val="24"/>
                <w:lang w:val="en-US" w:eastAsia="zh-CN"/>
              </w:rPr>
              <w:t>个</w:t>
            </w:r>
          </w:p>
        </w:tc>
        <w:tc>
          <w:tcPr>
            <w:tcW w:w="1549" w:type="dxa"/>
            <w:shd w:val="clear" w:color="auto" w:fill="auto"/>
            <w:noWrap/>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1" w:type="dxa"/>
            <w:vMerge w:val="continue"/>
            <w:vAlign w:val="center"/>
          </w:tcPr>
          <w:p>
            <w:pPr>
              <w:jc w:val="center"/>
              <w:rPr>
                <w:rFonts w:hint="default" w:ascii="Times New Roman" w:hAnsi="Times New Roman" w:eastAsia="宋体" w:cs="Times New Roman"/>
                <w:kern w:val="0"/>
                <w:sz w:val="24"/>
                <w:szCs w:val="24"/>
              </w:rPr>
            </w:pPr>
          </w:p>
        </w:tc>
        <w:tc>
          <w:tcPr>
            <w:tcW w:w="2359"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陆河县</w:t>
            </w:r>
          </w:p>
        </w:tc>
        <w:tc>
          <w:tcPr>
            <w:tcW w:w="1485"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r>
              <w:rPr>
                <w:rFonts w:hint="default" w:ascii="Times New Roman" w:hAnsi="Times New Roman" w:eastAsia="宋体" w:cs="Times New Roman"/>
                <w:kern w:val="0"/>
                <w:sz w:val="24"/>
                <w:szCs w:val="24"/>
                <w:lang w:val="en-US" w:eastAsia="zh-CN"/>
              </w:rPr>
              <w:t>个</w:t>
            </w:r>
          </w:p>
        </w:tc>
        <w:tc>
          <w:tcPr>
            <w:tcW w:w="1549" w:type="dxa"/>
            <w:shd w:val="clear" w:color="auto" w:fill="auto"/>
            <w:noWrap/>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1" w:type="dxa"/>
            <w:vMerge w:val="continue"/>
            <w:vAlign w:val="center"/>
          </w:tcPr>
          <w:p>
            <w:pPr>
              <w:jc w:val="center"/>
              <w:rPr>
                <w:rFonts w:hint="default" w:ascii="Times New Roman" w:hAnsi="Times New Roman" w:eastAsia="宋体" w:cs="Times New Roman"/>
                <w:kern w:val="0"/>
                <w:sz w:val="24"/>
                <w:szCs w:val="24"/>
              </w:rPr>
            </w:pPr>
          </w:p>
        </w:tc>
        <w:tc>
          <w:tcPr>
            <w:tcW w:w="2359"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海丰县</w:t>
            </w:r>
          </w:p>
        </w:tc>
        <w:tc>
          <w:tcPr>
            <w:tcW w:w="1485"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r>
              <w:rPr>
                <w:rFonts w:hint="default" w:ascii="Times New Roman" w:hAnsi="Times New Roman" w:eastAsia="宋体" w:cs="Times New Roman"/>
                <w:kern w:val="0"/>
                <w:sz w:val="24"/>
                <w:szCs w:val="24"/>
                <w:lang w:val="en-US" w:eastAsia="zh-CN"/>
              </w:rPr>
              <w:t>个</w:t>
            </w:r>
          </w:p>
        </w:tc>
        <w:tc>
          <w:tcPr>
            <w:tcW w:w="1549" w:type="dxa"/>
            <w:shd w:val="clear" w:color="auto" w:fill="auto"/>
            <w:noWrap/>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1" w:type="dxa"/>
            <w:vMerge w:val="restart"/>
            <w:shd w:val="clear" w:color="auto" w:fill="auto"/>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绿美古树乡村</w:t>
            </w:r>
          </w:p>
        </w:tc>
        <w:tc>
          <w:tcPr>
            <w:tcW w:w="2359"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合计</w:t>
            </w:r>
          </w:p>
        </w:tc>
        <w:tc>
          <w:tcPr>
            <w:tcW w:w="1485"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w:t>
            </w:r>
            <w:r>
              <w:rPr>
                <w:rFonts w:hint="default" w:ascii="Times New Roman" w:hAnsi="Times New Roman" w:eastAsia="宋体" w:cs="Times New Roman"/>
                <w:kern w:val="0"/>
                <w:sz w:val="24"/>
                <w:szCs w:val="24"/>
                <w:lang w:val="en-US" w:eastAsia="zh-CN"/>
              </w:rPr>
              <w:t>个</w:t>
            </w:r>
          </w:p>
        </w:tc>
        <w:tc>
          <w:tcPr>
            <w:tcW w:w="1549" w:type="dxa"/>
            <w:shd w:val="clear" w:color="auto" w:fill="auto"/>
            <w:noWrap/>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1" w:type="dxa"/>
            <w:vMerge w:val="continue"/>
            <w:vAlign w:val="center"/>
          </w:tcPr>
          <w:p>
            <w:pPr>
              <w:jc w:val="center"/>
              <w:rPr>
                <w:rFonts w:hint="default" w:ascii="Times New Roman" w:hAnsi="Times New Roman" w:eastAsia="宋体" w:cs="Times New Roman"/>
                <w:kern w:val="0"/>
                <w:sz w:val="24"/>
                <w:szCs w:val="24"/>
              </w:rPr>
            </w:pPr>
          </w:p>
        </w:tc>
        <w:tc>
          <w:tcPr>
            <w:tcW w:w="2359"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城区</w:t>
            </w:r>
          </w:p>
        </w:tc>
        <w:tc>
          <w:tcPr>
            <w:tcW w:w="1485"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r>
              <w:rPr>
                <w:rFonts w:hint="default" w:ascii="Times New Roman" w:hAnsi="Times New Roman" w:eastAsia="宋体" w:cs="Times New Roman"/>
                <w:kern w:val="0"/>
                <w:sz w:val="24"/>
                <w:szCs w:val="24"/>
                <w:lang w:val="en-US" w:eastAsia="zh-CN"/>
              </w:rPr>
              <w:t>个</w:t>
            </w:r>
          </w:p>
        </w:tc>
        <w:tc>
          <w:tcPr>
            <w:tcW w:w="1549" w:type="dxa"/>
            <w:shd w:val="clear" w:color="auto" w:fill="auto"/>
            <w:noWrap/>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1" w:type="dxa"/>
            <w:vMerge w:val="continue"/>
            <w:vAlign w:val="center"/>
          </w:tcPr>
          <w:p>
            <w:pPr>
              <w:jc w:val="center"/>
              <w:rPr>
                <w:rFonts w:hint="default" w:ascii="Times New Roman" w:hAnsi="Times New Roman" w:eastAsia="宋体" w:cs="Times New Roman"/>
                <w:kern w:val="0"/>
                <w:sz w:val="24"/>
                <w:szCs w:val="24"/>
              </w:rPr>
            </w:pPr>
          </w:p>
        </w:tc>
        <w:tc>
          <w:tcPr>
            <w:tcW w:w="2359"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海丰县</w:t>
            </w:r>
          </w:p>
        </w:tc>
        <w:tc>
          <w:tcPr>
            <w:tcW w:w="1485"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r>
              <w:rPr>
                <w:rFonts w:hint="default" w:ascii="Times New Roman" w:hAnsi="Times New Roman" w:eastAsia="宋体" w:cs="Times New Roman"/>
                <w:kern w:val="0"/>
                <w:sz w:val="24"/>
                <w:szCs w:val="24"/>
                <w:lang w:val="en-US" w:eastAsia="zh-CN"/>
              </w:rPr>
              <w:t>个</w:t>
            </w:r>
          </w:p>
        </w:tc>
        <w:tc>
          <w:tcPr>
            <w:tcW w:w="1549" w:type="dxa"/>
            <w:shd w:val="clear" w:color="auto" w:fill="auto"/>
            <w:noWrap/>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1" w:type="dxa"/>
            <w:vMerge w:val="continue"/>
            <w:vAlign w:val="center"/>
          </w:tcPr>
          <w:p>
            <w:pPr>
              <w:jc w:val="center"/>
              <w:rPr>
                <w:rFonts w:hint="default" w:ascii="Times New Roman" w:hAnsi="Times New Roman" w:eastAsia="宋体" w:cs="Times New Roman"/>
                <w:kern w:val="0"/>
                <w:sz w:val="24"/>
                <w:szCs w:val="24"/>
              </w:rPr>
            </w:pPr>
          </w:p>
        </w:tc>
        <w:tc>
          <w:tcPr>
            <w:tcW w:w="2359"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陆河县</w:t>
            </w:r>
          </w:p>
        </w:tc>
        <w:tc>
          <w:tcPr>
            <w:tcW w:w="1485"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r>
              <w:rPr>
                <w:rFonts w:hint="default" w:ascii="Times New Roman" w:hAnsi="Times New Roman" w:eastAsia="宋体" w:cs="Times New Roman"/>
                <w:kern w:val="0"/>
                <w:sz w:val="24"/>
                <w:szCs w:val="24"/>
                <w:lang w:val="en-US" w:eastAsia="zh-CN"/>
              </w:rPr>
              <w:t>个</w:t>
            </w:r>
          </w:p>
        </w:tc>
        <w:tc>
          <w:tcPr>
            <w:tcW w:w="1549" w:type="dxa"/>
            <w:shd w:val="clear" w:color="auto" w:fill="auto"/>
            <w:noWrap/>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1" w:type="dxa"/>
            <w:vMerge w:val="continue"/>
            <w:vAlign w:val="center"/>
          </w:tcPr>
          <w:p>
            <w:pPr>
              <w:jc w:val="center"/>
              <w:rPr>
                <w:rFonts w:hint="default" w:ascii="Times New Roman" w:hAnsi="Times New Roman" w:eastAsia="宋体" w:cs="Times New Roman"/>
                <w:kern w:val="0"/>
                <w:sz w:val="24"/>
                <w:szCs w:val="24"/>
              </w:rPr>
            </w:pPr>
          </w:p>
        </w:tc>
        <w:tc>
          <w:tcPr>
            <w:tcW w:w="2359"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陆丰市</w:t>
            </w:r>
          </w:p>
        </w:tc>
        <w:tc>
          <w:tcPr>
            <w:tcW w:w="1485"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r>
              <w:rPr>
                <w:rFonts w:hint="default" w:ascii="Times New Roman" w:hAnsi="Times New Roman" w:eastAsia="宋体" w:cs="Times New Roman"/>
                <w:kern w:val="0"/>
                <w:sz w:val="24"/>
                <w:szCs w:val="24"/>
                <w:lang w:val="en-US" w:eastAsia="zh-CN"/>
              </w:rPr>
              <w:t>个</w:t>
            </w:r>
          </w:p>
        </w:tc>
        <w:tc>
          <w:tcPr>
            <w:tcW w:w="1549" w:type="dxa"/>
            <w:shd w:val="clear" w:color="auto" w:fill="auto"/>
            <w:noWrap/>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1" w:type="dxa"/>
            <w:vMerge w:val="continue"/>
            <w:vAlign w:val="center"/>
          </w:tcPr>
          <w:p>
            <w:pPr>
              <w:jc w:val="center"/>
              <w:rPr>
                <w:rFonts w:hint="default" w:ascii="Times New Roman" w:hAnsi="Times New Roman" w:eastAsia="宋体" w:cs="Times New Roman"/>
                <w:kern w:val="0"/>
                <w:sz w:val="24"/>
                <w:szCs w:val="24"/>
              </w:rPr>
            </w:pPr>
          </w:p>
        </w:tc>
        <w:tc>
          <w:tcPr>
            <w:tcW w:w="2359"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华侨管理区</w:t>
            </w:r>
          </w:p>
        </w:tc>
        <w:tc>
          <w:tcPr>
            <w:tcW w:w="1485"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r>
              <w:rPr>
                <w:rFonts w:hint="default" w:ascii="Times New Roman" w:hAnsi="Times New Roman" w:eastAsia="宋体" w:cs="Times New Roman"/>
                <w:kern w:val="0"/>
                <w:sz w:val="24"/>
                <w:szCs w:val="24"/>
                <w:lang w:val="en-US" w:eastAsia="zh-CN"/>
              </w:rPr>
              <w:t>个</w:t>
            </w:r>
          </w:p>
        </w:tc>
        <w:tc>
          <w:tcPr>
            <w:tcW w:w="1549" w:type="dxa"/>
            <w:shd w:val="clear" w:color="auto" w:fill="auto"/>
            <w:noWrap/>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1" w:type="dxa"/>
            <w:vMerge w:val="restart"/>
            <w:shd w:val="clear" w:color="auto" w:fill="auto"/>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绿美红色乡村</w:t>
            </w:r>
          </w:p>
        </w:tc>
        <w:tc>
          <w:tcPr>
            <w:tcW w:w="2359"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合计</w:t>
            </w:r>
          </w:p>
        </w:tc>
        <w:tc>
          <w:tcPr>
            <w:tcW w:w="1485"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w:t>
            </w:r>
            <w:r>
              <w:rPr>
                <w:rFonts w:hint="default" w:ascii="Times New Roman" w:hAnsi="Times New Roman" w:eastAsia="宋体" w:cs="Times New Roman"/>
                <w:kern w:val="0"/>
                <w:sz w:val="24"/>
                <w:szCs w:val="24"/>
                <w:lang w:val="en-US" w:eastAsia="zh-CN"/>
              </w:rPr>
              <w:t>个</w:t>
            </w:r>
          </w:p>
        </w:tc>
        <w:tc>
          <w:tcPr>
            <w:tcW w:w="1549" w:type="dxa"/>
            <w:shd w:val="clear" w:color="auto" w:fill="auto"/>
            <w:noWrap/>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1" w:type="dxa"/>
            <w:vMerge w:val="continue"/>
            <w:vAlign w:val="center"/>
          </w:tcPr>
          <w:p>
            <w:pPr>
              <w:jc w:val="center"/>
              <w:rPr>
                <w:rFonts w:hint="default" w:ascii="Times New Roman" w:hAnsi="Times New Roman" w:eastAsia="宋体" w:cs="Times New Roman"/>
                <w:kern w:val="0"/>
                <w:sz w:val="24"/>
                <w:szCs w:val="24"/>
              </w:rPr>
            </w:pPr>
          </w:p>
        </w:tc>
        <w:tc>
          <w:tcPr>
            <w:tcW w:w="2359"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城区</w:t>
            </w:r>
          </w:p>
        </w:tc>
        <w:tc>
          <w:tcPr>
            <w:tcW w:w="1485"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w:t>
            </w:r>
            <w:r>
              <w:rPr>
                <w:rFonts w:hint="default" w:ascii="Times New Roman" w:hAnsi="Times New Roman" w:eastAsia="宋体" w:cs="Times New Roman"/>
                <w:kern w:val="0"/>
                <w:sz w:val="24"/>
                <w:szCs w:val="24"/>
                <w:lang w:val="en-US" w:eastAsia="zh-CN"/>
              </w:rPr>
              <w:t>个</w:t>
            </w:r>
          </w:p>
        </w:tc>
        <w:tc>
          <w:tcPr>
            <w:tcW w:w="1549" w:type="dxa"/>
            <w:shd w:val="clear" w:color="auto" w:fill="auto"/>
            <w:noWrap/>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1" w:type="dxa"/>
            <w:vMerge w:val="continue"/>
            <w:vAlign w:val="center"/>
          </w:tcPr>
          <w:p>
            <w:pPr>
              <w:jc w:val="center"/>
              <w:rPr>
                <w:rFonts w:hint="default" w:ascii="Times New Roman" w:hAnsi="Times New Roman" w:eastAsia="宋体" w:cs="Times New Roman"/>
                <w:kern w:val="0"/>
                <w:sz w:val="24"/>
                <w:szCs w:val="24"/>
              </w:rPr>
            </w:pPr>
          </w:p>
        </w:tc>
        <w:tc>
          <w:tcPr>
            <w:tcW w:w="2359"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海丰县</w:t>
            </w:r>
          </w:p>
        </w:tc>
        <w:tc>
          <w:tcPr>
            <w:tcW w:w="1485"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w:t>
            </w:r>
            <w:r>
              <w:rPr>
                <w:rFonts w:hint="default" w:ascii="Times New Roman" w:hAnsi="Times New Roman" w:eastAsia="宋体" w:cs="Times New Roman"/>
                <w:kern w:val="0"/>
                <w:sz w:val="24"/>
                <w:szCs w:val="24"/>
                <w:lang w:val="en-US" w:eastAsia="zh-CN"/>
              </w:rPr>
              <w:t>个</w:t>
            </w:r>
          </w:p>
        </w:tc>
        <w:tc>
          <w:tcPr>
            <w:tcW w:w="1549" w:type="dxa"/>
            <w:shd w:val="clear" w:color="auto" w:fill="auto"/>
            <w:noWrap/>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1" w:type="dxa"/>
            <w:vMerge w:val="continue"/>
            <w:vAlign w:val="center"/>
          </w:tcPr>
          <w:p>
            <w:pPr>
              <w:jc w:val="center"/>
              <w:rPr>
                <w:rFonts w:hint="default" w:ascii="Times New Roman" w:hAnsi="Times New Roman" w:eastAsia="宋体" w:cs="Times New Roman"/>
                <w:kern w:val="0"/>
                <w:sz w:val="24"/>
                <w:szCs w:val="24"/>
              </w:rPr>
            </w:pPr>
          </w:p>
        </w:tc>
        <w:tc>
          <w:tcPr>
            <w:tcW w:w="2359"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陆河县</w:t>
            </w:r>
          </w:p>
        </w:tc>
        <w:tc>
          <w:tcPr>
            <w:tcW w:w="1485"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w:t>
            </w:r>
            <w:r>
              <w:rPr>
                <w:rFonts w:hint="default" w:ascii="Times New Roman" w:hAnsi="Times New Roman" w:eastAsia="宋体" w:cs="Times New Roman"/>
                <w:kern w:val="0"/>
                <w:sz w:val="24"/>
                <w:szCs w:val="24"/>
                <w:lang w:val="en-US" w:eastAsia="zh-CN"/>
              </w:rPr>
              <w:t>个</w:t>
            </w:r>
          </w:p>
        </w:tc>
        <w:tc>
          <w:tcPr>
            <w:tcW w:w="1549" w:type="dxa"/>
            <w:shd w:val="clear" w:color="auto" w:fill="auto"/>
            <w:noWrap/>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1" w:type="dxa"/>
            <w:vMerge w:val="continue"/>
            <w:vAlign w:val="center"/>
          </w:tcPr>
          <w:p>
            <w:pPr>
              <w:jc w:val="center"/>
              <w:rPr>
                <w:rFonts w:hint="default" w:ascii="Times New Roman" w:hAnsi="Times New Roman" w:eastAsia="宋体" w:cs="Times New Roman"/>
                <w:kern w:val="0"/>
                <w:sz w:val="24"/>
                <w:szCs w:val="24"/>
              </w:rPr>
            </w:pPr>
          </w:p>
        </w:tc>
        <w:tc>
          <w:tcPr>
            <w:tcW w:w="2359"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陆丰市</w:t>
            </w:r>
          </w:p>
        </w:tc>
        <w:tc>
          <w:tcPr>
            <w:tcW w:w="1485"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w:t>
            </w:r>
            <w:r>
              <w:rPr>
                <w:rFonts w:hint="default" w:ascii="Times New Roman" w:hAnsi="Times New Roman" w:eastAsia="宋体" w:cs="Times New Roman"/>
                <w:kern w:val="0"/>
                <w:sz w:val="24"/>
                <w:szCs w:val="24"/>
                <w:lang w:val="en-US" w:eastAsia="zh-CN"/>
              </w:rPr>
              <w:t>个</w:t>
            </w:r>
          </w:p>
        </w:tc>
        <w:tc>
          <w:tcPr>
            <w:tcW w:w="1549" w:type="dxa"/>
            <w:shd w:val="clear" w:color="auto" w:fill="auto"/>
            <w:noWrap/>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1" w:type="dxa"/>
            <w:vMerge w:val="continue"/>
            <w:vAlign w:val="center"/>
          </w:tcPr>
          <w:p>
            <w:pPr>
              <w:jc w:val="center"/>
              <w:rPr>
                <w:rFonts w:hint="default" w:ascii="Times New Roman" w:hAnsi="Times New Roman" w:eastAsia="宋体" w:cs="Times New Roman"/>
                <w:kern w:val="0"/>
                <w:sz w:val="24"/>
                <w:szCs w:val="24"/>
              </w:rPr>
            </w:pPr>
          </w:p>
        </w:tc>
        <w:tc>
          <w:tcPr>
            <w:tcW w:w="2359"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华侨管理区</w:t>
            </w:r>
          </w:p>
        </w:tc>
        <w:tc>
          <w:tcPr>
            <w:tcW w:w="1485"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r>
              <w:rPr>
                <w:rFonts w:hint="default" w:ascii="Times New Roman" w:hAnsi="Times New Roman" w:eastAsia="宋体" w:cs="Times New Roman"/>
                <w:kern w:val="0"/>
                <w:sz w:val="24"/>
                <w:szCs w:val="24"/>
                <w:lang w:val="en-US" w:eastAsia="zh-CN"/>
              </w:rPr>
              <w:t>个</w:t>
            </w:r>
          </w:p>
        </w:tc>
        <w:tc>
          <w:tcPr>
            <w:tcW w:w="1549" w:type="dxa"/>
            <w:shd w:val="clear" w:color="auto" w:fill="auto"/>
            <w:noWrap/>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1" w:type="dxa"/>
            <w:vMerge w:val="continue"/>
            <w:vAlign w:val="center"/>
          </w:tcPr>
          <w:p>
            <w:pPr>
              <w:jc w:val="center"/>
              <w:rPr>
                <w:rFonts w:hint="default" w:ascii="Times New Roman" w:hAnsi="Times New Roman" w:eastAsia="宋体" w:cs="Times New Roman"/>
                <w:kern w:val="0"/>
                <w:sz w:val="24"/>
                <w:szCs w:val="24"/>
              </w:rPr>
            </w:pPr>
          </w:p>
        </w:tc>
        <w:tc>
          <w:tcPr>
            <w:tcW w:w="2359"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红海湾经济开发区</w:t>
            </w:r>
          </w:p>
        </w:tc>
        <w:tc>
          <w:tcPr>
            <w:tcW w:w="1485"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w:t>
            </w:r>
            <w:r>
              <w:rPr>
                <w:rFonts w:hint="default" w:ascii="Times New Roman" w:hAnsi="Times New Roman" w:eastAsia="宋体" w:cs="Times New Roman"/>
                <w:kern w:val="0"/>
                <w:sz w:val="24"/>
                <w:szCs w:val="24"/>
                <w:lang w:val="en-US" w:eastAsia="zh-CN"/>
              </w:rPr>
              <w:t>个</w:t>
            </w:r>
          </w:p>
        </w:tc>
        <w:tc>
          <w:tcPr>
            <w:tcW w:w="1549" w:type="dxa"/>
            <w:shd w:val="clear" w:color="auto" w:fill="auto"/>
            <w:noWrap/>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1" w:type="dxa"/>
            <w:vMerge w:val="restart"/>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省级森林乡村</w:t>
            </w:r>
          </w:p>
        </w:tc>
        <w:tc>
          <w:tcPr>
            <w:tcW w:w="2359"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合计</w:t>
            </w:r>
          </w:p>
        </w:tc>
        <w:tc>
          <w:tcPr>
            <w:tcW w:w="1485"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w:t>
            </w:r>
            <w:r>
              <w:rPr>
                <w:rFonts w:hint="default" w:ascii="Times New Roman" w:hAnsi="Times New Roman" w:eastAsia="宋体" w:cs="Times New Roman"/>
                <w:kern w:val="0"/>
                <w:sz w:val="24"/>
                <w:szCs w:val="24"/>
                <w:lang w:val="en-US" w:eastAsia="zh-CN"/>
              </w:rPr>
              <w:t>个</w:t>
            </w:r>
          </w:p>
        </w:tc>
        <w:tc>
          <w:tcPr>
            <w:tcW w:w="1549" w:type="dxa"/>
            <w:shd w:val="clear" w:color="auto" w:fill="auto"/>
            <w:noWrap/>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1" w:type="dxa"/>
            <w:vMerge w:val="continue"/>
            <w:vAlign w:val="center"/>
          </w:tcPr>
          <w:p>
            <w:pPr>
              <w:jc w:val="center"/>
              <w:rPr>
                <w:rFonts w:hint="default" w:ascii="Times New Roman" w:hAnsi="Times New Roman" w:eastAsia="宋体" w:cs="Times New Roman"/>
                <w:kern w:val="0"/>
                <w:sz w:val="24"/>
                <w:szCs w:val="24"/>
              </w:rPr>
            </w:pPr>
          </w:p>
        </w:tc>
        <w:tc>
          <w:tcPr>
            <w:tcW w:w="2359"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海丰县</w:t>
            </w:r>
          </w:p>
        </w:tc>
        <w:tc>
          <w:tcPr>
            <w:tcW w:w="1485"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r>
              <w:rPr>
                <w:rFonts w:hint="default" w:ascii="Times New Roman" w:hAnsi="Times New Roman" w:eastAsia="宋体" w:cs="Times New Roman"/>
                <w:kern w:val="0"/>
                <w:sz w:val="24"/>
                <w:szCs w:val="24"/>
                <w:lang w:val="en-US" w:eastAsia="zh-CN"/>
              </w:rPr>
              <w:t>个</w:t>
            </w:r>
          </w:p>
        </w:tc>
        <w:tc>
          <w:tcPr>
            <w:tcW w:w="1549" w:type="dxa"/>
            <w:shd w:val="clear" w:color="auto" w:fill="auto"/>
            <w:noWrap/>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1" w:type="dxa"/>
            <w:vMerge w:val="continue"/>
            <w:vAlign w:val="center"/>
          </w:tcPr>
          <w:p>
            <w:pPr>
              <w:jc w:val="center"/>
              <w:rPr>
                <w:rFonts w:hint="default" w:ascii="Times New Roman" w:hAnsi="Times New Roman" w:eastAsia="宋体" w:cs="Times New Roman"/>
                <w:kern w:val="0"/>
                <w:sz w:val="24"/>
                <w:szCs w:val="24"/>
              </w:rPr>
            </w:pPr>
          </w:p>
        </w:tc>
        <w:tc>
          <w:tcPr>
            <w:tcW w:w="2359"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陆河县</w:t>
            </w:r>
          </w:p>
        </w:tc>
        <w:tc>
          <w:tcPr>
            <w:tcW w:w="1485"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w:t>
            </w:r>
            <w:r>
              <w:rPr>
                <w:rFonts w:hint="default" w:ascii="Times New Roman" w:hAnsi="Times New Roman" w:eastAsia="宋体" w:cs="Times New Roman"/>
                <w:kern w:val="0"/>
                <w:sz w:val="24"/>
                <w:szCs w:val="24"/>
                <w:lang w:val="en-US" w:eastAsia="zh-CN"/>
              </w:rPr>
              <w:t>个</w:t>
            </w:r>
          </w:p>
        </w:tc>
        <w:tc>
          <w:tcPr>
            <w:tcW w:w="1549" w:type="dxa"/>
            <w:shd w:val="clear" w:color="auto" w:fill="auto"/>
            <w:noWrap/>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1" w:type="dxa"/>
            <w:vMerge w:val="continue"/>
            <w:vAlign w:val="center"/>
          </w:tcPr>
          <w:p>
            <w:pPr>
              <w:jc w:val="center"/>
              <w:rPr>
                <w:rFonts w:hint="default" w:ascii="Times New Roman" w:hAnsi="Times New Roman" w:eastAsia="宋体" w:cs="Times New Roman"/>
                <w:kern w:val="0"/>
                <w:sz w:val="24"/>
                <w:szCs w:val="24"/>
              </w:rPr>
            </w:pPr>
          </w:p>
        </w:tc>
        <w:tc>
          <w:tcPr>
            <w:tcW w:w="2359"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陆丰市</w:t>
            </w:r>
          </w:p>
        </w:tc>
        <w:tc>
          <w:tcPr>
            <w:tcW w:w="1485" w:type="dxa"/>
            <w:shd w:val="clear" w:color="auto" w:fill="auto"/>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r>
              <w:rPr>
                <w:rFonts w:hint="default" w:ascii="Times New Roman" w:hAnsi="Times New Roman" w:eastAsia="宋体" w:cs="Times New Roman"/>
                <w:kern w:val="0"/>
                <w:sz w:val="24"/>
                <w:szCs w:val="24"/>
                <w:lang w:val="en-US" w:eastAsia="zh-CN"/>
              </w:rPr>
              <w:t>个</w:t>
            </w:r>
          </w:p>
        </w:tc>
        <w:tc>
          <w:tcPr>
            <w:tcW w:w="1549" w:type="dxa"/>
            <w:shd w:val="clear" w:color="auto" w:fill="auto"/>
            <w:noWrap/>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1"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森林生态综合示范园</w:t>
            </w:r>
          </w:p>
        </w:tc>
        <w:tc>
          <w:tcPr>
            <w:tcW w:w="2359" w:type="dxa"/>
            <w:shd w:val="clear" w:color="auto" w:fill="auto"/>
            <w:noWrap/>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黄羌林场</w:t>
            </w:r>
          </w:p>
        </w:tc>
        <w:tc>
          <w:tcPr>
            <w:tcW w:w="1485" w:type="dxa"/>
            <w:shd w:val="clear" w:color="auto" w:fill="auto"/>
            <w:noWrap/>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1个</w:t>
            </w:r>
          </w:p>
        </w:tc>
        <w:tc>
          <w:tcPr>
            <w:tcW w:w="1549" w:type="dxa"/>
            <w:shd w:val="clear" w:color="auto" w:fill="auto"/>
            <w:noWrap/>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1" w:type="dxa"/>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心地绿洲景观工程（汕尾市义务植树项目）</w:t>
            </w:r>
          </w:p>
        </w:tc>
        <w:tc>
          <w:tcPr>
            <w:tcW w:w="2359" w:type="dxa"/>
            <w:shd w:val="clear" w:color="auto" w:fill="auto"/>
            <w:noWrap/>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市城区品清河畔</w:t>
            </w:r>
          </w:p>
        </w:tc>
        <w:tc>
          <w:tcPr>
            <w:tcW w:w="1485" w:type="dxa"/>
            <w:shd w:val="clear" w:color="auto" w:fill="auto"/>
            <w:noWrap/>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14000平方米</w:t>
            </w:r>
          </w:p>
        </w:tc>
        <w:tc>
          <w:tcPr>
            <w:tcW w:w="1549" w:type="dxa"/>
            <w:shd w:val="clear" w:color="auto" w:fill="auto"/>
            <w:noWrap/>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由市林业局组织实施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1" w:type="dxa"/>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汕尾金霞光森林公园</w:t>
            </w:r>
          </w:p>
        </w:tc>
        <w:tc>
          <w:tcPr>
            <w:tcW w:w="2359" w:type="dxa"/>
            <w:shd w:val="clear" w:color="auto" w:fill="auto"/>
            <w:noWrap/>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城区</w:t>
            </w:r>
          </w:p>
        </w:tc>
        <w:tc>
          <w:tcPr>
            <w:tcW w:w="1485" w:type="dxa"/>
            <w:shd w:val="clear" w:color="auto" w:fill="auto"/>
            <w:noWrap/>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规划面积5670亩</w:t>
            </w:r>
          </w:p>
        </w:tc>
        <w:tc>
          <w:tcPr>
            <w:tcW w:w="1549" w:type="dxa"/>
            <w:shd w:val="clear" w:color="auto" w:fill="auto"/>
            <w:noWrap/>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由市林业局组织实施</w:t>
            </w:r>
          </w:p>
        </w:tc>
      </w:tr>
    </w:tbl>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Cs w:val="21"/>
          <w:lang w:val="en-US" w:eastAsia="zh-CN"/>
        </w:rPr>
      </w:pPr>
      <w:bookmarkStart w:id="65" w:name="_Toc78615459"/>
      <w:bookmarkStart w:id="66" w:name="_Toc31808"/>
      <w:bookmarkStart w:id="67" w:name="_Toc78615461"/>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rPr>
      </w:pPr>
      <w:bookmarkStart w:id="68" w:name="_Toc24240"/>
      <w:r>
        <w:rPr>
          <w:rFonts w:hint="default" w:ascii="Times New Roman" w:hAnsi="Times New Roman" w:eastAsia="黑体" w:cs="Times New Roman"/>
          <w:sz w:val="30"/>
          <w:szCs w:val="30"/>
        </w:rPr>
        <w:t>第五节 绿色富民产业发展工程</w:t>
      </w:r>
      <w:bookmarkEnd w:id="65"/>
      <w:bookmarkEnd w:id="66"/>
      <w:bookmarkEnd w:id="68"/>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一、发展林下经济产业</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加快发展陆河青梅产业，提高以果酱为主的青梅精深加工水平，打造发展以青梅为主题的森林旅游品牌，建设旅游强县。</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逐年扩大林下种植规模，以林药、林茶、林果为主，增加林菌、林草、林苗、林花等发展模式。逐年扩大林下养殖规模，增加林下养殖品种种类，在原有的林蜂、林畜、林禽等养殖的基础上，增加林蛙、林鱼等新品种。至2025年，建设省级特色经济林示范基地1个，新建省级林下经济示范基地1个，林下种植产值超过1.8</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lang w:val="en-US" w:eastAsia="zh-CN"/>
        </w:rPr>
        <w:t>亿，规模扩大到5至6万亩，实现林下养殖规模和品种双增长，形成初具规模的林下经济体系。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二、发展森林康养产业</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加快建设面向珠三角和粤港澳大湾区的森林康养基地，不断完善森林康养服务体系，提高林业生态产品供给能力和服务水平，不断满足人民群众日益增长的需求。在林道可及的森林葱郁地带建设康养步道和森林浴场，开展森林运动、静坐养生等康养活动。建设森林养生体验馆、森林康复中心或森林药膳中心等场所，开展自然教育、森林养生、健身康复等体验活动，配套基础的医疗器械和医疗应急设施，配备咨询台和健康咨询人员。在</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期间，实施建设御林山海、莲花山两处省级森林康养基地。</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三、发展森林旅游产业</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依托森林公园、红色旅游景区等旅游资源，建设完善森林旅游基础设施，打造5条新兴旅游特色线路。不断提升森林旅游资源的吸引力，带动当地居民农家乐以及乡土特产交易发展，增加居民的森林旅游收入。</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期间，继续打造5条新兴旅游特色线路：</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1.共光--螺洞梅花缘（汕尾市榕江源景观--尖山寺--共光梅园--螺洞世外梅园--观天嶂）；</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2.河口红色印迹（汕尾市北中宜芴红色旅游景区--谢非故居--狮子嶂--剑门坑）；</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3.南万绿色长廊（陆河县--南天湖--神象山--红锥林省级自然保护区--南万茶海--南万花海--桂培神秘大草原）；</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4.新田红色之旅（陆河县湖坑红色村遗址--激石溪革命根据地先烈纪念园--吉溪三江森林公园）；</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5激石溪红色教育森林旅游特色线路（汕尾市国有吉溪三江森林公园）。</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期间，继续打造2个森林旅游新兴品牌地：</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highlight w:val="none"/>
          <w:lang w:val="en-US" w:eastAsia="zh-CN"/>
        </w:rPr>
        <w:t>.</w:t>
      </w:r>
      <w:r>
        <w:rPr>
          <w:rFonts w:hint="eastAsia" w:ascii="Times New Roman" w:hAnsi="Times New Roman" w:eastAsia="仿宋_GB2312"/>
          <w:sz w:val="30"/>
          <w:szCs w:val="30"/>
          <w:highlight w:val="none"/>
        </w:rPr>
        <w:t>广东陆河南万红锥林自然保护区</w:t>
      </w:r>
      <w:r>
        <w:rPr>
          <w:rFonts w:hint="default"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2.广东省汕尾黄羌林场运动小镇。</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rPr>
      </w:pPr>
      <w:bookmarkStart w:id="69" w:name="_Toc14904"/>
      <w:r>
        <w:rPr>
          <w:rFonts w:hint="default" w:ascii="Times New Roman" w:hAnsi="Times New Roman" w:eastAsia="黑体" w:cs="Times New Roman"/>
          <w:sz w:val="30"/>
          <w:szCs w:val="30"/>
        </w:rPr>
        <w:t>第</w:t>
      </w:r>
      <w:r>
        <w:rPr>
          <w:rFonts w:hint="default" w:ascii="Times New Roman" w:hAnsi="Times New Roman" w:eastAsia="黑体" w:cs="Times New Roman"/>
          <w:sz w:val="30"/>
          <w:szCs w:val="30"/>
          <w:lang w:val="en-US" w:eastAsia="zh-CN"/>
        </w:rPr>
        <w:t>六</w:t>
      </w:r>
      <w:r>
        <w:rPr>
          <w:rFonts w:hint="default" w:ascii="Times New Roman" w:hAnsi="Times New Roman" w:eastAsia="黑体" w:cs="Times New Roman"/>
          <w:sz w:val="30"/>
          <w:szCs w:val="30"/>
        </w:rPr>
        <w:t xml:space="preserve">节 </w:t>
      </w:r>
      <w:r>
        <w:rPr>
          <w:rFonts w:hint="default" w:ascii="Times New Roman" w:hAnsi="Times New Roman" w:eastAsia="黑体" w:cs="Times New Roman"/>
          <w:sz w:val="30"/>
          <w:szCs w:val="30"/>
          <w:lang w:val="en-US" w:eastAsia="zh-CN"/>
        </w:rPr>
        <w:t>林业有害生物防治</w:t>
      </w:r>
      <w:r>
        <w:rPr>
          <w:rFonts w:hint="default" w:ascii="Times New Roman" w:hAnsi="Times New Roman" w:eastAsia="黑体" w:cs="Times New Roman"/>
          <w:sz w:val="30"/>
          <w:szCs w:val="30"/>
        </w:rPr>
        <w:t>工程</w:t>
      </w:r>
      <w:bookmarkEnd w:id="67"/>
      <w:bookmarkEnd w:id="69"/>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一、松材线虫病防控</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组织编制《汕尾市松材线虫病五年攻坚行动方案》及年度实施方案，推进疫情监测常态化、网格化管理，将监测网格细化到山头地块、将山头地块的网格监测责任明确到人。按照国家林草局关于开展松材线虫病和林长制考核的要求，压实镇、村一级防治主体责任，加强督促检查，加强防治施工监管，加强防治质量检验。</w:t>
      </w:r>
      <w:r>
        <w:rPr>
          <w:rFonts w:hint="eastAsia" w:ascii="Times New Roman" w:hAnsi="Times New Roman" w:eastAsia="仿宋_GB2312" w:cs="Times New Roman"/>
          <w:sz w:val="30"/>
          <w:szCs w:val="30"/>
          <w:lang w:val="en-US" w:eastAsia="zh-CN"/>
        </w:rPr>
        <w:t>采取科学有效措施</w:t>
      </w:r>
      <w:r>
        <w:rPr>
          <w:rFonts w:hint="default" w:ascii="Times New Roman" w:hAnsi="Times New Roman" w:eastAsia="仿宋_GB2312" w:cs="Times New Roman"/>
          <w:sz w:val="30"/>
          <w:szCs w:val="30"/>
          <w:lang w:val="en-US" w:eastAsia="zh-CN"/>
        </w:rPr>
        <w:t>防治松材线虫病，做到及早发现、及早防治、及早处理，有效预防和控制森林病虫害的发生和扩散。全市松材线虫重型疫区为海丰县和陆河县。以全面监测、检疫监管、疫情除治和林分更新为主要措施，实现疫情整体可控、逐步压缩、定点清除，逐步压缩发生面积、减少疫点数量。至2025年，全面遏制松材线虫病蔓延和传播，减少发生面积700亩，其中海丰县200亩，陆河县500亩，拔除陶河镇疫点。</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二、薇甘菊防控</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根据薇甘菊的分布范围、发生特点、传播规律以及生长环境，以各分布区所处位置、周边疫情、森防设施现状为基础，合理划分预防区、防治区。针对预防区，重点加强日常监测与专项普查，切实抓好检疫工作，力争不发生新的疫点；针对防治区，狠抓疫点除治，采用以化学防治为主，辅以部分人工清除、生物防治、生态控制等措施，严防疫情扩散，不断压缩发生区域。</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期间，在全市开展薇甘菊防控五年攻坚行动，实施薇甘菊除治，减少薇甘菊发生面积30000亩。结合监测调查、检疫监管、生态控制、强化除治质量核验等措施，</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确保林地薇甘菊防治率达60%以上，盖度控制在15%以下，有效控制薇甘菊的传播和蔓延。</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outlineLvl w:val="2"/>
        <w:rPr>
          <w:rFonts w:hint="default" w:ascii="Times New Roman" w:hAnsi="Times New Roman" w:eastAsia="仿宋_GB2312" w:cs="Times New Roman"/>
          <w:b/>
          <w:sz w:val="30"/>
          <w:szCs w:val="30"/>
          <w:lang w:val="en-US" w:eastAsia="zh-CN"/>
        </w:rPr>
      </w:pPr>
      <w:r>
        <w:rPr>
          <w:rFonts w:hint="default" w:ascii="Times New Roman" w:hAnsi="Times New Roman" w:eastAsia="仿宋_GB2312" w:cs="Times New Roman"/>
          <w:b/>
          <w:sz w:val="30"/>
          <w:szCs w:val="30"/>
          <w:lang w:val="en-US" w:eastAsia="zh-CN"/>
        </w:rPr>
        <w:t>三、林地红火蚁防控</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完善林地红火蚁疫情监测预警体系，抓好监测网络建设，科学布设监测点</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每年5-6月和10-11月，采取统一时间、统一药剂、统一方法、统一行动，开展春秋两季防治行动，根据发生区蚁巢密度，实行分区精准施策。对蚁巢密度较低且较分散的发生区，采用饵剂点施法灭除单个蚁巢；对蚁巢密度较大、分布范围较广的区域，利用撒播器、无人机等撒施饵剂开展大面积除治。</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lang w:val="en-US" w:eastAsia="zh-CN"/>
        </w:rPr>
      </w:pPr>
      <w:bookmarkStart w:id="70" w:name="_Toc32764"/>
      <w:r>
        <w:rPr>
          <w:rFonts w:hint="default" w:ascii="Times New Roman" w:hAnsi="Times New Roman" w:eastAsia="黑体" w:cs="Times New Roman"/>
          <w:sz w:val="30"/>
          <w:szCs w:val="30"/>
          <w:lang w:val="en-US" w:eastAsia="zh-CN"/>
        </w:rPr>
        <w:t xml:space="preserve">第七节 </w:t>
      </w:r>
      <w:r>
        <w:rPr>
          <w:rFonts w:hint="default" w:ascii="Times New Roman" w:hAnsi="Times New Roman" w:eastAsia="黑体" w:cs="Times New Roman"/>
          <w:sz w:val="30"/>
          <w:szCs w:val="30"/>
        </w:rPr>
        <w:t>防火体系建设</w:t>
      </w:r>
      <w:r>
        <w:rPr>
          <w:rFonts w:hint="default" w:ascii="Times New Roman" w:hAnsi="Times New Roman" w:eastAsia="黑体" w:cs="Times New Roman"/>
          <w:sz w:val="30"/>
          <w:szCs w:val="30"/>
          <w:lang w:val="en-US" w:eastAsia="zh-CN"/>
        </w:rPr>
        <w:t>工程</w:t>
      </w:r>
      <w:bookmarkEnd w:id="70"/>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（一）加强森林防火预警监测系统建设。主要加大林火预警监测建设密度，加强林火远程监控系统、通信网络系统建设，</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期间，维护</w:t>
      </w:r>
      <w:r>
        <w:rPr>
          <w:rFonts w:hint="eastAsia" w:ascii="Times New Roman" w:hAnsi="Times New Roman" w:eastAsia="仿宋_GB2312" w:cs="Times New Roman"/>
          <w:sz w:val="30"/>
          <w:szCs w:val="30"/>
          <w:lang w:val="en-US" w:eastAsia="zh-CN"/>
        </w:rPr>
        <w:t>15</w:t>
      </w:r>
      <w:r>
        <w:rPr>
          <w:rFonts w:hint="default" w:ascii="Times New Roman" w:hAnsi="Times New Roman" w:eastAsia="仿宋_GB2312" w:cs="Times New Roman"/>
          <w:sz w:val="30"/>
          <w:szCs w:val="30"/>
          <w:lang w:val="en-US" w:eastAsia="zh-CN"/>
        </w:rPr>
        <w:t>套林火远程监控系统，建设26座瞭望塔台，配备必要的瞭望和通信设备。</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（二）加强森林火情早期处置能力建设，储备森林防火物资，建设比较完备的森林防火应急物资保障体系。</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期间，建设</w:t>
      </w:r>
      <w:r>
        <w:rPr>
          <w:rFonts w:hint="eastAsia" w:ascii="Times New Roman" w:hAnsi="Times New Roman" w:eastAsia="仿宋_GB2312" w:cs="Times New Roman"/>
          <w:sz w:val="30"/>
          <w:szCs w:val="30"/>
          <w:lang w:val="en-US" w:eastAsia="zh-CN"/>
        </w:rPr>
        <w:t>森林消防蓄水池</w:t>
      </w:r>
      <w:r>
        <w:rPr>
          <w:rFonts w:hint="default" w:ascii="Times New Roman" w:hAnsi="Times New Roman" w:eastAsia="仿宋_GB2312" w:cs="Times New Roman"/>
          <w:sz w:val="30"/>
          <w:szCs w:val="30"/>
          <w:lang w:val="en-US" w:eastAsia="zh-CN"/>
        </w:rPr>
        <w:t>62处，新建森林防火道路300公里。</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三）加强防火隔离带建设，对隔离带外围林间灌木、杂草、枯叶等林下可燃物进行及时清理，消除火灾隐患；选用抗火能力强的树种，在全市重点火险区、市属国有林场、自然保护地等区域新建（维护）防火林带。</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期间，结合汕尾实际，因地制宜，规划新建维护生物防火林带和防火隔离带693千米。</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表4-</w:t>
      </w:r>
      <w:r>
        <w:rPr>
          <w:rFonts w:hint="default" w:ascii="Times New Roman" w:hAnsi="Times New Roman" w:eastAsia="仿宋_GB2312" w:cs="Times New Roman"/>
          <w:sz w:val="28"/>
          <w:szCs w:val="30"/>
          <w:lang w:val="en-US" w:eastAsia="zh-CN"/>
        </w:rPr>
        <w:t>9</w:t>
      </w:r>
      <w:r>
        <w:rPr>
          <w:rFonts w:hint="default" w:ascii="Times New Roman" w:hAnsi="Times New Roman" w:eastAsia="仿宋_GB2312" w:cs="Times New Roman"/>
          <w:sz w:val="28"/>
          <w:szCs w:val="30"/>
        </w:rPr>
        <w:t xml:space="preserve"> 防火林带和防火隔离带</w:t>
      </w:r>
      <w:r>
        <w:rPr>
          <w:rFonts w:hint="default" w:ascii="Times New Roman" w:hAnsi="Times New Roman" w:eastAsia="仿宋_GB2312" w:cs="Times New Roman"/>
          <w:sz w:val="28"/>
          <w:szCs w:val="30"/>
          <w:lang w:val="en-US" w:eastAsia="zh-CN"/>
        </w:rPr>
        <w:t>建设工程</w:t>
      </w:r>
      <w:r>
        <w:rPr>
          <w:rFonts w:hint="default" w:ascii="Times New Roman" w:hAnsi="Times New Roman" w:eastAsia="仿宋_GB2312" w:cs="Times New Roman"/>
          <w:sz w:val="28"/>
          <w:szCs w:val="30"/>
        </w:rPr>
        <w:t>规划表</w:t>
      </w:r>
    </w:p>
    <w:tbl>
      <w:tblPr>
        <w:tblStyle w:val="14"/>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2727"/>
        <w:gridCol w:w="1674"/>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625" w:type="dxa"/>
            <w:shd w:val="clear" w:color="auto" w:fill="auto"/>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建设内容</w:t>
            </w:r>
          </w:p>
        </w:tc>
        <w:tc>
          <w:tcPr>
            <w:tcW w:w="2727" w:type="dxa"/>
            <w:shd w:val="clear" w:color="auto" w:fill="auto"/>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县（市、区）</w:t>
            </w:r>
          </w:p>
        </w:tc>
        <w:tc>
          <w:tcPr>
            <w:tcW w:w="1674" w:type="dxa"/>
            <w:shd w:val="clear" w:color="auto" w:fill="auto"/>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长度（</w:t>
            </w:r>
            <w:r>
              <w:rPr>
                <w:rFonts w:hint="default" w:ascii="Times New Roman" w:hAnsi="Times New Roman" w:eastAsia="宋体" w:cs="Times New Roman"/>
                <w:b/>
                <w:bCs/>
                <w:kern w:val="0"/>
                <w:sz w:val="24"/>
                <w:szCs w:val="24"/>
                <w:lang w:val="en-US" w:eastAsia="zh-CN"/>
              </w:rPr>
              <w:t>千</w:t>
            </w:r>
            <w:r>
              <w:rPr>
                <w:rFonts w:hint="default" w:ascii="Times New Roman" w:hAnsi="Times New Roman" w:eastAsia="宋体" w:cs="Times New Roman"/>
                <w:b/>
                <w:bCs/>
                <w:kern w:val="0"/>
                <w:sz w:val="24"/>
                <w:szCs w:val="24"/>
              </w:rPr>
              <w:t>米）</w:t>
            </w:r>
          </w:p>
        </w:tc>
        <w:tc>
          <w:tcPr>
            <w:tcW w:w="2194" w:type="dxa"/>
            <w:shd w:val="clear" w:color="auto" w:fill="auto"/>
            <w:vAlign w:val="center"/>
          </w:tcPr>
          <w:p>
            <w:pPr>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5" w:type="dxa"/>
            <w:vMerge w:val="restart"/>
            <w:shd w:val="clear" w:color="auto" w:fill="auto"/>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新建维护生物防火林带和防火</w:t>
            </w:r>
            <w:r>
              <w:rPr>
                <w:rFonts w:hint="default" w:ascii="Times New Roman" w:hAnsi="Times New Roman" w:eastAsia="宋体" w:cs="Times New Roman"/>
                <w:kern w:val="0"/>
                <w:sz w:val="24"/>
                <w:szCs w:val="24"/>
                <w:lang w:val="en-US" w:eastAsia="zh-CN"/>
              </w:rPr>
              <w:t>隔离</w:t>
            </w:r>
            <w:r>
              <w:rPr>
                <w:rFonts w:hint="default" w:ascii="Times New Roman" w:hAnsi="Times New Roman" w:eastAsia="宋体" w:cs="Times New Roman"/>
                <w:kern w:val="0"/>
                <w:sz w:val="24"/>
                <w:szCs w:val="24"/>
              </w:rPr>
              <w:t>带</w:t>
            </w:r>
          </w:p>
        </w:tc>
        <w:tc>
          <w:tcPr>
            <w:tcW w:w="2727" w:type="dxa"/>
            <w:shd w:val="clear" w:color="auto" w:fill="auto"/>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合计</w:t>
            </w:r>
          </w:p>
        </w:tc>
        <w:tc>
          <w:tcPr>
            <w:tcW w:w="1674" w:type="dxa"/>
            <w:shd w:val="clear" w:color="auto" w:fill="auto"/>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693</w:t>
            </w:r>
          </w:p>
        </w:tc>
        <w:tc>
          <w:tcPr>
            <w:tcW w:w="2194" w:type="dxa"/>
            <w:shd w:val="clear" w:color="auto" w:fill="auto"/>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5" w:type="dxa"/>
            <w:vMerge w:val="continue"/>
            <w:shd w:val="clear" w:color="auto" w:fill="auto"/>
            <w:vAlign w:val="center"/>
          </w:tcPr>
          <w:p>
            <w:pPr>
              <w:jc w:val="center"/>
              <w:rPr>
                <w:rFonts w:hint="default" w:ascii="Times New Roman" w:hAnsi="Times New Roman" w:eastAsia="宋体" w:cs="Times New Roman"/>
                <w:kern w:val="0"/>
                <w:sz w:val="24"/>
                <w:szCs w:val="24"/>
              </w:rPr>
            </w:pPr>
          </w:p>
        </w:tc>
        <w:tc>
          <w:tcPr>
            <w:tcW w:w="2727" w:type="dxa"/>
            <w:shd w:val="clear" w:color="auto" w:fill="auto"/>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城区</w:t>
            </w:r>
          </w:p>
        </w:tc>
        <w:tc>
          <w:tcPr>
            <w:tcW w:w="1674" w:type="dxa"/>
            <w:shd w:val="clear" w:color="auto" w:fill="auto"/>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9</w:t>
            </w:r>
          </w:p>
        </w:tc>
        <w:tc>
          <w:tcPr>
            <w:tcW w:w="2194" w:type="dxa"/>
            <w:shd w:val="clear" w:color="auto" w:fill="auto"/>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5" w:type="dxa"/>
            <w:vMerge w:val="continue"/>
            <w:shd w:val="clear" w:color="auto" w:fill="auto"/>
            <w:vAlign w:val="center"/>
          </w:tcPr>
          <w:p>
            <w:pPr>
              <w:jc w:val="center"/>
              <w:rPr>
                <w:rFonts w:hint="default" w:ascii="Times New Roman" w:hAnsi="Times New Roman" w:eastAsia="宋体" w:cs="Times New Roman"/>
                <w:kern w:val="0"/>
                <w:sz w:val="24"/>
                <w:szCs w:val="24"/>
              </w:rPr>
            </w:pPr>
          </w:p>
        </w:tc>
        <w:tc>
          <w:tcPr>
            <w:tcW w:w="2727" w:type="dxa"/>
            <w:shd w:val="clear" w:color="auto" w:fill="auto"/>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海丰县</w:t>
            </w:r>
          </w:p>
        </w:tc>
        <w:tc>
          <w:tcPr>
            <w:tcW w:w="1674" w:type="dxa"/>
            <w:shd w:val="clear" w:color="auto" w:fill="auto"/>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62</w:t>
            </w:r>
          </w:p>
        </w:tc>
        <w:tc>
          <w:tcPr>
            <w:tcW w:w="2194" w:type="dxa"/>
            <w:shd w:val="clear" w:color="auto" w:fill="auto"/>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5" w:type="dxa"/>
            <w:vMerge w:val="continue"/>
            <w:shd w:val="clear" w:color="auto" w:fill="auto"/>
            <w:vAlign w:val="center"/>
          </w:tcPr>
          <w:p>
            <w:pPr>
              <w:jc w:val="center"/>
              <w:rPr>
                <w:rFonts w:hint="default" w:ascii="Times New Roman" w:hAnsi="Times New Roman" w:eastAsia="宋体" w:cs="Times New Roman"/>
                <w:kern w:val="0"/>
                <w:sz w:val="24"/>
                <w:szCs w:val="24"/>
              </w:rPr>
            </w:pPr>
          </w:p>
        </w:tc>
        <w:tc>
          <w:tcPr>
            <w:tcW w:w="2727" w:type="dxa"/>
            <w:shd w:val="clear" w:color="auto" w:fill="auto"/>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陆丰市</w:t>
            </w:r>
          </w:p>
        </w:tc>
        <w:tc>
          <w:tcPr>
            <w:tcW w:w="1674" w:type="dxa"/>
            <w:shd w:val="clear" w:color="auto" w:fill="auto"/>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150</w:t>
            </w:r>
          </w:p>
        </w:tc>
        <w:tc>
          <w:tcPr>
            <w:tcW w:w="2194" w:type="dxa"/>
            <w:shd w:val="clear" w:color="auto" w:fill="auto"/>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5" w:type="dxa"/>
            <w:vMerge w:val="continue"/>
            <w:shd w:val="clear" w:color="auto" w:fill="auto"/>
            <w:vAlign w:val="center"/>
          </w:tcPr>
          <w:p>
            <w:pPr>
              <w:jc w:val="center"/>
              <w:rPr>
                <w:rFonts w:hint="default" w:ascii="Times New Roman" w:hAnsi="Times New Roman" w:eastAsia="宋体" w:cs="Times New Roman"/>
                <w:kern w:val="0"/>
                <w:sz w:val="24"/>
                <w:szCs w:val="24"/>
              </w:rPr>
            </w:pPr>
          </w:p>
        </w:tc>
        <w:tc>
          <w:tcPr>
            <w:tcW w:w="2727" w:type="dxa"/>
            <w:shd w:val="clear" w:color="auto" w:fill="auto"/>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陆河县</w:t>
            </w:r>
          </w:p>
        </w:tc>
        <w:tc>
          <w:tcPr>
            <w:tcW w:w="1674" w:type="dxa"/>
            <w:shd w:val="clear" w:color="auto" w:fill="auto"/>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51</w:t>
            </w:r>
          </w:p>
        </w:tc>
        <w:tc>
          <w:tcPr>
            <w:tcW w:w="2194" w:type="dxa"/>
            <w:shd w:val="clear" w:color="auto" w:fill="auto"/>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5" w:type="dxa"/>
            <w:vMerge w:val="continue"/>
            <w:shd w:val="clear" w:color="auto" w:fill="auto"/>
            <w:vAlign w:val="center"/>
          </w:tcPr>
          <w:p>
            <w:pPr>
              <w:jc w:val="center"/>
              <w:rPr>
                <w:rFonts w:hint="default" w:ascii="Times New Roman" w:hAnsi="Times New Roman" w:eastAsia="宋体" w:cs="Times New Roman"/>
                <w:kern w:val="0"/>
                <w:sz w:val="24"/>
                <w:szCs w:val="24"/>
              </w:rPr>
            </w:pPr>
          </w:p>
        </w:tc>
        <w:tc>
          <w:tcPr>
            <w:tcW w:w="2727" w:type="dxa"/>
            <w:shd w:val="clear" w:color="auto" w:fill="auto"/>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罗经嶂林场</w:t>
            </w:r>
          </w:p>
        </w:tc>
        <w:tc>
          <w:tcPr>
            <w:tcW w:w="1674" w:type="dxa"/>
            <w:shd w:val="clear" w:color="auto" w:fill="auto"/>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30</w:t>
            </w:r>
          </w:p>
        </w:tc>
        <w:tc>
          <w:tcPr>
            <w:tcW w:w="2194" w:type="dxa"/>
            <w:shd w:val="clear" w:color="auto" w:fill="auto"/>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5" w:type="dxa"/>
            <w:vMerge w:val="continue"/>
            <w:shd w:val="clear" w:color="auto" w:fill="auto"/>
            <w:vAlign w:val="center"/>
          </w:tcPr>
          <w:p>
            <w:pPr>
              <w:jc w:val="center"/>
              <w:rPr>
                <w:rFonts w:hint="default" w:ascii="Times New Roman" w:hAnsi="Times New Roman" w:eastAsia="宋体" w:cs="Times New Roman"/>
                <w:kern w:val="0"/>
                <w:sz w:val="24"/>
                <w:szCs w:val="24"/>
              </w:rPr>
            </w:pPr>
          </w:p>
        </w:tc>
        <w:tc>
          <w:tcPr>
            <w:tcW w:w="2727" w:type="dxa"/>
            <w:shd w:val="clear" w:color="auto" w:fill="auto"/>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吉溪林场</w:t>
            </w:r>
          </w:p>
        </w:tc>
        <w:tc>
          <w:tcPr>
            <w:tcW w:w="1674" w:type="dxa"/>
            <w:shd w:val="clear" w:color="auto" w:fill="auto"/>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50</w:t>
            </w:r>
          </w:p>
        </w:tc>
        <w:tc>
          <w:tcPr>
            <w:tcW w:w="2194" w:type="dxa"/>
            <w:shd w:val="clear" w:color="auto" w:fill="auto"/>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5" w:type="dxa"/>
            <w:vMerge w:val="continue"/>
            <w:shd w:val="clear" w:color="auto" w:fill="auto"/>
            <w:vAlign w:val="center"/>
          </w:tcPr>
          <w:p>
            <w:pPr>
              <w:jc w:val="center"/>
              <w:rPr>
                <w:rFonts w:hint="default" w:ascii="Times New Roman" w:hAnsi="Times New Roman" w:eastAsia="宋体" w:cs="Times New Roman"/>
                <w:kern w:val="0"/>
                <w:sz w:val="24"/>
                <w:szCs w:val="24"/>
              </w:rPr>
            </w:pPr>
          </w:p>
        </w:tc>
        <w:tc>
          <w:tcPr>
            <w:tcW w:w="2727" w:type="dxa"/>
            <w:shd w:val="clear" w:color="auto" w:fill="auto"/>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湖东林场</w:t>
            </w:r>
          </w:p>
        </w:tc>
        <w:tc>
          <w:tcPr>
            <w:tcW w:w="1674" w:type="dxa"/>
            <w:shd w:val="clear" w:color="auto" w:fill="auto"/>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38</w:t>
            </w:r>
          </w:p>
        </w:tc>
        <w:tc>
          <w:tcPr>
            <w:tcW w:w="2194" w:type="dxa"/>
            <w:shd w:val="clear" w:color="auto" w:fill="auto"/>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5" w:type="dxa"/>
            <w:vMerge w:val="continue"/>
            <w:shd w:val="clear" w:color="auto" w:fill="auto"/>
            <w:vAlign w:val="center"/>
          </w:tcPr>
          <w:p>
            <w:pPr>
              <w:jc w:val="center"/>
              <w:rPr>
                <w:rFonts w:hint="default" w:ascii="Times New Roman" w:hAnsi="Times New Roman" w:eastAsia="宋体" w:cs="Times New Roman"/>
                <w:kern w:val="0"/>
                <w:sz w:val="24"/>
                <w:szCs w:val="24"/>
              </w:rPr>
            </w:pPr>
          </w:p>
        </w:tc>
        <w:tc>
          <w:tcPr>
            <w:tcW w:w="2727" w:type="dxa"/>
            <w:shd w:val="clear" w:color="auto" w:fill="auto"/>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东海岸林场</w:t>
            </w:r>
          </w:p>
        </w:tc>
        <w:tc>
          <w:tcPr>
            <w:tcW w:w="1674" w:type="dxa"/>
            <w:shd w:val="clear" w:color="auto" w:fill="auto"/>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150</w:t>
            </w:r>
          </w:p>
        </w:tc>
        <w:tc>
          <w:tcPr>
            <w:tcW w:w="2194" w:type="dxa"/>
            <w:shd w:val="clear" w:color="auto" w:fill="auto"/>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5" w:type="dxa"/>
            <w:vMerge w:val="continue"/>
            <w:shd w:val="clear" w:color="auto" w:fill="auto"/>
            <w:vAlign w:val="center"/>
          </w:tcPr>
          <w:p>
            <w:pPr>
              <w:jc w:val="center"/>
              <w:rPr>
                <w:rFonts w:hint="default" w:ascii="Times New Roman" w:hAnsi="Times New Roman" w:eastAsia="宋体" w:cs="Times New Roman"/>
                <w:kern w:val="0"/>
                <w:sz w:val="24"/>
                <w:szCs w:val="24"/>
              </w:rPr>
            </w:pPr>
          </w:p>
        </w:tc>
        <w:tc>
          <w:tcPr>
            <w:tcW w:w="2727" w:type="dxa"/>
            <w:shd w:val="clear" w:color="auto" w:fill="auto"/>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红岭林场</w:t>
            </w:r>
          </w:p>
        </w:tc>
        <w:tc>
          <w:tcPr>
            <w:tcW w:w="1674" w:type="dxa"/>
            <w:shd w:val="clear" w:color="auto" w:fill="auto"/>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121</w:t>
            </w:r>
          </w:p>
        </w:tc>
        <w:tc>
          <w:tcPr>
            <w:tcW w:w="2194" w:type="dxa"/>
            <w:shd w:val="clear" w:color="auto" w:fill="auto"/>
            <w:vAlign w:val="center"/>
          </w:tcPr>
          <w:p>
            <w:pPr>
              <w:jc w:val="center"/>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5" w:type="dxa"/>
            <w:vMerge w:val="continue"/>
            <w:shd w:val="clear" w:color="auto" w:fill="auto"/>
            <w:vAlign w:val="center"/>
          </w:tcPr>
          <w:p>
            <w:pPr>
              <w:jc w:val="center"/>
              <w:rPr>
                <w:rFonts w:hint="default" w:ascii="Times New Roman" w:hAnsi="Times New Roman" w:eastAsia="宋体" w:cs="Times New Roman"/>
                <w:kern w:val="0"/>
                <w:sz w:val="24"/>
                <w:szCs w:val="24"/>
              </w:rPr>
            </w:pPr>
          </w:p>
        </w:tc>
        <w:tc>
          <w:tcPr>
            <w:tcW w:w="2727" w:type="dxa"/>
            <w:shd w:val="clear" w:color="auto" w:fill="auto"/>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黄羌林场</w:t>
            </w:r>
          </w:p>
        </w:tc>
        <w:tc>
          <w:tcPr>
            <w:tcW w:w="1674" w:type="dxa"/>
            <w:shd w:val="clear" w:color="auto" w:fill="auto"/>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32</w:t>
            </w:r>
          </w:p>
        </w:tc>
        <w:tc>
          <w:tcPr>
            <w:tcW w:w="2194" w:type="dxa"/>
            <w:shd w:val="clear" w:color="auto" w:fill="auto"/>
            <w:vAlign w:val="center"/>
          </w:tcPr>
          <w:p>
            <w:pPr>
              <w:jc w:val="center"/>
              <w:rPr>
                <w:rFonts w:hint="default" w:ascii="Times New Roman" w:hAnsi="Times New Roman" w:eastAsia="宋体" w:cs="Times New Roman"/>
                <w:kern w:val="0"/>
                <w:sz w:val="24"/>
                <w:szCs w:val="24"/>
              </w:rPr>
            </w:pPr>
          </w:p>
        </w:tc>
      </w:tr>
    </w:tbl>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四）指导本地区所属县（市、区）开展森林火灾风险普查工作；负责市属林场的可燃物、野外火源调查工作；协助省级开展森林火灾致灾评估工作；负责本地区普查数据成果审核汇集，形成市级森林火灾风险普查成果。</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（五）加强国有林场森林消防队伍建设。配备风力灭火机、森林消防水泵、灭火水枪等常规装备，加强野外实训基地建设。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（六）加强护林员队伍建设，完善护林防火制度，加强护林员网格化管理，配置巡护摩托车、巡逻车、望远镜、移动巡护仪。</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rPr>
      </w:pPr>
      <w:bookmarkStart w:id="71" w:name="_Toc6209"/>
      <w:bookmarkStart w:id="72" w:name="_Toc78615462"/>
      <w:bookmarkStart w:id="73" w:name="_Toc1543"/>
      <w:r>
        <w:rPr>
          <w:rFonts w:hint="default" w:ascii="Times New Roman" w:hAnsi="Times New Roman" w:eastAsia="黑体" w:cs="Times New Roman"/>
          <w:sz w:val="30"/>
          <w:szCs w:val="30"/>
        </w:rPr>
        <w:t>第八节 林业治理能力与治理体系建设工程</w:t>
      </w:r>
      <w:bookmarkEnd w:id="71"/>
      <w:bookmarkEnd w:id="72"/>
      <w:bookmarkEnd w:id="73"/>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借助数字政府建设成果以及5G、物联网、大数据等新技术，建成集森林资源管护、科学决策、责任制考核、政务服务于一体的高效、共享、智能的综合管理平台，推动全市林业信息化系统互通、数据互通，实现汕尾林业</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一网通管</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建立区域与自然生态系统相结合的市、县（市、区）、乡镇（街道）、村（社区）四级林长体系。市、县（市、区）、乡镇（街道）设立第一林长、林长和副林长，分别由党委、政府主要负责同志和有关负责同志担任。各村（社区）可根据实际情况设立林长和副林长，分别由村（社区）党组织书记、村（居）委会主任和有关委员担任，构建以村级林长、基层监督员、护林员为主体的</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一</w:t>
      </w:r>
      <w:r>
        <w:rPr>
          <w:rFonts w:hint="eastAsia" w:ascii="Times New Roman" w:hAnsi="Times New Roman" w:eastAsia="仿宋_GB2312" w:cs="Times New Roman"/>
          <w:sz w:val="30"/>
          <w:szCs w:val="30"/>
          <w:lang w:val="en-US" w:eastAsia="zh-CN"/>
        </w:rPr>
        <w:t>长</w:t>
      </w:r>
      <w:r>
        <w:rPr>
          <w:rFonts w:hint="default" w:ascii="Times New Roman" w:hAnsi="Times New Roman" w:eastAsia="仿宋_GB2312" w:cs="Times New Roman"/>
          <w:sz w:val="30"/>
          <w:szCs w:val="30"/>
          <w:lang w:val="en-US" w:eastAsia="zh-CN"/>
        </w:rPr>
        <w:t>两员</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森林资源源头管护机制。科学制定林长制工作考核办法，因地制宜合理设置考评指标，每年对各级林长进行考核评价。建立护林员网格化管理体系，实行林区网格化管理。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充分利用卫星、无人机等先进技术手段，加强对森林、湿地以及生态环境保护状况开展动态监测，提升</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智慧林业</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水平。</w:t>
      </w:r>
    </w:p>
    <w:p>
      <w:pPr>
        <w:keepNext w:val="0"/>
        <w:keepLines w:val="0"/>
        <w:pageBreakBefore/>
        <w:widowControl w:val="0"/>
        <w:kinsoku/>
        <w:wordWrap/>
        <w:overflowPunct/>
        <w:topLinePunct w:val="0"/>
        <w:autoSpaceDE/>
        <w:autoSpaceDN/>
        <w:bidi w:val="0"/>
        <w:adjustRightInd w:val="0"/>
        <w:snapToGrid w:val="0"/>
        <w:spacing w:before="312" w:beforeLines="100" w:after="312" w:afterLines="100"/>
        <w:jc w:val="center"/>
        <w:textAlignment w:val="auto"/>
        <w:outlineLvl w:val="0"/>
        <w:rPr>
          <w:rFonts w:hint="default" w:ascii="Times New Roman" w:hAnsi="Times New Roman" w:eastAsia="黑体" w:cs="Times New Roman"/>
          <w:b/>
          <w:sz w:val="32"/>
          <w:szCs w:val="30"/>
        </w:rPr>
      </w:pPr>
      <w:bookmarkStart w:id="74" w:name="_Toc78615463"/>
      <w:bookmarkStart w:id="75" w:name="_Toc3214"/>
      <w:r>
        <w:rPr>
          <w:rFonts w:hint="default" w:ascii="Times New Roman" w:hAnsi="Times New Roman" w:eastAsia="黑体" w:cs="Times New Roman"/>
          <w:b/>
          <w:sz w:val="32"/>
          <w:szCs w:val="30"/>
        </w:rPr>
        <w:t>第五章 保障措施</w:t>
      </w:r>
      <w:bookmarkEnd w:id="74"/>
      <w:bookmarkEnd w:id="75"/>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rPr>
      </w:pPr>
      <w:bookmarkStart w:id="76" w:name="_Toc78615464"/>
      <w:bookmarkStart w:id="77" w:name="_Toc4849"/>
      <w:r>
        <w:rPr>
          <w:rFonts w:hint="default" w:ascii="Times New Roman" w:hAnsi="Times New Roman" w:eastAsia="黑体" w:cs="Times New Roman"/>
          <w:sz w:val="30"/>
          <w:szCs w:val="30"/>
        </w:rPr>
        <w:t>第一节 加强组织领导</w:t>
      </w:r>
      <w:bookmarkEnd w:id="76"/>
      <w:bookmarkEnd w:id="77"/>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习近平总书记强调，编制和实施国民经济和社会发展五年规划，是我们党治国理政的重要方式。林业发展是国民经济发展的重要组成部分，是生态文明建设的主体。各级党委、政府要切实加强对林业工作的领导，充分发挥党统揽全局、协调各方的政治优势，统筹山水林田湖草沙系统治理，整合资源、形成合力。对重大事项进行统一部署、综合决策，以钉钉子精神抓好规划落实，久久为功，做到一张蓝图干到底。各县（市、区）林业主管部门及相关部门应充分认识林业在生态文明建设中的重要作用，切实发挥大局意识，各负其责，通力协作，积极支持，群策群力地抓好林业保护发展</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十四五</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工作。</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rPr>
      </w:pPr>
      <w:bookmarkStart w:id="78" w:name="_Toc17937"/>
      <w:bookmarkStart w:id="79" w:name="_Toc78615465"/>
      <w:r>
        <w:rPr>
          <w:rFonts w:hint="default" w:ascii="Times New Roman" w:hAnsi="Times New Roman" w:eastAsia="黑体" w:cs="Times New Roman"/>
          <w:sz w:val="30"/>
          <w:szCs w:val="30"/>
        </w:rPr>
        <w:t>第二节 健全实施机制</w:t>
      </w:r>
      <w:bookmarkEnd w:id="78"/>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充分发挥规划对各项林业工作的战略引领作用，推动项目跟着规划走，资金和要素跟着项目走，加大规划实施力度。根据国家和省市相关工作要求，建立规划实施情况动态监测和定期评估制度，加强对规划实施情况进行中期评估和终期考核，结合国民经济社会发展实际和规划中期评估结果，及时调整工作任务和协调解决重大问题，对规划进行合理的动态调整完善，确保规划任务高效落实。</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rPr>
      </w:pPr>
      <w:bookmarkStart w:id="80" w:name="_Toc23876"/>
      <w:r>
        <w:rPr>
          <w:rFonts w:hint="default" w:ascii="Times New Roman" w:hAnsi="Times New Roman" w:eastAsia="黑体" w:cs="Times New Roman"/>
          <w:sz w:val="30"/>
          <w:szCs w:val="30"/>
        </w:rPr>
        <w:t xml:space="preserve">第三节 </w:t>
      </w:r>
      <w:bookmarkEnd w:id="79"/>
      <w:r>
        <w:rPr>
          <w:rFonts w:hint="default" w:ascii="Times New Roman" w:hAnsi="Times New Roman" w:eastAsia="黑体" w:cs="Times New Roman"/>
          <w:sz w:val="30"/>
          <w:szCs w:val="30"/>
        </w:rPr>
        <w:t>强化资金保障</w:t>
      </w:r>
      <w:bookmarkEnd w:id="80"/>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推动建立健全资金保障机制，完善财政扶持林业政策，对森林资源培育、生态保护修复、自然保护地建设等社会公益型项目，要以政府投资为主，鼓励各地积极发挥涉农资金统筹的政策优势，争取加大各级财政对林业投入力度。对国家储备林建设、森林康养、森林旅游、林下经济等项目，要充分发挥市场机制配置资源的基础性作用，完善林业信贷资金扶持政策，探索林业生态产品价值实现途径，创新多元化投融资机制，提高资金使用效益，引导更多社会资本投入林业建设，形成资金合力，强化林业重点工程资金保障，规范资金管理，保障规划落地见效。</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rPr>
      </w:pPr>
      <w:bookmarkStart w:id="81" w:name="_Toc15271"/>
      <w:r>
        <w:rPr>
          <w:rFonts w:hint="default" w:ascii="Times New Roman" w:hAnsi="Times New Roman" w:eastAsia="黑体" w:cs="Times New Roman"/>
          <w:sz w:val="30"/>
          <w:szCs w:val="30"/>
        </w:rPr>
        <w:t>第四节 鼓励全民参与</w:t>
      </w:r>
      <w:bookmarkEnd w:id="81"/>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加大规划宣传，凝聚社会共识，完善规划实施的公众参与和科学决策机制。积极发动、组织引导公众感知并参与林业建设工作，建立和完善公众参与度，涉及群众利益的决策和项目，应充分听取群众的意见。大力开展各类群众性公益活动，扩大生态建设成果共享的覆盖面。</w:t>
      </w:r>
    </w:p>
    <w:p>
      <w:pPr>
        <w:pStyle w:val="2"/>
        <w:rPr>
          <w:rFonts w:hint="default" w:ascii="Times New Roman" w:hAnsi="Times New Roman" w:eastAsia="仿宋_GB2312" w:cs="Times New Roman"/>
          <w:sz w:val="30"/>
          <w:szCs w:val="30"/>
          <w:lang w:val="en-US" w:eastAsia="zh-CN"/>
        </w:rPr>
      </w:pPr>
    </w:p>
    <w:p>
      <w:pPr>
        <w:rPr>
          <w:rFonts w:hint="default" w:ascii="Times New Roman" w:hAnsi="Times New Roman" w:eastAsia="仿宋_GB2312" w:cs="Times New Roman"/>
          <w:sz w:val="30"/>
          <w:szCs w:val="30"/>
          <w:lang w:val="en-US" w:eastAsia="zh-CN"/>
        </w:rPr>
      </w:pPr>
    </w:p>
    <w:p>
      <w:pPr>
        <w:pStyle w:val="2"/>
        <w:rPr>
          <w:rFonts w:hint="default"/>
          <w:lang w:val="en-US" w:eastAsia="zh-CN"/>
        </w:rPr>
      </w:pPr>
    </w:p>
    <w:p>
      <w:pPr>
        <w:keepNext w:val="0"/>
        <w:keepLines w:val="0"/>
        <w:pageBreakBefore/>
        <w:widowControl w:val="0"/>
        <w:kinsoku/>
        <w:wordWrap/>
        <w:overflowPunct/>
        <w:topLinePunct w:val="0"/>
        <w:autoSpaceDE/>
        <w:autoSpaceDN/>
        <w:bidi w:val="0"/>
        <w:adjustRightInd w:val="0"/>
        <w:snapToGrid w:val="0"/>
        <w:spacing w:before="156" w:beforeLines="50" w:after="156" w:afterLines="50"/>
        <w:jc w:val="center"/>
        <w:textAlignment w:val="auto"/>
        <w:outlineLvl w:val="1"/>
        <w:rPr>
          <w:rFonts w:hint="default" w:ascii="Times New Roman" w:hAnsi="Times New Roman" w:eastAsia="黑体" w:cs="Times New Roman"/>
          <w:sz w:val="30"/>
          <w:szCs w:val="30"/>
          <w:lang w:val="en-US" w:eastAsia="zh-CN"/>
        </w:rPr>
      </w:pPr>
      <w:bookmarkStart w:id="82" w:name="_Toc21371"/>
      <w:r>
        <w:rPr>
          <w:rFonts w:hint="eastAsia" w:ascii="Times New Roman" w:hAnsi="Times New Roman" w:eastAsia="黑体" w:cs="Times New Roman"/>
          <w:sz w:val="30"/>
          <w:szCs w:val="30"/>
          <w:lang w:val="en-US" w:eastAsia="zh-CN"/>
        </w:rPr>
        <w:t>《汕尾市林业保护发展“十四五”规划》建设任务清单</w:t>
      </w:r>
      <w:bookmarkEnd w:id="82"/>
    </w:p>
    <w:tbl>
      <w:tblPr>
        <w:tblStyle w:val="15"/>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4071"/>
        <w:gridCol w:w="200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val="0"/>
                <w:sz w:val="24"/>
                <w:szCs w:val="24"/>
                <w:lang w:val="en-US" w:eastAsia="zh-CN"/>
              </w:rPr>
            </w:pPr>
            <w:r>
              <w:rPr>
                <w:rFonts w:hint="eastAsia" w:ascii="Times New Roman" w:hAnsi="Times New Roman" w:eastAsia="仿宋_GB2312" w:cs="Times New Roman"/>
                <w:b/>
                <w:bCs w:val="0"/>
                <w:sz w:val="24"/>
                <w:szCs w:val="24"/>
                <w:lang w:val="en-US" w:eastAsia="zh-CN"/>
              </w:rPr>
              <w:t>序号</w:t>
            </w: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val="0"/>
                <w:sz w:val="24"/>
                <w:szCs w:val="24"/>
                <w:lang w:val="en-US" w:eastAsia="zh-CN"/>
              </w:rPr>
            </w:pPr>
            <w:r>
              <w:rPr>
                <w:rFonts w:hint="eastAsia" w:ascii="Times New Roman" w:hAnsi="Times New Roman" w:eastAsia="仿宋_GB2312" w:cs="Times New Roman"/>
                <w:b/>
                <w:bCs w:val="0"/>
                <w:sz w:val="24"/>
                <w:szCs w:val="24"/>
                <w:lang w:val="en-US" w:eastAsia="zh-CN"/>
              </w:rPr>
              <w:t>工程名称</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val="0"/>
                <w:sz w:val="24"/>
                <w:szCs w:val="24"/>
                <w:lang w:val="en-US" w:eastAsia="zh-CN"/>
              </w:rPr>
            </w:pPr>
            <w:r>
              <w:rPr>
                <w:rFonts w:hint="eastAsia" w:ascii="Times New Roman" w:hAnsi="Times New Roman" w:eastAsia="仿宋_GB2312" w:cs="Times New Roman"/>
                <w:b/>
                <w:bCs w:val="0"/>
                <w:sz w:val="24"/>
                <w:szCs w:val="24"/>
                <w:lang w:val="en-US" w:eastAsia="zh-CN"/>
              </w:rPr>
              <w:t>建设任务</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val="0"/>
                <w:sz w:val="24"/>
                <w:szCs w:val="24"/>
                <w:lang w:val="en-US" w:eastAsia="zh-CN"/>
              </w:rPr>
            </w:pPr>
            <w:r>
              <w:rPr>
                <w:rFonts w:hint="eastAsia" w:ascii="Times New Roman" w:hAnsi="Times New Roman" w:eastAsia="仿宋_GB2312" w:cs="Times New Roman"/>
                <w:b/>
                <w:bCs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bCs w:val="0"/>
                <w:kern w:val="2"/>
                <w:sz w:val="24"/>
                <w:szCs w:val="24"/>
                <w:lang w:val="en-US" w:eastAsia="zh-CN" w:bidi="ar-SA"/>
              </w:rPr>
            </w:pPr>
            <w:r>
              <w:rPr>
                <w:rFonts w:hint="eastAsia" w:ascii="Times New Roman" w:hAnsi="Times New Roman" w:eastAsia="仿宋_GB2312" w:cs="Times New Roman"/>
                <w:b/>
                <w:bCs w:val="0"/>
                <w:sz w:val="24"/>
                <w:szCs w:val="24"/>
                <w:lang w:val="en-US" w:eastAsia="zh-CN"/>
              </w:rPr>
              <w:t>一</w:t>
            </w: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bCs w:val="0"/>
                <w:kern w:val="2"/>
                <w:sz w:val="24"/>
                <w:szCs w:val="24"/>
                <w:lang w:val="en-US" w:eastAsia="zh-CN" w:bidi="ar-SA"/>
              </w:rPr>
            </w:pPr>
            <w:r>
              <w:rPr>
                <w:rFonts w:hint="default" w:ascii="Times New Roman" w:hAnsi="Times New Roman" w:eastAsia="仿宋_GB2312" w:cs="Times New Roman"/>
                <w:b/>
                <w:bCs w:val="0"/>
                <w:sz w:val="24"/>
                <w:szCs w:val="24"/>
                <w:lang w:val="en-US" w:eastAsia="zh-CN"/>
              </w:rPr>
              <w:t>森林质量精准提升工程</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kern w:val="2"/>
                <w:sz w:val="24"/>
                <w:szCs w:val="24"/>
                <w:lang w:val="en-US" w:eastAsia="zh-CN" w:bidi="ar-SA"/>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kern w:val="2"/>
                <w:sz w:val="24"/>
                <w:szCs w:val="24"/>
                <w:lang w:val="en-US" w:eastAsia="zh-CN" w:bidi="ar-SA"/>
              </w:rPr>
            </w:pPr>
            <w:r>
              <w:rPr>
                <w:rFonts w:hint="eastAsia" w:ascii="Times New Roman" w:hAnsi="Times New Roman" w:eastAsia="仿宋_GB2312" w:cs="Times New Roman"/>
                <w:b w:val="0"/>
                <w:bCs/>
                <w:sz w:val="24"/>
                <w:szCs w:val="24"/>
                <w:lang w:val="en-US" w:eastAsia="zh-CN"/>
              </w:rPr>
              <w:t>①高质量水源林建设工程</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238600亩</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省级分解任务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kern w:val="2"/>
                <w:sz w:val="24"/>
                <w:szCs w:val="24"/>
                <w:lang w:val="en-US" w:eastAsia="zh-CN" w:bidi="ar-SA"/>
              </w:rPr>
            </w:pPr>
            <w:r>
              <w:rPr>
                <w:rFonts w:hint="eastAsia" w:ascii="Times New Roman" w:hAnsi="Times New Roman" w:eastAsia="仿宋_GB2312" w:cs="Times New Roman"/>
                <w:b w:val="0"/>
                <w:bCs/>
                <w:sz w:val="24"/>
                <w:szCs w:val="24"/>
                <w:lang w:val="en-US" w:eastAsia="zh-CN"/>
              </w:rPr>
              <w:t>②大径材建设工程</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58333亩</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省级分解任务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bCs w:val="0"/>
                <w:sz w:val="24"/>
                <w:szCs w:val="24"/>
                <w:lang w:val="en-US" w:eastAsia="zh-CN"/>
              </w:rPr>
            </w:pPr>
            <w:r>
              <w:rPr>
                <w:rFonts w:hint="eastAsia" w:ascii="Times New Roman" w:hAnsi="Times New Roman" w:eastAsia="仿宋_GB2312" w:cs="Times New Roman"/>
                <w:b/>
                <w:bCs w:val="0"/>
                <w:sz w:val="24"/>
                <w:szCs w:val="24"/>
                <w:lang w:val="en-US" w:eastAsia="zh-CN"/>
              </w:rPr>
              <w:t>二</w:t>
            </w: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仿宋_GB2312" w:cs="Times New Roman"/>
                <w:b/>
                <w:bCs w:val="0"/>
                <w:sz w:val="24"/>
                <w:szCs w:val="24"/>
                <w:lang w:val="en-US" w:eastAsia="zh-CN"/>
              </w:rPr>
            </w:pPr>
            <w:r>
              <w:rPr>
                <w:rFonts w:hint="eastAsia" w:ascii="Times New Roman" w:hAnsi="Times New Roman" w:eastAsia="仿宋_GB2312" w:cs="Times New Roman"/>
                <w:b/>
                <w:bCs w:val="0"/>
                <w:sz w:val="24"/>
                <w:szCs w:val="24"/>
                <w:lang w:val="en-US" w:eastAsia="zh-CN"/>
              </w:rPr>
              <w:t>自然生态系统保护修复工程</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①</w:t>
            </w:r>
            <w:r>
              <w:rPr>
                <w:rFonts w:hint="default" w:ascii="Times New Roman" w:hAnsi="Times New Roman" w:eastAsia="仿宋_GB2312" w:cs="Times New Roman"/>
                <w:b w:val="0"/>
                <w:bCs/>
                <w:sz w:val="24"/>
                <w:szCs w:val="24"/>
                <w:lang w:val="en-US" w:eastAsia="zh-CN"/>
              </w:rPr>
              <w:t>天然林修复工程</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2100亩</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省级分解任务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②</w:t>
            </w:r>
            <w:r>
              <w:rPr>
                <w:rFonts w:hint="default" w:ascii="Times New Roman" w:hAnsi="Times New Roman" w:eastAsia="仿宋_GB2312" w:cs="Times New Roman"/>
                <w:b w:val="0"/>
                <w:bCs/>
                <w:sz w:val="24"/>
                <w:szCs w:val="24"/>
                <w:lang w:val="en-US" w:eastAsia="zh-CN"/>
              </w:rPr>
              <w:t>生态公益林示范区建设工程</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i w:val="0"/>
                <w:iCs w:val="0"/>
                <w:sz w:val="24"/>
                <w:szCs w:val="24"/>
                <w:lang w:val="en-US" w:eastAsia="zh-CN"/>
              </w:rPr>
            </w:pPr>
            <w:r>
              <w:rPr>
                <w:rFonts w:hint="eastAsia" w:ascii="Times New Roman" w:hAnsi="Times New Roman" w:eastAsia="仿宋_GB2312" w:cs="Times New Roman"/>
                <w:b w:val="0"/>
                <w:bCs/>
                <w:i w:val="0"/>
                <w:iCs w:val="0"/>
                <w:sz w:val="24"/>
                <w:szCs w:val="24"/>
                <w:lang w:val="en-US" w:eastAsia="zh-CN"/>
              </w:rPr>
              <w:t>2个</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i w:val="0"/>
                <w:iCs w:val="0"/>
                <w:sz w:val="24"/>
                <w:szCs w:val="24"/>
                <w:lang w:val="en-US" w:eastAsia="zh-CN"/>
              </w:rPr>
            </w:pPr>
            <w:r>
              <w:rPr>
                <w:rFonts w:hint="eastAsia" w:ascii="Times New Roman" w:hAnsi="Times New Roman" w:eastAsia="仿宋_GB2312" w:cs="Times New Roman"/>
                <w:b w:val="0"/>
                <w:bCs/>
                <w:i w:val="0"/>
                <w:iCs w:val="0"/>
                <w:sz w:val="24"/>
                <w:szCs w:val="24"/>
                <w:lang w:val="en-US" w:eastAsia="zh-CN"/>
              </w:rPr>
              <w:t>本市建设项目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③</w:t>
            </w:r>
            <w:r>
              <w:rPr>
                <w:rFonts w:hint="default" w:ascii="Times New Roman" w:hAnsi="Times New Roman" w:eastAsia="仿宋_GB2312" w:cs="Times New Roman"/>
                <w:b w:val="0"/>
                <w:bCs/>
                <w:sz w:val="24"/>
                <w:szCs w:val="24"/>
                <w:lang w:val="en-US" w:eastAsia="zh-CN"/>
              </w:rPr>
              <w:t>红树林造林工程</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7050亩</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省级分解任务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④</w:t>
            </w:r>
            <w:r>
              <w:rPr>
                <w:rFonts w:hint="default" w:ascii="Times New Roman" w:hAnsi="Times New Roman" w:eastAsia="仿宋_GB2312" w:cs="Times New Roman"/>
                <w:b w:val="0"/>
                <w:bCs/>
                <w:sz w:val="24"/>
                <w:szCs w:val="24"/>
                <w:lang w:val="en-US" w:eastAsia="zh-CN"/>
              </w:rPr>
              <w:t>红树林修复工程</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720亩</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省级分解任务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⑤</w:t>
            </w:r>
            <w:r>
              <w:rPr>
                <w:rFonts w:hint="default" w:ascii="Times New Roman" w:hAnsi="Times New Roman" w:eastAsia="仿宋_GB2312" w:cs="Times New Roman"/>
                <w:b w:val="0"/>
                <w:bCs/>
                <w:sz w:val="24"/>
                <w:szCs w:val="24"/>
                <w:lang w:val="en-US" w:eastAsia="zh-CN"/>
              </w:rPr>
              <w:t>沿海防护林带建设工程</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73200亩</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省级分解任务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⑥</w:t>
            </w:r>
            <w:r>
              <w:rPr>
                <w:rFonts w:hint="default" w:ascii="Times New Roman" w:hAnsi="Times New Roman" w:eastAsia="仿宋_GB2312" w:cs="Times New Roman"/>
                <w:b w:val="0"/>
                <w:bCs/>
                <w:sz w:val="24"/>
                <w:szCs w:val="24"/>
                <w:lang w:val="en-US" w:eastAsia="zh-CN"/>
              </w:rPr>
              <w:t>湿地生态保护修复（湿地生境改造）工程</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2250亩</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w:t>
            </w:r>
            <w:r>
              <w:rPr>
                <w:rFonts w:hint="default" w:ascii="Times New Roman" w:hAnsi="Times New Roman" w:eastAsia="仿宋_GB2312" w:cs="Times New Roman"/>
                <w:b w:val="0"/>
                <w:bCs/>
                <w:sz w:val="24"/>
                <w:szCs w:val="24"/>
                <w:lang w:val="en-US" w:eastAsia="zh-CN"/>
              </w:rPr>
              <w:t>创森三年行动计划</w:t>
            </w:r>
            <w:r>
              <w:rPr>
                <w:rFonts w:hint="eastAsia" w:ascii="Times New Roman" w:hAnsi="Times New Roman" w:eastAsia="仿宋_GB2312" w:cs="Times New Roman"/>
                <w:b w:val="0"/>
                <w:bCs/>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bCs w:val="0"/>
                <w:sz w:val="24"/>
                <w:szCs w:val="24"/>
                <w:lang w:val="en-US" w:eastAsia="zh-CN"/>
              </w:rPr>
            </w:pPr>
            <w:r>
              <w:rPr>
                <w:rFonts w:hint="eastAsia" w:ascii="Times New Roman" w:hAnsi="Times New Roman" w:eastAsia="仿宋_GB2312" w:cs="Times New Roman"/>
                <w:b/>
                <w:bCs w:val="0"/>
                <w:sz w:val="24"/>
                <w:szCs w:val="24"/>
                <w:lang w:val="en-US" w:eastAsia="zh-CN"/>
              </w:rPr>
              <w:t>三</w:t>
            </w: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仿宋_GB2312" w:cs="Times New Roman"/>
                <w:b/>
                <w:bCs w:val="0"/>
                <w:sz w:val="24"/>
                <w:szCs w:val="24"/>
                <w:lang w:val="en-US" w:eastAsia="zh-CN"/>
              </w:rPr>
            </w:pPr>
            <w:r>
              <w:rPr>
                <w:rFonts w:hint="default" w:ascii="Times New Roman" w:hAnsi="Times New Roman" w:eastAsia="仿宋_GB2312" w:cs="Times New Roman"/>
                <w:b/>
                <w:bCs w:val="0"/>
                <w:sz w:val="24"/>
                <w:szCs w:val="24"/>
                <w:lang w:val="en-US" w:eastAsia="zh-CN"/>
              </w:rPr>
              <w:t>自然保护地体系完善工程</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①</w:t>
            </w:r>
            <w:r>
              <w:rPr>
                <w:rFonts w:hint="default" w:ascii="Times New Roman" w:hAnsi="Times New Roman" w:eastAsia="仿宋_GB2312" w:cs="Times New Roman"/>
                <w:b w:val="0"/>
                <w:bCs/>
                <w:sz w:val="24"/>
                <w:szCs w:val="24"/>
                <w:lang w:val="en-US" w:eastAsia="zh-CN"/>
              </w:rPr>
              <w:t>勘界立标</w:t>
            </w:r>
            <w:r>
              <w:rPr>
                <w:rFonts w:hint="eastAsia" w:ascii="Times New Roman" w:hAnsi="Times New Roman" w:eastAsia="仿宋_GB2312" w:cs="Times New Roman"/>
                <w:b w:val="0"/>
                <w:bCs/>
                <w:sz w:val="24"/>
                <w:szCs w:val="24"/>
                <w:lang w:val="en-US" w:eastAsia="zh-CN"/>
              </w:rPr>
              <w:t>工程</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26</w:t>
            </w:r>
            <w:r>
              <w:rPr>
                <w:rFonts w:hint="default" w:ascii="Times New Roman" w:hAnsi="Times New Roman" w:eastAsia="宋体" w:cs="Times New Roman"/>
                <w:kern w:val="0"/>
                <w:sz w:val="24"/>
                <w:szCs w:val="24"/>
                <w:lang w:val="en-US" w:eastAsia="zh-CN"/>
              </w:rPr>
              <w:t>个</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国家及省的相关文件要求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②</w:t>
            </w:r>
            <w:r>
              <w:rPr>
                <w:rFonts w:hint="default" w:ascii="Times New Roman" w:hAnsi="Times New Roman" w:eastAsia="仿宋_GB2312" w:cs="Times New Roman"/>
                <w:b w:val="0"/>
                <w:bCs/>
                <w:sz w:val="24"/>
                <w:szCs w:val="24"/>
                <w:lang w:val="en-US" w:eastAsia="zh-CN"/>
              </w:rPr>
              <w:t>科学考察（本底资源调查）</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26</w:t>
            </w:r>
            <w:r>
              <w:rPr>
                <w:rFonts w:hint="default" w:ascii="Times New Roman" w:hAnsi="Times New Roman" w:eastAsia="宋体" w:cs="Times New Roman"/>
                <w:kern w:val="0"/>
                <w:sz w:val="24"/>
                <w:szCs w:val="24"/>
                <w:lang w:val="en-US" w:eastAsia="zh-CN"/>
              </w:rPr>
              <w:t>个</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国家及省的相关文件要求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③</w:t>
            </w:r>
            <w:r>
              <w:rPr>
                <w:rFonts w:hint="default" w:ascii="Times New Roman" w:hAnsi="Times New Roman" w:eastAsia="仿宋_GB2312" w:cs="Times New Roman"/>
                <w:b w:val="0"/>
                <w:bCs/>
                <w:sz w:val="24"/>
                <w:szCs w:val="24"/>
                <w:lang w:val="en-US" w:eastAsia="zh-CN"/>
              </w:rPr>
              <w:t>总体规划</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26</w:t>
            </w:r>
            <w:r>
              <w:rPr>
                <w:rFonts w:hint="default" w:ascii="Times New Roman" w:hAnsi="Times New Roman" w:eastAsia="宋体" w:cs="Times New Roman"/>
                <w:kern w:val="0"/>
                <w:sz w:val="24"/>
                <w:szCs w:val="24"/>
                <w:lang w:val="en-US" w:eastAsia="zh-CN"/>
              </w:rPr>
              <w:t>个</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国家及省的相关文件要求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bCs w:val="0"/>
                <w:sz w:val="24"/>
                <w:szCs w:val="24"/>
                <w:lang w:val="en-US" w:eastAsia="zh-CN"/>
              </w:rPr>
            </w:pPr>
            <w:r>
              <w:rPr>
                <w:rFonts w:hint="default" w:ascii="Times New Roman" w:hAnsi="Times New Roman" w:eastAsia="仿宋_GB2312" w:cs="Times New Roman"/>
                <w:b/>
                <w:bCs w:val="0"/>
                <w:sz w:val="24"/>
                <w:szCs w:val="24"/>
                <w:lang w:val="en-US" w:eastAsia="zh-CN"/>
              </w:rPr>
              <w:t>四</w:t>
            </w: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仿宋_GB2312" w:cs="Times New Roman"/>
                <w:b/>
                <w:bCs w:val="0"/>
                <w:sz w:val="24"/>
                <w:szCs w:val="24"/>
                <w:lang w:val="en-US" w:eastAsia="zh-CN"/>
              </w:rPr>
            </w:pPr>
            <w:r>
              <w:rPr>
                <w:rFonts w:hint="default" w:ascii="Times New Roman" w:hAnsi="Times New Roman" w:eastAsia="仿宋_GB2312" w:cs="Times New Roman"/>
                <w:b/>
                <w:bCs w:val="0"/>
                <w:sz w:val="24"/>
                <w:szCs w:val="24"/>
                <w:lang w:val="en-US" w:eastAsia="zh-CN"/>
              </w:rPr>
              <w:t>全域森林城市建设工程任务</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①</w:t>
            </w:r>
            <w:r>
              <w:rPr>
                <w:rFonts w:hint="default" w:ascii="Times New Roman" w:hAnsi="Times New Roman" w:eastAsia="仿宋_GB2312" w:cs="Times New Roman"/>
                <w:b w:val="0"/>
                <w:bCs/>
                <w:sz w:val="24"/>
                <w:szCs w:val="24"/>
                <w:lang w:val="en-US" w:eastAsia="zh-CN"/>
              </w:rPr>
              <w:t>县级国家森林城市建设工程</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2个</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w:t>
            </w:r>
            <w:r>
              <w:rPr>
                <w:rFonts w:hint="default" w:ascii="Times New Roman" w:hAnsi="Times New Roman" w:eastAsia="仿宋_GB2312" w:cs="Times New Roman"/>
                <w:b w:val="0"/>
                <w:bCs/>
                <w:sz w:val="24"/>
                <w:szCs w:val="24"/>
                <w:lang w:val="en-US" w:eastAsia="zh-CN"/>
              </w:rPr>
              <w:t>创森三年行动计划</w:t>
            </w:r>
            <w:r>
              <w:rPr>
                <w:rFonts w:hint="eastAsia" w:ascii="Times New Roman" w:hAnsi="Times New Roman" w:eastAsia="仿宋_GB2312" w:cs="Times New Roman"/>
                <w:b w:val="0"/>
                <w:bCs/>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②</w:t>
            </w:r>
            <w:r>
              <w:rPr>
                <w:rFonts w:hint="default" w:ascii="Times New Roman" w:hAnsi="Times New Roman" w:eastAsia="仿宋_GB2312" w:cs="Times New Roman"/>
                <w:b w:val="0"/>
                <w:bCs/>
                <w:sz w:val="24"/>
                <w:szCs w:val="24"/>
                <w:lang w:val="en-US" w:eastAsia="zh-CN"/>
              </w:rPr>
              <w:t>广东省森林小镇建设工程</w:t>
            </w:r>
          </w:p>
        </w:tc>
        <w:tc>
          <w:tcPr>
            <w:tcW w:w="2009" w:type="dxa"/>
            <w:vAlign w:val="center"/>
          </w:tcPr>
          <w:p>
            <w:pPr>
              <w:jc w:val="center"/>
              <w:rPr>
                <w:rFonts w:hint="eastAsia"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3</w:t>
            </w:r>
            <w:r>
              <w:rPr>
                <w:rFonts w:hint="eastAsia" w:ascii="Times New Roman" w:hAnsi="Times New Roman" w:eastAsia="仿宋_GB2312" w:cs="Times New Roman"/>
                <w:b w:val="0"/>
                <w:bCs/>
                <w:sz w:val="24"/>
                <w:szCs w:val="24"/>
                <w:lang w:val="en-US" w:eastAsia="zh-CN"/>
              </w:rPr>
              <w:t>个</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w:t>
            </w:r>
            <w:r>
              <w:rPr>
                <w:rFonts w:hint="default" w:ascii="Times New Roman" w:hAnsi="Times New Roman" w:eastAsia="仿宋_GB2312" w:cs="Times New Roman"/>
                <w:b w:val="0"/>
                <w:bCs/>
                <w:sz w:val="24"/>
                <w:szCs w:val="24"/>
                <w:lang w:val="en-US" w:eastAsia="zh-CN"/>
              </w:rPr>
              <w:t>创森三年行动计划</w:t>
            </w:r>
            <w:r>
              <w:rPr>
                <w:rFonts w:hint="eastAsia" w:ascii="Times New Roman" w:hAnsi="Times New Roman" w:eastAsia="仿宋_GB2312" w:cs="Times New Roman"/>
                <w:b w:val="0"/>
                <w:bCs/>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③</w:t>
            </w:r>
            <w:r>
              <w:rPr>
                <w:rFonts w:hint="default" w:ascii="Times New Roman" w:hAnsi="Times New Roman" w:eastAsia="仿宋_GB2312" w:cs="Times New Roman"/>
                <w:b w:val="0"/>
                <w:bCs/>
                <w:sz w:val="24"/>
                <w:szCs w:val="24"/>
                <w:lang w:val="en-US" w:eastAsia="zh-CN"/>
              </w:rPr>
              <w:t>绿美古树乡村建设工程</w:t>
            </w:r>
          </w:p>
        </w:tc>
        <w:tc>
          <w:tcPr>
            <w:tcW w:w="2009" w:type="dxa"/>
            <w:vAlign w:val="center"/>
          </w:tcPr>
          <w:p>
            <w:pPr>
              <w:jc w:val="center"/>
              <w:rPr>
                <w:rFonts w:hint="eastAsia"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7</w:t>
            </w:r>
            <w:r>
              <w:rPr>
                <w:rFonts w:hint="eastAsia" w:ascii="Times New Roman" w:hAnsi="Times New Roman" w:eastAsia="仿宋_GB2312" w:cs="Times New Roman"/>
                <w:b w:val="0"/>
                <w:bCs/>
                <w:sz w:val="24"/>
                <w:szCs w:val="24"/>
                <w:lang w:val="en-US" w:eastAsia="zh-CN"/>
              </w:rPr>
              <w:t>个</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w:t>
            </w:r>
            <w:r>
              <w:rPr>
                <w:rFonts w:hint="default" w:ascii="Times New Roman" w:hAnsi="Times New Roman" w:eastAsia="仿宋_GB2312" w:cs="Times New Roman"/>
                <w:b w:val="0"/>
                <w:bCs/>
                <w:sz w:val="24"/>
                <w:szCs w:val="24"/>
                <w:lang w:val="en-US" w:eastAsia="zh-CN"/>
              </w:rPr>
              <w:t>创森三年行动计划</w:t>
            </w:r>
            <w:r>
              <w:rPr>
                <w:rFonts w:hint="eastAsia" w:ascii="Times New Roman" w:hAnsi="Times New Roman" w:eastAsia="仿宋_GB2312" w:cs="Times New Roman"/>
                <w:b w:val="0"/>
                <w:bCs/>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④</w:t>
            </w:r>
            <w:r>
              <w:rPr>
                <w:rFonts w:hint="default" w:ascii="Times New Roman" w:hAnsi="Times New Roman" w:eastAsia="仿宋_GB2312" w:cs="Times New Roman"/>
                <w:b w:val="0"/>
                <w:bCs/>
                <w:sz w:val="24"/>
                <w:szCs w:val="24"/>
                <w:lang w:val="en-US" w:eastAsia="zh-CN"/>
              </w:rPr>
              <w:t>绿美红色乡村建设工程</w:t>
            </w:r>
          </w:p>
        </w:tc>
        <w:tc>
          <w:tcPr>
            <w:tcW w:w="2009" w:type="dxa"/>
            <w:vAlign w:val="center"/>
          </w:tcPr>
          <w:p>
            <w:pPr>
              <w:jc w:val="center"/>
              <w:rPr>
                <w:rFonts w:hint="eastAsia"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60</w:t>
            </w:r>
            <w:r>
              <w:rPr>
                <w:rFonts w:hint="eastAsia" w:ascii="Times New Roman" w:hAnsi="Times New Roman" w:eastAsia="仿宋_GB2312" w:cs="Times New Roman"/>
                <w:b w:val="0"/>
                <w:bCs/>
                <w:sz w:val="24"/>
                <w:szCs w:val="24"/>
                <w:lang w:val="en-US" w:eastAsia="zh-CN"/>
              </w:rPr>
              <w:t>个</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w:t>
            </w:r>
            <w:r>
              <w:rPr>
                <w:rFonts w:hint="default" w:ascii="Times New Roman" w:hAnsi="Times New Roman" w:eastAsia="仿宋_GB2312" w:cs="Times New Roman"/>
                <w:b w:val="0"/>
                <w:bCs/>
                <w:sz w:val="24"/>
                <w:szCs w:val="24"/>
                <w:lang w:val="en-US" w:eastAsia="zh-CN"/>
              </w:rPr>
              <w:t>创森三年行动计划</w:t>
            </w:r>
            <w:r>
              <w:rPr>
                <w:rFonts w:hint="eastAsia" w:ascii="Times New Roman" w:hAnsi="Times New Roman" w:eastAsia="仿宋_GB2312" w:cs="Times New Roman"/>
                <w:b w:val="0"/>
                <w:bCs/>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⑤</w:t>
            </w:r>
            <w:r>
              <w:rPr>
                <w:rFonts w:hint="default" w:ascii="Times New Roman" w:hAnsi="Times New Roman" w:eastAsia="仿宋_GB2312" w:cs="Times New Roman"/>
                <w:b w:val="0"/>
                <w:bCs/>
                <w:sz w:val="24"/>
                <w:szCs w:val="24"/>
                <w:lang w:val="en-US" w:eastAsia="zh-CN"/>
              </w:rPr>
              <w:t>省级森林乡村建设工程</w:t>
            </w:r>
          </w:p>
        </w:tc>
        <w:tc>
          <w:tcPr>
            <w:tcW w:w="2009" w:type="dxa"/>
            <w:vAlign w:val="center"/>
          </w:tcPr>
          <w:p>
            <w:pPr>
              <w:jc w:val="center"/>
              <w:rPr>
                <w:rFonts w:hint="eastAsia"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8</w:t>
            </w:r>
            <w:r>
              <w:rPr>
                <w:rFonts w:hint="eastAsia" w:ascii="Times New Roman" w:hAnsi="Times New Roman" w:eastAsia="仿宋_GB2312" w:cs="Times New Roman"/>
                <w:b w:val="0"/>
                <w:bCs/>
                <w:sz w:val="24"/>
                <w:szCs w:val="24"/>
                <w:lang w:val="en-US" w:eastAsia="zh-CN"/>
              </w:rPr>
              <w:t>个</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w:t>
            </w:r>
            <w:r>
              <w:rPr>
                <w:rFonts w:hint="default" w:ascii="Times New Roman" w:hAnsi="Times New Roman" w:eastAsia="仿宋_GB2312" w:cs="Times New Roman"/>
                <w:b w:val="0"/>
                <w:bCs/>
                <w:sz w:val="24"/>
                <w:szCs w:val="24"/>
                <w:lang w:val="en-US" w:eastAsia="zh-CN"/>
              </w:rPr>
              <w:t>创森三年行动计划</w:t>
            </w:r>
            <w:r>
              <w:rPr>
                <w:rFonts w:hint="eastAsia" w:ascii="Times New Roman" w:hAnsi="Times New Roman" w:eastAsia="仿宋_GB2312" w:cs="Times New Roman"/>
                <w:b w:val="0"/>
                <w:bCs/>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⑥</w:t>
            </w:r>
            <w:r>
              <w:rPr>
                <w:rFonts w:hint="default" w:ascii="Times New Roman" w:hAnsi="Times New Roman" w:eastAsia="仿宋_GB2312" w:cs="Times New Roman"/>
                <w:b w:val="0"/>
                <w:bCs/>
                <w:sz w:val="24"/>
                <w:szCs w:val="24"/>
                <w:lang w:val="en-US" w:eastAsia="zh-CN"/>
              </w:rPr>
              <w:t>森林生态综合示范园建设工程</w:t>
            </w:r>
          </w:p>
        </w:tc>
        <w:tc>
          <w:tcPr>
            <w:tcW w:w="2009" w:type="dxa"/>
            <w:vAlign w:val="center"/>
          </w:tcPr>
          <w:p>
            <w:pPr>
              <w:jc w:val="center"/>
              <w:rPr>
                <w:rFonts w:hint="eastAsia"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1</w:t>
            </w:r>
            <w:r>
              <w:rPr>
                <w:rFonts w:hint="eastAsia" w:ascii="Times New Roman" w:hAnsi="Times New Roman" w:eastAsia="仿宋_GB2312" w:cs="Times New Roman"/>
                <w:b w:val="0"/>
                <w:bCs/>
                <w:sz w:val="24"/>
                <w:szCs w:val="24"/>
                <w:lang w:val="en-US" w:eastAsia="zh-CN"/>
              </w:rPr>
              <w:t>个</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w:t>
            </w:r>
            <w:r>
              <w:rPr>
                <w:rFonts w:hint="default" w:ascii="Times New Roman" w:hAnsi="Times New Roman" w:eastAsia="仿宋_GB2312" w:cs="Times New Roman"/>
                <w:b w:val="0"/>
                <w:bCs/>
                <w:sz w:val="24"/>
                <w:szCs w:val="24"/>
                <w:lang w:val="en-US" w:eastAsia="zh-CN"/>
              </w:rPr>
              <w:t>创森三年行动计划</w:t>
            </w:r>
            <w:r>
              <w:rPr>
                <w:rFonts w:hint="eastAsia" w:ascii="Times New Roman" w:hAnsi="Times New Roman" w:eastAsia="仿宋_GB2312" w:cs="Times New Roman"/>
                <w:b w:val="0"/>
                <w:bCs/>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⑦</w:t>
            </w:r>
            <w:r>
              <w:rPr>
                <w:rFonts w:hint="default" w:ascii="Times New Roman" w:hAnsi="Times New Roman" w:eastAsia="仿宋_GB2312" w:cs="Times New Roman"/>
                <w:b w:val="0"/>
                <w:bCs/>
                <w:sz w:val="24"/>
                <w:szCs w:val="24"/>
                <w:lang w:val="en-US" w:eastAsia="zh-CN"/>
              </w:rPr>
              <w:t>心地绿洲景观工程项目</w:t>
            </w:r>
            <w:r>
              <w:rPr>
                <w:rFonts w:hint="eastAsia" w:ascii="Times New Roman" w:hAnsi="Times New Roman" w:eastAsia="仿宋_GB2312" w:cs="Times New Roman"/>
                <w:b w:val="0"/>
                <w:bCs/>
                <w:sz w:val="24"/>
                <w:szCs w:val="24"/>
                <w:lang w:val="en-US" w:eastAsia="zh-CN"/>
              </w:rPr>
              <w:t>工程</w:t>
            </w:r>
            <w:r>
              <w:rPr>
                <w:rFonts w:hint="default" w:ascii="Times New Roman" w:hAnsi="Times New Roman" w:eastAsia="仿宋_GB2312" w:cs="Times New Roman"/>
                <w:b w:val="0"/>
                <w:bCs/>
                <w:sz w:val="24"/>
                <w:szCs w:val="24"/>
                <w:lang w:val="en-US" w:eastAsia="zh-CN"/>
              </w:rPr>
              <w:t>（汕尾市义务植树项目）</w:t>
            </w:r>
          </w:p>
        </w:tc>
        <w:tc>
          <w:tcPr>
            <w:tcW w:w="2009" w:type="dxa"/>
            <w:vAlign w:val="center"/>
          </w:tcPr>
          <w:p>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14000</w:t>
            </w:r>
            <w:r>
              <w:rPr>
                <w:rFonts w:hint="eastAsia" w:ascii="Times New Roman" w:hAnsi="Times New Roman" w:eastAsia="宋体" w:cs="Times New Roman"/>
                <w:kern w:val="0"/>
                <w:sz w:val="24"/>
                <w:szCs w:val="24"/>
                <w:lang w:val="en-US" w:eastAsia="zh-CN"/>
              </w:rPr>
              <w:t>平方米</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i w:val="0"/>
                <w:iCs w:val="0"/>
                <w:sz w:val="24"/>
                <w:szCs w:val="24"/>
                <w:lang w:val="en-US" w:eastAsia="zh-CN"/>
              </w:rPr>
              <w:t>本市建设项目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⑧</w:t>
            </w:r>
            <w:r>
              <w:rPr>
                <w:rFonts w:hint="default" w:ascii="Times New Roman" w:hAnsi="Times New Roman" w:eastAsia="仿宋_GB2312" w:cs="Times New Roman"/>
                <w:b w:val="0"/>
                <w:bCs/>
                <w:sz w:val="24"/>
                <w:szCs w:val="24"/>
                <w:lang w:val="en-US" w:eastAsia="zh-CN"/>
              </w:rPr>
              <w:t>汕尾金霞光森林公园建设工程</w:t>
            </w:r>
          </w:p>
        </w:tc>
        <w:tc>
          <w:tcPr>
            <w:tcW w:w="2009" w:type="dxa"/>
            <w:vAlign w:val="center"/>
          </w:tcPr>
          <w:p>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5670</w:t>
            </w:r>
            <w:r>
              <w:rPr>
                <w:rFonts w:hint="eastAsia" w:ascii="Times New Roman" w:hAnsi="Times New Roman" w:eastAsia="宋体" w:cs="Times New Roman"/>
                <w:kern w:val="0"/>
                <w:sz w:val="24"/>
                <w:szCs w:val="24"/>
                <w:lang w:val="en-US" w:eastAsia="zh-CN"/>
              </w:rPr>
              <w:t>亩</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i w:val="0"/>
                <w:iCs w:val="0"/>
                <w:sz w:val="24"/>
                <w:szCs w:val="24"/>
                <w:lang w:val="en-US" w:eastAsia="zh-CN"/>
              </w:rPr>
              <w:t>本市建设项目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bCs w:val="0"/>
                <w:sz w:val="24"/>
                <w:szCs w:val="24"/>
                <w:lang w:val="en-US" w:eastAsia="zh-CN"/>
              </w:rPr>
            </w:pPr>
            <w:r>
              <w:rPr>
                <w:rFonts w:hint="eastAsia" w:ascii="Times New Roman" w:hAnsi="Times New Roman" w:eastAsia="仿宋_GB2312" w:cs="Times New Roman"/>
                <w:b/>
                <w:bCs w:val="0"/>
                <w:sz w:val="24"/>
                <w:szCs w:val="24"/>
                <w:lang w:val="en-US" w:eastAsia="zh-CN"/>
              </w:rPr>
              <w:t>五</w:t>
            </w: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仿宋_GB2312" w:cs="Times New Roman"/>
                <w:b/>
                <w:bCs w:val="0"/>
                <w:sz w:val="24"/>
                <w:szCs w:val="24"/>
                <w:lang w:val="en-US" w:eastAsia="zh-CN"/>
              </w:rPr>
            </w:pPr>
            <w:r>
              <w:rPr>
                <w:rFonts w:hint="default" w:ascii="Times New Roman" w:hAnsi="Times New Roman" w:eastAsia="仿宋_GB2312" w:cs="Times New Roman"/>
                <w:b/>
                <w:bCs w:val="0"/>
                <w:sz w:val="24"/>
                <w:szCs w:val="24"/>
                <w:lang w:val="en-US" w:eastAsia="zh-CN"/>
              </w:rPr>
              <w:t>绿色富民产业发展工程</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①</w:t>
            </w:r>
            <w:r>
              <w:rPr>
                <w:rFonts w:hint="default" w:ascii="Times New Roman" w:hAnsi="Times New Roman" w:eastAsia="仿宋_GB2312" w:cs="Times New Roman"/>
                <w:b w:val="0"/>
                <w:bCs/>
                <w:sz w:val="24"/>
                <w:szCs w:val="24"/>
                <w:lang w:val="en-US" w:eastAsia="zh-CN"/>
              </w:rPr>
              <w:t>省级特色经济林示范基地建设</w:t>
            </w:r>
            <w:r>
              <w:rPr>
                <w:rFonts w:hint="eastAsia" w:ascii="Times New Roman" w:hAnsi="Times New Roman" w:eastAsia="仿宋_GB2312" w:cs="Times New Roman"/>
                <w:b w:val="0"/>
                <w:bCs/>
                <w:sz w:val="24"/>
                <w:szCs w:val="24"/>
                <w:lang w:val="en-US" w:eastAsia="zh-CN"/>
              </w:rPr>
              <w:t>工程</w:t>
            </w:r>
          </w:p>
        </w:tc>
        <w:tc>
          <w:tcPr>
            <w:tcW w:w="2009" w:type="dxa"/>
            <w:vAlign w:val="center"/>
          </w:tcPr>
          <w:p>
            <w:pPr>
              <w:jc w:val="center"/>
              <w:rPr>
                <w:rFonts w:hint="eastAsia"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1个</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i w:val="0"/>
                <w:iCs w:val="0"/>
                <w:sz w:val="24"/>
                <w:szCs w:val="24"/>
                <w:lang w:val="en-US" w:eastAsia="zh-CN"/>
              </w:rPr>
              <w:t>本市建设项目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②</w:t>
            </w:r>
            <w:r>
              <w:rPr>
                <w:rFonts w:hint="default" w:ascii="Times New Roman" w:hAnsi="Times New Roman" w:eastAsia="仿宋_GB2312" w:cs="Times New Roman"/>
                <w:b w:val="0"/>
                <w:bCs/>
                <w:sz w:val="24"/>
                <w:szCs w:val="24"/>
                <w:lang w:val="en-US" w:eastAsia="zh-CN"/>
              </w:rPr>
              <w:t>省级林下经济示范基地建设</w:t>
            </w:r>
            <w:r>
              <w:rPr>
                <w:rFonts w:hint="eastAsia" w:ascii="Times New Roman" w:hAnsi="Times New Roman" w:eastAsia="仿宋_GB2312" w:cs="Times New Roman"/>
                <w:b w:val="0"/>
                <w:bCs/>
                <w:sz w:val="24"/>
                <w:szCs w:val="24"/>
                <w:lang w:val="en-US" w:eastAsia="zh-CN"/>
              </w:rPr>
              <w:t>工程</w:t>
            </w:r>
          </w:p>
        </w:tc>
        <w:tc>
          <w:tcPr>
            <w:tcW w:w="2009" w:type="dxa"/>
            <w:vAlign w:val="center"/>
          </w:tcPr>
          <w:p>
            <w:pPr>
              <w:jc w:val="center"/>
              <w:rPr>
                <w:rFonts w:hint="eastAsia"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1个</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i w:val="0"/>
                <w:iCs w:val="0"/>
                <w:sz w:val="24"/>
                <w:szCs w:val="24"/>
                <w:lang w:val="en-US" w:eastAsia="zh-CN"/>
              </w:rPr>
              <w:t>本市建设项目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③</w:t>
            </w:r>
            <w:r>
              <w:rPr>
                <w:rFonts w:hint="default" w:ascii="Times New Roman" w:hAnsi="Times New Roman" w:eastAsia="仿宋_GB2312" w:cs="Times New Roman"/>
                <w:b w:val="0"/>
                <w:bCs/>
                <w:sz w:val="24"/>
                <w:szCs w:val="24"/>
                <w:lang w:val="en-US" w:eastAsia="zh-CN"/>
              </w:rPr>
              <w:t>省级森林康养基地建设</w:t>
            </w:r>
            <w:r>
              <w:rPr>
                <w:rFonts w:hint="eastAsia" w:ascii="Times New Roman" w:hAnsi="Times New Roman" w:eastAsia="仿宋_GB2312" w:cs="Times New Roman"/>
                <w:b w:val="0"/>
                <w:bCs/>
                <w:sz w:val="24"/>
                <w:szCs w:val="24"/>
                <w:lang w:val="en-US" w:eastAsia="zh-CN"/>
              </w:rPr>
              <w:t>工程</w:t>
            </w:r>
          </w:p>
        </w:tc>
        <w:tc>
          <w:tcPr>
            <w:tcW w:w="2009" w:type="dxa"/>
            <w:vAlign w:val="center"/>
          </w:tcPr>
          <w:p>
            <w:pPr>
              <w:jc w:val="center"/>
              <w:rPr>
                <w:rFonts w:hint="eastAsia"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2个</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i w:val="0"/>
                <w:iCs w:val="0"/>
                <w:sz w:val="24"/>
                <w:szCs w:val="24"/>
                <w:lang w:val="en-US" w:eastAsia="zh-CN"/>
              </w:rPr>
              <w:t>本市建设项目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④</w:t>
            </w:r>
            <w:r>
              <w:rPr>
                <w:rFonts w:hint="default" w:ascii="Times New Roman" w:hAnsi="Times New Roman" w:eastAsia="仿宋_GB2312" w:cs="Times New Roman"/>
                <w:b w:val="0"/>
                <w:bCs/>
                <w:sz w:val="24"/>
                <w:szCs w:val="24"/>
                <w:lang w:val="en-US" w:eastAsia="zh-CN"/>
              </w:rPr>
              <w:t>新兴旅游特色线路打造</w:t>
            </w:r>
            <w:r>
              <w:rPr>
                <w:rFonts w:hint="eastAsia" w:ascii="Times New Roman" w:hAnsi="Times New Roman" w:eastAsia="仿宋_GB2312" w:cs="Times New Roman"/>
                <w:b w:val="0"/>
                <w:bCs/>
                <w:sz w:val="24"/>
                <w:szCs w:val="24"/>
                <w:lang w:val="en-US" w:eastAsia="zh-CN"/>
              </w:rPr>
              <w:t>工程</w:t>
            </w:r>
          </w:p>
        </w:tc>
        <w:tc>
          <w:tcPr>
            <w:tcW w:w="2009" w:type="dxa"/>
            <w:vAlign w:val="center"/>
          </w:tcPr>
          <w:p>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5</w:t>
            </w:r>
            <w:r>
              <w:rPr>
                <w:rFonts w:hint="eastAsia" w:ascii="Times New Roman" w:hAnsi="Times New Roman" w:eastAsia="宋体" w:cs="Times New Roman"/>
                <w:kern w:val="0"/>
                <w:sz w:val="24"/>
                <w:szCs w:val="24"/>
                <w:lang w:val="en-US" w:eastAsia="zh-CN"/>
              </w:rPr>
              <w:t>条</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i w:val="0"/>
                <w:iCs w:val="0"/>
                <w:sz w:val="24"/>
                <w:szCs w:val="24"/>
                <w:lang w:val="en-US" w:eastAsia="zh-CN"/>
              </w:rPr>
              <w:t>本市建设项目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⑤</w:t>
            </w:r>
            <w:r>
              <w:rPr>
                <w:rFonts w:hint="default" w:ascii="Times New Roman" w:hAnsi="Times New Roman" w:eastAsia="仿宋_GB2312" w:cs="Times New Roman"/>
                <w:b w:val="0"/>
                <w:bCs/>
                <w:sz w:val="24"/>
                <w:szCs w:val="24"/>
                <w:lang w:val="en-US" w:eastAsia="zh-CN"/>
              </w:rPr>
              <w:t>森林旅游新兴品牌地</w:t>
            </w:r>
            <w:r>
              <w:rPr>
                <w:rFonts w:hint="eastAsia" w:ascii="Times New Roman" w:hAnsi="Times New Roman" w:eastAsia="仿宋_GB2312" w:cs="Times New Roman"/>
                <w:b w:val="0"/>
                <w:bCs/>
                <w:sz w:val="24"/>
                <w:szCs w:val="24"/>
                <w:lang w:val="en-US" w:eastAsia="zh-CN"/>
              </w:rPr>
              <w:t>工程</w:t>
            </w:r>
          </w:p>
        </w:tc>
        <w:tc>
          <w:tcPr>
            <w:tcW w:w="2009" w:type="dxa"/>
            <w:vAlign w:val="center"/>
          </w:tcPr>
          <w:p>
            <w:pPr>
              <w:jc w:val="center"/>
              <w:rPr>
                <w:rFonts w:hint="eastAsia"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2个</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i w:val="0"/>
                <w:iCs w:val="0"/>
                <w:sz w:val="24"/>
                <w:szCs w:val="24"/>
                <w:lang w:val="en-US" w:eastAsia="zh-CN"/>
              </w:rPr>
              <w:t>本市建设项目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bCs w:val="0"/>
                <w:sz w:val="24"/>
                <w:szCs w:val="24"/>
                <w:lang w:val="en-US" w:eastAsia="zh-CN"/>
              </w:rPr>
            </w:pPr>
            <w:r>
              <w:rPr>
                <w:rFonts w:hint="eastAsia" w:ascii="Times New Roman" w:hAnsi="Times New Roman" w:eastAsia="仿宋_GB2312" w:cs="Times New Roman"/>
                <w:b/>
                <w:bCs w:val="0"/>
                <w:sz w:val="24"/>
                <w:szCs w:val="24"/>
                <w:lang w:val="en-US" w:eastAsia="zh-CN"/>
              </w:rPr>
              <w:t>六</w:t>
            </w: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仿宋_GB2312" w:cs="Times New Roman"/>
                <w:b/>
                <w:bCs w:val="0"/>
                <w:sz w:val="24"/>
                <w:szCs w:val="24"/>
                <w:lang w:val="en-US" w:eastAsia="zh-CN"/>
              </w:rPr>
            </w:pPr>
            <w:r>
              <w:rPr>
                <w:rFonts w:hint="eastAsia" w:ascii="Times New Roman" w:hAnsi="Times New Roman" w:eastAsia="仿宋_GB2312" w:cs="Times New Roman"/>
                <w:b/>
                <w:bCs w:val="0"/>
                <w:sz w:val="24"/>
                <w:szCs w:val="24"/>
                <w:lang w:val="en-US" w:eastAsia="zh-CN"/>
              </w:rPr>
              <w:t>林业有害生物防治工程</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①</w:t>
            </w:r>
            <w:r>
              <w:rPr>
                <w:rFonts w:hint="default" w:ascii="Times New Roman" w:hAnsi="Times New Roman" w:eastAsia="仿宋_GB2312" w:cs="Times New Roman"/>
                <w:b w:val="0"/>
                <w:bCs/>
                <w:sz w:val="24"/>
                <w:szCs w:val="24"/>
                <w:lang w:val="en-US" w:eastAsia="zh-CN"/>
              </w:rPr>
              <w:t>松材线虫病防控工程</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default" w:ascii="Times New Roman" w:hAnsi="Times New Roman" w:eastAsia="宋体" w:cs="Times New Roman"/>
                <w:kern w:val="0"/>
                <w:sz w:val="24"/>
                <w:szCs w:val="24"/>
                <w:lang w:val="en-US" w:eastAsia="zh-CN"/>
              </w:rPr>
              <w:t>减少发生面积700</w:t>
            </w:r>
            <w:r>
              <w:rPr>
                <w:rFonts w:hint="eastAsia" w:ascii="Times New Roman" w:hAnsi="Times New Roman" w:eastAsia="宋体" w:cs="Times New Roman"/>
                <w:kern w:val="0"/>
                <w:sz w:val="24"/>
                <w:szCs w:val="24"/>
                <w:lang w:val="en-US" w:eastAsia="zh-CN"/>
              </w:rPr>
              <w:t>亩，</w:t>
            </w:r>
            <w:r>
              <w:rPr>
                <w:rFonts w:hint="default" w:ascii="Times New Roman" w:hAnsi="Times New Roman" w:eastAsia="宋体" w:cs="Times New Roman"/>
                <w:kern w:val="0"/>
                <w:sz w:val="24"/>
                <w:szCs w:val="24"/>
                <w:lang w:val="en-US" w:eastAsia="zh-CN"/>
              </w:rPr>
              <w:t>拔出疫点</w:t>
            </w:r>
            <w:r>
              <w:rPr>
                <w:rFonts w:hint="eastAsia" w:ascii="Times New Roman" w:hAnsi="Times New Roman" w:eastAsia="宋体" w:cs="Times New Roman"/>
                <w:kern w:val="0"/>
                <w:sz w:val="24"/>
                <w:szCs w:val="24"/>
                <w:lang w:val="en-US" w:eastAsia="zh-CN"/>
              </w:rPr>
              <w:t>1个</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省级分解任务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②</w:t>
            </w:r>
            <w:r>
              <w:rPr>
                <w:rFonts w:hint="default" w:ascii="Times New Roman" w:hAnsi="Times New Roman" w:eastAsia="仿宋_GB2312" w:cs="Times New Roman"/>
                <w:b w:val="0"/>
                <w:bCs/>
                <w:sz w:val="24"/>
                <w:szCs w:val="24"/>
                <w:lang w:val="en-US" w:eastAsia="zh-CN"/>
              </w:rPr>
              <w:t>薇甘菊防治工程</w:t>
            </w:r>
            <w:r>
              <w:rPr>
                <w:rFonts w:hint="eastAsia" w:ascii="Times New Roman" w:hAnsi="Times New Roman" w:eastAsia="仿宋_GB2312" w:cs="Times New Roman"/>
                <w:b w:val="0"/>
                <w:bCs/>
                <w:sz w:val="24"/>
                <w:szCs w:val="24"/>
                <w:lang w:val="en-US" w:eastAsia="zh-CN"/>
              </w:rPr>
              <w:t>工程</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default" w:ascii="Times New Roman" w:hAnsi="Times New Roman" w:eastAsia="宋体" w:cs="Times New Roman"/>
                <w:kern w:val="0"/>
                <w:sz w:val="24"/>
                <w:szCs w:val="24"/>
                <w:lang w:val="en-US" w:eastAsia="zh-CN"/>
              </w:rPr>
              <w:t>30000</w:t>
            </w:r>
            <w:r>
              <w:rPr>
                <w:rFonts w:hint="eastAsia" w:ascii="Times New Roman" w:hAnsi="Times New Roman" w:eastAsia="宋体" w:cs="Times New Roman"/>
                <w:kern w:val="0"/>
                <w:sz w:val="24"/>
                <w:szCs w:val="24"/>
                <w:lang w:val="en-US" w:eastAsia="zh-CN"/>
              </w:rPr>
              <w:t>亩</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i w:val="0"/>
                <w:iCs w:val="0"/>
                <w:sz w:val="24"/>
                <w:szCs w:val="24"/>
                <w:lang w:val="en-US" w:eastAsia="zh-CN"/>
              </w:rPr>
              <w:t>本市建设项目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bCs w:val="0"/>
                <w:sz w:val="24"/>
                <w:szCs w:val="24"/>
                <w:lang w:val="en-US" w:eastAsia="zh-CN"/>
              </w:rPr>
            </w:pPr>
            <w:r>
              <w:rPr>
                <w:rFonts w:hint="default" w:ascii="Times New Roman" w:hAnsi="Times New Roman" w:eastAsia="仿宋_GB2312" w:cs="Times New Roman"/>
                <w:b/>
                <w:bCs w:val="0"/>
                <w:sz w:val="24"/>
                <w:szCs w:val="24"/>
                <w:lang w:val="en-US" w:eastAsia="zh-CN"/>
              </w:rPr>
              <w:t>七</w:t>
            </w: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仿宋_GB2312" w:cs="Times New Roman"/>
                <w:b/>
                <w:bCs w:val="0"/>
                <w:sz w:val="24"/>
                <w:szCs w:val="24"/>
                <w:lang w:val="en-US" w:eastAsia="zh-CN"/>
              </w:rPr>
            </w:pPr>
            <w:r>
              <w:rPr>
                <w:rFonts w:hint="default" w:ascii="Times New Roman" w:hAnsi="Times New Roman" w:eastAsia="仿宋_GB2312" w:cs="Times New Roman"/>
                <w:b/>
                <w:bCs w:val="0"/>
                <w:sz w:val="24"/>
                <w:szCs w:val="24"/>
                <w:lang w:val="en-US" w:eastAsia="zh-CN"/>
              </w:rPr>
              <w:t>防火体系建设工程</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①</w:t>
            </w:r>
            <w:r>
              <w:rPr>
                <w:rFonts w:hint="default" w:ascii="Times New Roman" w:hAnsi="Times New Roman" w:eastAsia="仿宋_GB2312" w:cs="Times New Roman"/>
                <w:b w:val="0"/>
                <w:bCs/>
                <w:sz w:val="24"/>
                <w:szCs w:val="24"/>
                <w:lang w:val="en-US" w:eastAsia="zh-CN"/>
              </w:rPr>
              <w:t>瞭望塔建设</w:t>
            </w:r>
            <w:r>
              <w:rPr>
                <w:rFonts w:hint="eastAsia" w:ascii="Times New Roman" w:hAnsi="Times New Roman" w:eastAsia="仿宋_GB2312" w:cs="Times New Roman"/>
                <w:b w:val="0"/>
                <w:bCs/>
                <w:sz w:val="24"/>
                <w:szCs w:val="24"/>
                <w:lang w:val="en-US" w:eastAsia="zh-CN"/>
              </w:rPr>
              <w:t>工程</w:t>
            </w:r>
          </w:p>
        </w:tc>
        <w:tc>
          <w:tcPr>
            <w:tcW w:w="2009" w:type="dxa"/>
            <w:vAlign w:val="center"/>
          </w:tcPr>
          <w:p>
            <w:pPr>
              <w:jc w:val="center"/>
              <w:rPr>
                <w:rFonts w:hint="eastAsia"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26座</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i w:val="0"/>
                <w:iCs w:val="0"/>
                <w:sz w:val="24"/>
                <w:szCs w:val="24"/>
                <w:lang w:val="en-US" w:eastAsia="zh-CN"/>
              </w:rPr>
              <w:t>本市建设项目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②森林消防蓄水池建设工程</w:t>
            </w:r>
          </w:p>
        </w:tc>
        <w:tc>
          <w:tcPr>
            <w:tcW w:w="2009" w:type="dxa"/>
            <w:vAlign w:val="center"/>
          </w:tcPr>
          <w:p>
            <w:pPr>
              <w:jc w:val="center"/>
              <w:rPr>
                <w:rFonts w:hint="eastAsia"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62座</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i w:val="0"/>
                <w:iCs w:val="0"/>
                <w:sz w:val="24"/>
                <w:szCs w:val="24"/>
                <w:lang w:val="en-US" w:eastAsia="zh-CN"/>
              </w:rPr>
              <w:t>本市建设项目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③</w:t>
            </w:r>
            <w:r>
              <w:rPr>
                <w:rFonts w:hint="default" w:ascii="Times New Roman" w:hAnsi="Times New Roman" w:eastAsia="仿宋_GB2312" w:cs="Times New Roman"/>
                <w:b w:val="0"/>
                <w:bCs/>
                <w:sz w:val="24"/>
                <w:szCs w:val="24"/>
                <w:lang w:val="en-US" w:eastAsia="zh-CN"/>
              </w:rPr>
              <w:t>森林防火道路</w:t>
            </w:r>
            <w:r>
              <w:rPr>
                <w:rFonts w:hint="eastAsia" w:ascii="Times New Roman" w:hAnsi="Times New Roman" w:eastAsia="仿宋_GB2312" w:cs="Times New Roman"/>
                <w:b w:val="0"/>
                <w:bCs/>
                <w:sz w:val="24"/>
                <w:szCs w:val="24"/>
                <w:lang w:val="en-US" w:eastAsia="zh-CN"/>
              </w:rPr>
              <w:t>建设工程</w:t>
            </w:r>
            <w:r>
              <w:rPr>
                <w:rFonts w:hint="default" w:ascii="Times New Roman" w:hAnsi="Times New Roman" w:eastAsia="仿宋_GB2312" w:cs="Times New Roman"/>
                <w:b w:val="0"/>
                <w:bCs/>
                <w:sz w:val="24"/>
                <w:szCs w:val="24"/>
                <w:lang w:val="en-US" w:eastAsia="zh-CN"/>
              </w:rPr>
              <w:t>（含防火专用通道和防火简易道路）</w:t>
            </w:r>
          </w:p>
        </w:tc>
        <w:tc>
          <w:tcPr>
            <w:tcW w:w="2009" w:type="dxa"/>
            <w:vAlign w:val="center"/>
          </w:tcPr>
          <w:p>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300</w:t>
            </w:r>
            <w:r>
              <w:rPr>
                <w:rFonts w:hint="eastAsia" w:ascii="Times New Roman" w:hAnsi="Times New Roman" w:eastAsia="宋体" w:cs="Times New Roman"/>
                <w:kern w:val="0"/>
                <w:sz w:val="24"/>
                <w:szCs w:val="24"/>
                <w:lang w:val="en-US" w:eastAsia="zh-CN"/>
              </w:rPr>
              <w:t>千米</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i w:val="0"/>
                <w:iCs w:val="0"/>
                <w:sz w:val="24"/>
                <w:szCs w:val="24"/>
                <w:lang w:val="en-US" w:eastAsia="zh-CN"/>
              </w:rPr>
              <w:t>本市建设项目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④</w:t>
            </w:r>
            <w:r>
              <w:rPr>
                <w:rFonts w:hint="default" w:ascii="Times New Roman" w:hAnsi="Times New Roman" w:eastAsia="仿宋_GB2312" w:cs="Times New Roman"/>
                <w:b w:val="0"/>
                <w:bCs/>
                <w:sz w:val="24"/>
                <w:szCs w:val="24"/>
                <w:lang w:val="en-US" w:eastAsia="zh-CN"/>
              </w:rPr>
              <w:t>防火林带和防火隔离带建设工程（含新建和维护）</w:t>
            </w:r>
          </w:p>
        </w:tc>
        <w:tc>
          <w:tcPr>
            <w:tcW w:w="2009" w:type="dxa"/>
            <w:vAlign w:val="center"/>
          </w:tcPr>
          <w:p>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693</w:t>
            </w:r>
            <w:r>
              <w:rPr>
                <w:rFonts w:hint="eastAsia" w:ascii="Times New Roman" w:hAnsi="Times New Roman" w:eastAsia="宋体" w:cs="Times New Roman"/>
                <w:kern w:val="0"/>
                <w:sz w:val="24"/>
                <w:szCs w:val="24"/>
                <w:lang w:val="en-US" w:eastAsia="zh-CN"/>
              </w:rPr>
              <w:t>千米</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i w:val="0"/>
                <w:iCs w:val="0"/>
                <w:sz w:val="24"/>
                <w:szCs w:val="24"/>
                <w:lang w:val="en-US" w:eastAsia="zh-CN"/>
              </w:rPr>
              <w:t>本市建设项目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bCs w:val="0"/>
                <w:sz w:val="24"/>
                <w:szCs w:val="24"/>
                <w:lang w:val="en-US" w:eastAsia="zh-CN"/>
              </w:rPr>
            </w:pPr>
            <w:r>
              <w:rPr>
                <w:rFonts w:hint="default" w:ascii="Times New Roman" w:hAnsi="Times New Roman" w:eastAsia="仿宋_GB2312" w:cs="Times New Roman"/>
                <w:b/>
                <w:bCs w:val="0"/>
                <w:sz w:val="24"/>
                <w:szCs w:val="24"/>
                <w:lang w:val="en-US" w:eastAsia="zh-CN"/>
              </w:rPr>
              <w:t>八</w:t>
            </w: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仿宋_GB2312" w:cs="Times New Roman"/>
                <w:b/>
                <w:bCs w:val="0"/>
                <w:sz w:val="24"/>
                <w:szCs w:val="24"/>
                <w:lang w:val="en-US" w:eastAsia="zh-CN"/>
              </w:rPr>
            </w:pPr>
            <w:r>
              <w:rPr>
                <w:rFonts w:hint="default" w:ascii="Times New Roman" w:hAnsi="Times New Roman" w:eastAsia="仿宋_GB2312" w:cs="Times New Roman"/>
                <w:b/>
                <w:bCs w:val="0"/>
                <w:sz w:val="24"/>
                <w:szCs w:val="24"/>
                <w:lang w:val="en-US" w:eastAsia="zh-CN"/>
              </w:rPr>
              <w:t>林业治理能力与治理体系建设工程</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①</w:t>
            </w:r>
            <w:r>
              <w:rPr>
                <w:rFonts w:hint="default" w:ascii="Times New Roman" w:hAnsi="Times New Roman" w:eastAsia="仿宋_GB2312" w:cs="Times New Roman"/>
                <w:b w:val="0"/>
                <w:bCs/>
                <w:sz w:val="24"/>
                <w:szCs w:val="24"/>
                <w:lang w:val="en-US" w:eastAsia="zh-CN"/>
              </w:rPr>
              <w:t>林长制组织体系</w:t>
            </w:r>
            <w:r>
              <w:rPr>
                <w:rFonts w:hint="eastAsia" w:ascii="Times New Roman" w:hAnsi="Times New Roman" w:eastAsia="仿宋_GB2312" w:cs="Times New Roman"/>
                <w:b w:val="0"/>
                <w:bCs/>
                <w:sz w:val="24"/>
                <w:szCs w:val="24"/>
                <w:lang w:val="en-US" w:eastAsia="zh-CN"/>
              </w:rPr>
              <w:t>建设工程</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1套</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国家及省的相关文件要求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b w:val="0"/>
                <w:bCs/>
                <w:sz w:val="24"/>
                <w:szCs w:val="24"/>
                <w:lang w:val="en-US" w:eastAsia="zh-CN"/>
              </w:rPr>
            </w:pPr>
          </w:p>
        </w:tc>
        <w:tc>
          <w:tcPr>
            <w:tcW w:w="40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②汕尾市</w:t>
            </w:r>
            <w:r>
              <w:rPr>
                <w:rFonts w:hint="default" w:ascii="Times New Roman" w:hAnsi="Times New Roman" w:eastAsia="仿宋_GB2312" w:cs="Times New Roman"/>
                <w:b w:val="0"/>
                <w:bCs/>
                <w:sz w:val="24"/>
                <w:szCs w:val="24"/>
                <w:lang w:val="en-US" w:eastAsia="zh-CN"/>
              </w:rPr>
              <w:t>智慧</w:t>
            </w:r>
            <w:r>
              <w:rPr>
                <w:rFonts w:hint="eastAsia" w:ascii="Times New Roman" w:hAnsi="Times New Roman" w:eastAsia="仿宋_GB2312" w:cs="Times New Roman"/>
                <w:b w:val="0"/>
                <w:bCs/>
                <w:sz w:val="24"/>
                <w:szCs w:val="24"/>
                <w:lang w:val="en-US" w:eastAsia="zh-CN"/>
              </w:rPr>
              <w:t>林长大数据平台</w:t>
            </w:r>
          </w:p>
        </w:tc>
        <w:tc>
          <w:tcPr>
            <w:tcW w:w="20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sz w:val="24"/>
                <w:szCs w:val="24"/>
                <w:lang w:val="en-US" w:eastAsia="zh-CN"/>
              </w:rPr>
              <w:t>1套</w:t>
            </w:r>
          </w:p>
        </w:tc>
        <w:tc>
          <w:tcPr>
            <w:tcW w:w="17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sz w:val="24"/>
                <w:szCs w:val="24"/>
                <w:lang w:val="en-US" w:eastAsia="zh-CN"/>
              </w:rPr>
            </w:pPr>
            <w:r>
              <w:rPr>
                <w:rFonts w:hint="eastAsia" w:ascii="Times New Roman" w:hAnsi="Times New Roman" w:eastAsia="仿宋_GB2312" w:cs="Times New Roman"/>
                <w:b w:val="0"/>
                <w:bCs/>
                <w:i w:val="0"/>
                <w:iCs w:val="0"/>
                <w:sz w:val="24"/>
                <w:szCs w:val="24"/>
                <w:lang w:val="en-US" w:eastAsia="zh-CN"/>
              </w:rPr>
              <w:t>本市建设项目</w:t>
            </w:r>
          </w:p>
        </w:tc>
      </w:tr>
    </w:tbl>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cs="Times New Roman"/>
          <w:b/>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cs="Times New Roman"/>
          <w:b/>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仿宋_GB2312" w:cs="Times New Roman"/>
          <w:sz w:val="30"/>
          <w:szCs w:val="30"/>
          <w:lang w:val="en-US" w:eastAsia="zh-CN"/>
        </w:rPr>
      </w:pPr>
    </w:p>
    <w:sectPr>
      <w:footerReference r:id="rId5" w:type="default"/>
      <w:pgSz w:w="11906" w:h="16838"/>
      <w:pgMar w:top="1440" w:right="1797" w:bottom="1440" w:left="1797" w:header="851" w:footer="992" w:gutter="0"/>
      <w:pgNumType w:fmt="decimal"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7C9E8E-A701-4B70-BC9E-DCBF838431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5025427-8D5D-4BD9-B4A1-8D9BCD6CB5B4}"/>
  </w:font>
  <w:font w:name="方正仿宋_GB2312">
    <w:panose1 w:val="02000000000000000000"/>
    <w:charset w:val="86"/>
    <w:family w:val="auto"/>
    <w:pitch w:val="default"/>
    <w:sig w:usb0="A00002BF" w:usb1="184F6CFA" w:usb2="00000012" w:usb3="00000000" w:csb0="00040001" w:csb1="00000000"/>
    <w:embedRegular r:id="rId3" w:fontKey="{D3398152-B911-407D-BE93-922AA5A983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sz w:val="22"/>
                              <w:szCs w:val="22"/>
                            </w:rPr>
                            <w:id w:val="191493737"/>
                          </w:sdtPr>
                          <w:sdtEndPr>
                            <w:rPr>
                              <w:rFonts w:ascii="Times New Roman" w:hAnsi="Times New Roman" w:cs="Times New Roman"/>
                              <w:sz w:val="22"/>
                              <w:szCs w:val="22"/>
                            </w:rPr>
                          </w:sdtEndPr>
                          <w:sdtContent>
                            <w:p>
                              <w:pPr>
                                <w:pStyle w:val="9"/>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II</w:t>
                              </w:r>
                              <w:r>
                                <w:rPr>
                                  <w:rFonts w:ascii="Times New Roman" w:hAnsi="Times New Roman" w:cs="Times New Roman"/>
                                  <w:sz w:val="22"/>
                                  <w:szCs w:val="22"/>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rPr>
                        <w:rFonts w:ascii="Times New Roman" w:hAnsi="Times New Roman" w:cs="Times New Roman"/>
                        <w:sz w:val="22"/>
                        <w:szCs w:val="22"/>
                      </w:rPr>
                      <w:id w:val="191493737"/>
                    </w:sdtPr>
                    <w:sdtEndPr>
                      <w:rPr>
                        <w:rFonts w:ascii="Times New Roman" w:hAnsi="Times New Roman" w:cs="Times New Roman"/>
                        <w:sz w:val="22"/>
                        <w:szCs w:val="22"/>
                      </w:rPr>
                    </w:sdtEndPr>
                    <w:sdtContent>
                      <w:p>
                        <w:pPr>
                          <w:pStyle w:val="9"/>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II</w:t>
                        </w:r>
                        <w:r>
                          <w:rPr>
                            <w:rFonts w:ascii="Times New Roman" w:hAnsi="Times New Roman" w:cs="Times New Roman"/>
                            <w:sz w:val="22"/>
                            <w:szCs w:val="22"/>
                          </w:rPr>
                          <w:fldChar w:fldCharType="end"/>
                        </w:r>
                      </w:p>
                    </w:sdtContent>
                  </w:sdt>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sz w:val="22"/>
                              <w:szCs w:val="22"/>
                            </w:rPr>
                            <w:id w:val="-853496962"/>
                          </w:sdtPr>
                          <w:sdtEndPr>
                            <w:rPr>
                              <w:rFonts w:ascii="Times New Roman" w:hAnsi="Times New Roman" w:cs="Times New Roman"/>
                              <w:sz w:val="22"/>
                              <w:szCs w:val="22"/>
                            </w:rPr>
                          </w:sdtEndPr>
                          <w:sdtContent>
                            <w:p>
                              <w:pPr>
                                <w:pStyle w:val="9"/>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1</w:t>
                              </w:r>
                              <w:r>
                                <w:rPr>
                                  <w:rFonts w:ascii="Times New Roman" w:hAnsi="Times New Roman" w:cs="Times New Roman"/>
                                  <w:sz w:val="22"/>
                                  <w:szCs w:val="22"/>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ascii="Times New Roman" w:hAnsi="Times New Roman" w:cs="Times New Roman"/>
                        <w:sz w:val="22"/>
                        <w:szCs w:val="22"/>
                      </w:rPr>
                      <w:id w:val="-853496962"/>
                    </w:sdtPr>
                    <w:sdtEndPr>
                      <w:rPr>
                        <w:rFonts w:ascii="Times New Roman" w:hAnsi="Times New Roman" w:cs="Times New Roman"/>
                        <w:sz w:val="22"/>
                        <w:szCs w:val="22"/>
                      </w:rPr>
                    </w:sdtEndPr>
                    <w:sdtContent>
                      <w:p>
                        <w:pPr>
                          <w:pStyle w:val="9"/>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1</w:t>
                        </w:r>
                        <w:r>
                          <w:rPr>
                            <w:rFonts w:ascii="Times New Roman" w:hAnsi="Times New Roman" w:cs="Times New Roman"/>
                            <w:sz w:val="22"/>
                            <w:szCs w:val="22"/>
                          </w:rPr>
                          <w:fldChar w:fldCharType="end"/>
                        </w:r>
                      </w:p>
                    </w:sdtContent>
                  </w:sdt>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mJkNmUzYjU3ZjA0MDFkMGJjYTY2MTNhOTAwODUifQ=="/>
  </w:docVars>
  <w:rsids>
    <w:rsidRoot w:val="00C2165C"/>
    <w:rsid w:val="00000B21"/>
    <w:rsid w:val="00013B44"/>
    <w:rsid w:val="00014430"/>
    <w:rsid w:val="000155F5"/>
    <w:rsid w:val="0001589E"/>
    <w:rsid w:val="0002647E"/>
    <w:rsid w:val="000267C8"/>
    <w:rsid w:val="000303A6"/>
    <w:rsid w:val="000312E5"/>
    <w:rsid w:val="0003261D"/>
    <w:rsid w:val="0003404A"/>
    <w:rsid w:val="00045587"/>
    <w:rsid w:val="000519A1"/>
    <w:rsid w:val="00060E07"/>
    <w:rsid w:val="00062DD4"/>
    <w:rsid w:val="00064789"/>
    <w:rsid w:val="00065554"/>
    <w:rsid w:val="00066503"/>
    <w:rsid w:val="0007056C"/>
    <w:rsid w:val="00072159"/>
    <w:rsid w:val="0007337E"/>
    <w:rsid w:val="00075812"/>
    <w:rsid w:val="00083950"/>
    <w:rsid w:val="00085317"/>
    <w:rsid w:val="000934CE"/>
    <w:rsid w:val="000A1730"/>
    <w:rsid w:val="000A6727"/>
    <w:rsid w:val="000B1A32"/>
    <w:rsid w:val="000C2404"/>
    <w:rsid w:val="000D3B0E"/>
    <w:rsid w:val="000E03F8"/>
    <w:rsid w:val="000E2494"/>
    <w:rsid w:val="000E5BBD"/>
    <w:rsid w:val="000E7212"/>
    <w:rsid w:val="000E7A65"/>
    <w:rsid w:val="000F34E9"/>
    <w:rsid w:val="000F7487"/>
    <w:rsid w:val="0010103E"/>
    <w:rsid w:val="0010165D"/>
    <w:rsid w:val="0010353E"/>
    <w:rsid w:val="00114A68"/>
    <w:rsid w:val="00123D69"/>
    <w:rsid w:val="00130CBD"/>
    <w:rsid w:val="00133ACB"/>
    <w:rsid w:val="00136734"/>
    <w:rsid w:val="00137C13"/>
    <w:rsid w:val="00141134"/>
    <w:rsid w:val="0014304F"/>
    <w:rsid w:val="00143D7B"/>
    <w:rsid w:val="001553B5"/>
    <w:rsid w:val="00157DD8"/>
    <w:rsid w:val="001605DD"/>
    <w:rsid w:val="00161FAA"/>
    <w:rsid w:val="001634BF"/>
    <w:rsid w:val="00165031"/>
    <w:rsid w:val="00165E3B"/>
    <w:rsid w:val="0016635D"/>
    <w:rsid w:val="001670E7"/>
    <w:rsid w:val="00170669"/>
    <w:rsid w:val="00173E91"/>
    <w:rsid w:val="0017520C"/>
    <w:rsid w:val="00180FF2"/>
    <w:rsid w:val="00182CA7"/>
    <w:rsid w:val="00182ED9"/>
    <w:rsid w:val="001864D5"/>
    <w:rsid w:val="0018735C"/>
    <w:rsid w:val="00191B4F"/>
    <w:rsid w:val="0019494E"/>
    <w:rsid w:val="001978D4"/>
    <w:rsid w:val="001A21EE"/>
    <w:rsid w:val="001A3A23"/>
    <w:rsid w:val="001A3F74"/>
    <w:rsid w:val="001B0B29"/>
    <w:rsid w:val="001C0BD4"/>
    <w:rsid w:val="001C5D9C"/>
    <w:rsid w:val="001C66A8"/>
    <w:rsid w:val="001C7A18"/>
    <w:rsid w:val="001D1D27"/>
    <w:rsid w:val="001D4023"/>
    <w:rsid w:val="001E4F94"/>
    <w:rsid w:val="001E635A"/>
    <w:rsid w:val="001F183B"/>
    <w:rsid w:val="001F1AF8"/>
    <w:rsid w:val="001F2424"/>
    <w:rsid w:val="001F5936"/>
    <w:rsid w:val="002039F3"/>
    <w:rsid w:val="002074EB"/>
    <w:rsid w:val="00212956"/>
    <w:rsid w:val="00213F3C"/>
    <w:rsid w:val="002152A9"/>
    <w:rsid w:val="0022050E"/>
    <w:rsid w:val="00222C3E"/>
    <w:rsid w:val="00225B6E"/>
    <w:rsid w:val="00227843"/>
    <w:rsid w:val="00230D47"/>
    <w:rsid w:val="002321C9"/>
    <w:rsid w:val="00233CBF"/>
    <w:rsid w:val="002343A6"/>
    <w:rsid w:val="00235B17"/>
    <w:rsid w:val="00236FB8"/>
    <w:rsid w:val="0024236E"/>
    <w:rsid w:val="00243B28"/>
    <w:rsid w:val="00244097"/>
    <w:rsid w:val="00246829"/>
    <w:rsid w:val="002501CA"/>
    <w:rsid w:val="0025425D"/>
    <w:rsid w:val="002574C8"/>
    <w:rsid w:val="00260E2D"/>
    <w:rsid w:val="00264A6C"/>
    <w:rsid w:val="002656C4"/>
    <w:rsid w:val="00266D95"/>
    <w:rsid w:val="0027302E"/>
    <w:rsid w:val="002816C0"/>
    <w:rsid w:val="002906C4"/>
    <w:rsid w:val="002938C3"/>
    <w:rsid w:val="002A10F9"/>
    <w:rsid w:val="002A4224"/>
    <w:rsid w:val="002A4C71"/>
    <w:rsid w:val="002A6068"/>
    <w:rsid w:val="002B0F68"/>
    <w:rsid w:val="002C5F7F"/>
    <w:rsid w:val="002D04FF"/>
    <w:rsid w:val="002E5B03"/>
    <w:rsid w:val="002E6187"/>
    <w:rsid w:val="002F3D47"/>
    <w:rsid w:val="002F4AC4"/>
    <w:rsid w:val="002F6765"/>
    <w:rsid w:val="002F7641"/>
    <w:rsid w:val="002F7667"/>
    <w:rsid w:val="00305295"/>
    <w:rsid w:val="00305538"/>
    <w:rsid w:val="00306E0D"/>
    <w:rsid w:val="00316BC7"/>
    <w:rsid w:val="00317430"/>
    <w:rsid w:val="00320AD3"/>
    <w:rsid w:val="00321591"/>
    <w:rsid w:val="00323F7E"/>
    <w:rsid w:val="00325657"/>
    <w:rsid w:val="00326738"/>
    <w:rsid w:val="003278E3"/>
    <w:rsid w:val="00331E87"/>
    <w:rsid w:val="003364E2"/>
    <w:rsid w:val="00336A24"/>
    <w:rsid w:val="0034248A"/>
    <w:rsid w:val="003435AC"/>
    <w:rsid w:val="003461E7"/>
    <w:rsid w:val="003472A5"/>
    <w:rsid w:val="0035030D"/>
    <w:rsid w:val="0035316D"/>
    <w:rsid w:val="003539CE"/>
    <w:rsid w:val="00353D3B"/>
    <w:rsid w:val="00354DFC"/>
    <w:rsid w:val="00356867"/>
    <w:rsid w:val="0035713F"/>
    <w:rsid w:val="00362F11"/>
    <w:rsid w:val="00364652"/>
    <w:rsid w:val="00365AA5"/>
    <w:rsid w:val="00365AC6"/>
    <w:rsid w:val="003743FF"/>
    <w:rsid w:val="003754E9"/>
    <w:rsid w:val="00375573"/>
    <w:rsid w:val="00380FE7"/>
    <w:rsid w:val="003853D6"/>
    <w:rsid w:val="00385FCB"/>
    <w:rsid w:val="0039004E"/>
    <w:rsid w:val="00391242"/>
    <w:rsid w:val="003A4E50"/>
    <w:rsid w:val="003B08D0"/>
    <w:rsid w:val="003B0FD0"/>
    <w:rsid w:val="003B27A3"/>
    <w:rsid w:val="003B5C28"/>
    <w:rsid w:val="003C29D2"/>
    <w:rsid w:val="003C5987"/>
    <w:rsid w:val="003C611A"/>
    <w:rsid w:val="003C6D57"/>
    <w:rsid w:val="003D019A"/>
    <w:rsid w:val="003D6ABD"/>
    <w:rsid w:val="003D6EF3"/>
    <w:rsid w:val="003E05AF"/>
    <w:rsid w:val="003E06DA"/>
    <w:rsid w:val="003E48BC"/>
    <w:rsid w:val="003E5A49"/>
    <w:rsid w:val="003E69C0"/>
    <w:rsid w:val="003E7907"/>
    <w:rsid w:val="003F1409"/>
    <w:rsid w:val="003F1455"/>
    <w:rsid w:val="003F1AAF"/>
    <w:rsid w:val="003F20EF"/>
    <w:rsid w:val="003F2DCC"/>
    <w:rsid w:val="003F2E63"/>
    <w:rsid w:val="003F2F30"/>
    <w:rsid w:val="003F3340"/>
    <w:rsid w:val="003F631B"/>
    <w:rsid w:val="004020B8"/>
    <w:rsid w:val="004048C3"/>
    <w:rsid w:val="00404D78"/>
    <w:rsid w:val="0042005E"/>
    <w:rsid w:val="0042083F"/>
    <w:rsid w:val="00420BA4"/>
    <w:rsid w:val="00421EC9"/>
    <w:rsid w:val="00424B60"/>
    <w:rsid w:val="00425EE6"/>
    <w:rsid w:val="0042657F"/>
    <w:rsid w:val="004319AC"/>
    <w:rsid w:val="00435638"/>
    <w:rsid w:val="0043721C"/>
    <w:rsid w:val="00440134"/>
    <w:rsid w:val="004416BB"/>
    <w:rsid w:val="00441704"/>
    <w:rsid w:val="004503EA"/>
    <w:rsid w:val="0045364F"/>
    <w:rsid w:val="004549AE"/>
    <w:rsid w:val="0046345F"/>
    <w:rsid w:val="00465E77"/>
    <w:rsid w:val="004710DF"/>
    <w:rsid w:val="00471190"/>
    <w:rsid w:val="00471BE3"/>
    <w:rsid w:val="00477882"/>
    <w:rsid w:val="00481BEC"/>
    <w:rsid w:val="00483864"/>
    <w:rsid w:val="004838A4"/>
    <w:rsid w:val="00490ADB"/>
    <w:rsid w:val="00495112"/>
    <w:rsid w:val="004A000C"/>
    <w:rsid w:val="004A0D61"/>
    <w:rsid w:val="004A23B6"/>
    <w:rsid w:val="004A2EA2"/>
    <w:rsid w:val="004A340A"/>
    <w:rsid w:val="004B675F"/>
    <w:rsid w:val="004B7708"/>
    <w:rsid w:val="004C41F5"/>
    <w:rsid w:val="004C58CA"/>
    <w:rsid w:val="004C7085"/>
    <w:rsid w:val="004D170B"/>
    <w:rsid w:val="004D2165"/>
    <w:rsid w:val="004D3D7E"/>
    <w:rsid w:val="004D5D53"/>
    <w:rsid w:val="004D78AE"/>
    <w:rsid w:val="004E16AB"/>
    <w:rsid w:val="004E1FA8"/>
    <w:rsid w:val="004E4BD5"/>
    <w:rsid w:val="004F05B8"/>
    <w:rsid w:val="004F1537"/>
    <w:rsid w:val="004F1EDA"/>
    <w:rsid w:val="004F2EB8"/>
    <w:rsid w:val="004F47D1"/>
    <w:rsid w:val="004F55A7"/>
    <w:rsid w:val="00506697"/>
    <w:rsid w:val="00507212"/>
    <w:rsid w:val="00515A72"/>
    <w:rsid w:val="0051608A"/>
    <w:rsid w:val="00516A01"/>
    <w:rsid w:val="00520A79"/>
    <w:rsid w:val="00520B3B"/>
    <w:rsid w:val="00530A52"/>
    <w:rsid w:val="005311D0"/>
    <w:rsid w:val="005343F6"/>
    <w:rsid w:val="00534558"/>
    <w:rsid w:val="0053466A"/>
    <w:rsid w:val="00550BBC"/>
    <w:rsid w:val="00555AC7"/>
    <w:rsid w:val="00562873"/>
    <w:rsid w:val="00565724"/>
    <w:rsid w:val="005669AF"/>
    <w:rsid w:val="005677CD"/>
    <w:rsid w:val="005719DA"/>
    <w:rsid w:val="00572B95"/>
    <w:rsid w:val="005835C3"/>
    <w:rsid w:val="00590AC0"/>
    <w:rsid w:val="005936FC"/>
    <w:rsid w:val="005A0D25"/>
    <w:rsid w:val="005A2AC4"/>
    <w:rsid w:val="005A539B"/>
    <w:rsid w:val="005A5C47"/>
    <w:rsid w:val="005B193D"/>
    <w:rsid w:val="005B5283"/>
    <w:rsid w:val="005C1013"/>
    <w:rsid w:val="005C1C3A"/>
    <w:rsid w:val="005C4BE6"/>
    <w:rsid w:val="005D117A"/>
    <w:rsid w:val="005D217C"/>
    <w:rsid w:val="005D66AE"/>
    <w:rsid w:val="005E1E3B"/>
    <w:rsid w:val="005E2ECA"/>
    <w:rsid w:val="005E49A3"/>
    <w:rsid w:val="005E6868"/>
    <w:rsid w:val="005E7C9F"/>
    <w:rsid w:val="005E7DD0"/>
    <w:rsid w:val="005F76B8"/>
    <w:rsid w:val="00606C28"/>
    <w:rsid w:val="00607205"/>
    <w:rsid w:val="00610EB1"/>
    <w:rsid w:val="0061112E"/>
    <w:rsid w:val="006123D0"/>
    <w:rsid w:val="00613034"/>
    <w:rsid w:val="006156F5"/>
    <w:rsid w:val="00615FF3"/>
    <w:rsid w:val="00617692"/>
    <w:rsid w:val="006254B9"/>
    <w:rsid w:val="00626BCB"/>
    <w:rsid w:val="006278AC"/>
    <w:rsid w:val="006313F6"/>
    <w:rsid w:val="006327EE"/>
    <w:rsid w:val="00632CA8"/>
    <w:rsid w:val="006359BB"/>
    <w:rsid w:val="00640199"/>
    <w:rsid w:val="00643805"/>
    <w:rsid w:val="00652489"/>
    <w:rsid w:val="00657455"/>
    <w:rsid w:val="0066245A"/>
    <w:rsid w:val="00663352"/>
    <w:rsid w:val="00663523"/>
    <w:rsid w:val="006635FC"/>
    <w:rsid w:val="00664ED8"/>
    <w:rsid w:val="00666858"/>
    <w:rsid w:val="00671BDC"/>
    <w:rsid w:val="00672858"/>
    <w:rsid w:val="00673C60"/>
    <w:rsid w:val="006779F5"/>
    <w:rsid w:val="00677DD7"/>
    <w:rsid w:val="006901A2"/>
    <w:rsid w:val="00690A1D"/>
    <w:rsid w:val="006A497B"/>
    <w:rsid w:val="006B105A"/>
    <w:rsid w:val="006B228E"/>
    <w:rsid w:val="006B27AA"/>
    <w:rsid w:val="006B5502"/>
    <w:rsid w:val="006B64B7"/>
    <w:rsid w:val="006C0605"/>
    <w:rsid w:val="006C0880"/>
    <w:rsid w:val="006C12AD"/>
    <w:rsid w:val="006C49DE"/>
    <w:rsid w:val="006C50EB"/>
    <w:rsid w:val="006C5D0B"/>
    <w:rsid w:val="006D0034"/>
    <w:rsid w:val="006D426F"/>
    <w:rsid w:val="006D575F"/>
    <w:rsid w:val="006E3C38"/>
    <w:rsid w:val="006E4760"/>
    <w:rsid w:val="006F0178"/>
    <w:rsid w:val="006F7644"/>
    <w:rsid w:val="0070120D"/>
    <w:rsid w:val="007107CF"/>
    <w:rsid w:val="00712697"/>
    <w:rsid w:val="00713F09"/>
    <w:rsid w:val="007261A9"/>
    <w:rsid w:val="00727D19"/>
    <w:rsid w:val="007306D2"/>
    <w:rsid w:val="00746545"/>
    <w:rsid w:val="0074684B"/>
    <w:rsid w:val="00747619"/>
    <w:rsid w:val="00753950"/>
    <w:rsid w:val="00753D57"/>
    <w:rsid w:val="00754521"/>
    <w:rsid w:val="007608F1"/>
    <w:rsid w:val="0076100B"/>
    <w:rsid w:val="00762C24"/>
    <w:rsid w:val="00764692"/>
    <w:rsid w:val="00766038"/>
    <w:rsid w:val="007672FF"/>
    <w:rsid w:val="0077298E"/>
    <w:rsid w:val="007735D6"/>
    <w:rsid w:val="00781DCA"/>
    <w:rsid w:val="00782701"/>
    <w:rsid w:val="00783CB8"/>
    <w:rsid w:val="0078548A"/>
    <w:rsid w:val="0078553D"/>
    <w:rsid w:val="007868A1"/>
    <w:rsid w:val="007919EA"/>
    <w:rsid w:val="00797A3B"/>
    <w:rsid w:val="007A2023"/>
    <w:rsid w:val="007A36DA"/>
    <w:rsid w:val="007A564E"/>
    <w:rsid w:val="007B262D"/>
    <w:rsid w:val="007B43A6"/>
    <w:rsid w:val="007C0C08"/>
    <w:rsid w:val="007D17A8"/>
    <w:rsid w:val="007D3F99"/>
    <w:rsid w:val="007D4459"/>
    <w:rsid w:val="007E081D"/>
    <w:rsid w:val="007E1830"/>
    <w:rsid w:val="007E25E6"/>
    <w:rsid w:val="007E7FE0"/>
    <w:rsid w:val="007F0236"/>
    <w:rsid w:val="007F07E8"/>
    <w:rsid w:val="007F649F"/>
    <w:rsid w:val="007F78E9"/>
    <w:rsid w:val="0080046C"/>
    <w:rsid w:val="008025E6"/>
    <w:rsid w:val="00804DDE"/>
    <w:rsid w:val="00807FF6"/>
    <w:rsid w:val="00811F40"/>
    <w:rsid w:val="00812540"/>
    <w:rsid w:val="008153EC"/>
    <w:rsid w:val="00815789"/>
    <w:rsid w:val="00820781"/>
    <w:rsid w:val="008239A2"/>
    <w:rsid w:val="0082484D"/>
    <w:rsid w:val="00825862"/>
    <w:rsid w:val="00825C21"/>
    <w:rsid w:val="008334CD"/>
    <w:rsid w:val="00835B03"/>
    <w:rsid w:val="00836B3C"/>
    <w:rsid w:val="008374E9"/>
    <w:rsid w:val="0083779A"/>
    <w:rsid w:val="00840A39"/>
    <w:rsid w:val="0084204E"/>
    <w:rsid w:val="008452E2"/>
    <w:rsid w:val="0084536D"/>
    <w:rsid w:val="0084788E"/>
    <w:rsid w:val="00854B9C"/>
    <w:rsid w:val="00861D3A"/>
    <w:rsid w:val="008630B6"/>
    <w:rsid w:val="00864735"/>
    <w:rsid w:val="0086477C"/>
    <w:rsid w:val="0086779C"/>
    <w:rsid w:val="0087254C"/>
    <w:rsid w:val="008733AE"/>
    <w:rsid w:val="0087590B"/>
    <w:rsid w:val="008759B0"/>
    <w:rsid w:val="00875BF6"/>
    <w:rsid w:val="00881152"/>
    <w:rsid w:val="00881262"/>
    <w:rsid w:val="00883C0F"/>
    <w:rsid w:val="008876FA"/>
    <w:rsid w:val="00891F6A"/>
    <w:rsid w:val="00892EDE"/>
    <w:rsid w:val="00892F80"/>
    <w:rsid w:val="00897698"/>
    <w:rsid w:val="00897F95"/>
    <w:rsid w:val="008A53D5"/>
    <w:rsid w:val="008A64CE"/>
    <w:rsid w:val="008A7925"/>
    <w:rsid w:val="008B2A8C"/>
    <w:rsid w:val="008B360C"/>
    <w:rsid w:val="008B480B"/>
    <w:rsid w:val="008B52AF"/>
    <w:rsid w:val="008C3930"/>
    <w:rsid w:val="008D1DC1"/>
    <w:rsid w:val="008D25F7"/>
    <w:rsid w:val="008E1307"/>
    <w:rsid w:val="008E404A"/>
    <w:rsid w:val="008E4F7A"/>
    <w:rsid w:val="008F0616"/>
    <w:rsid w:val="008F118B"/>
    <w:rsid w:val="008F25F7"/>
    <w:rsid w:val="008F4C9C"/>
    <w:rsid w:val="008F6E28"/>
    <w:rsid w:val="0090095B"/>
    <w:rsid w:val="00901086"/>
    <w:rsid w:val="00904FF1"/>
    <w:rsid w:val="00907969"/>
    <w:rsid w:val="00907F68"/>
    <w:rsid w:val="0091003F"/>
    <w:rsid w:val="009124CB"/>
    <w:rsid w:val="0091588A"/>
    <w:rsid w:val="00915A54"/>
    <w:rsid w:val="00922CE1"/>
    <w:rsid w:val="0092562B"/>
    <w:rsid w:val="00927EDD"/>
    <w:rsid w:val="00944882"/>
    <w:rsid w:val="0094571B"/>
    <w:rsid w:val="00946AED"/>
    <w:rsid w:val="009604E6"/>
    <w:rsid w:val="00960EF5"/>
    <w:rsid w:val="009639B0"/>
    <w:rsid w:val="00967D88"/>
    <w:rsid w:val="009703F2"/>
    <w:rsid w:val="009716B7"/>
    <w:rsid w:val="00973236"/>
    <w:rsid w:val="0097522E"/>
    <w:rsid w:val="00975BED"/>
    <w:rsid w:val="009767E1"/>
    <w:rsid w:val="00977A45"/>
    <w:rsid w:val="00982479"/>
    <w:rsid w:val="009969BD"/>
    <w:rsid w:val="009A1B73"/>
    <w:rsid w:val="009A60D4"/>
    <w:rsid w:val="009A775D"/>
    <w:rsid w:val="009B1852"/>
    <w:rsid w:val="009B68A1"/>
    <w:rsid w:val="009B7D80"/>
    <w:rsid w:val="009C24CC"/>
    <w:rsid w:val="009C2691"/>
    <w:rsid w:val="009C7ED2"/>
    <w:rsid w:val="009D7EC2"/>
    <w:rsid w:val="009E2BF1"/>
    <w:rsid w:val="009E3F66"/>
    <w:rsid w:val="009E48C4"/>
    <w:rsid w:val="009E4D4E"/>
    <w:rsid w:val="009E4FFA"/>
    <w:rsid w:val="009E7B1C"/>
    <w:rsid w:val="009F4A41"/>
    <w:rsid w:val="009F75A5"/>
    <w:rsid w:val="00A02139"/>
    <w:rsid w:val="00A06A60"/>
    <w:rsid w:val="00A072F9"/>
    <w:rsid w:val="00A07B0D"/>
    <w:rsid w:val="00A10623"/>
    <w:rsid w:val="00A12D9A"/>
    <w:rsid w:val="00A20D0F"/>
    <w:rsid w:val="00A20EE8"/>
    <w:rsid w:val="00A21351"/>
    <w:rsid w:val="00A27BD1"/>
    <w:rsid w:val="00A3287A"/>
    <w:rsid w:val="00A447E3"/>
    <w:rsid w:val="00A51429"/>
    <w:rsid w:val="00A52F99"/>
    <w:rsid w:val="00A57252"/>
    <w:rsid w:val="00A57EB6"/>
    <w:rsid w:val="00A65B76"/>
    <w:rsid w:val="00A6677D"/>
    <w:rsid w:val="00A758B1"/>
    <w:rsid w:val="00A77739"/>
    <w:rsid w:val="00A83799"/>
    <w:rsid w:val="00A85545"/>
    <w:rsid w:val="00A8583C"/>
    <w:rsid w:val="00A9386D"/>
    <w:rsid w:val="00A9634D"/>
    <w:rsid w:val="00A9760B"/>
    <w:rsid w:val="00AA23DF"/>
    <w:rsid w:val="00AA6A8B"/>
    <w:rsid w:val="00AC0D6E"/>
    <w:rsid w:val="00AC1D17"/>
    <w:rsid w:val="00AC4281"/>
    <w:rsid w:val="00AD310A"/>
    <w:rsid w:val="00AD64C4"/>
    <w:rsid w:val="00AD75A1"/>
    <w:rsid w:val="00AD7E93"/>
    <w:rsid w:val="00AE317D"/>
    <w:rsid w:val="00AF3253"/>
    <w:rsid w:val="00B03191"/>
    <w:rsid w:val="00B03FF9"/>
    <w:rsid w:val="00B04C76"/>
    <w:rsid w:val="00B04D51"/>
    <w:rsid w:val="00B04FF6"/>
    <w:rsid w:val="00B0511B"/>
    <w:rsid w:val="00B10492"/>
    <w:rsid w:val="00B1123C"/>
    <w:rsid w:val="00B1528C"/>
    <w:rsid w:val="00B15622"/>
    <w:rsid w:val="00B22318"/>
    <w:rsid w:val="00B238F3"/>
    <w:rsid w:val="00B2489B"/>
    <w:rsid w:val="00B25222"/>
    <w:rsid w:val="00B25D7F"/>
    <w:rsid w:val="00B272B7"/>
    <w:rsid w:val="00B35926"/>
    <w:rsid w:val="00B40319"/>
    <w:rsid w:val="00B42D99"/>
    <w:rsid w:val="00B43F12"/>
    <w:rsid w:val="00B457BB"/>
    <w:rsid w:val="00B512AF"/>
    <w:rsid w:val="00B52BDB"/>
    <w:rsid w:val="00B5457E"/>
    <w:rsid w:val="00B565E3"/>
    <w:rsid w:val="00B60D0E"/>
    <w:rsid w:val="00B61E64"/>
    <w:rsid w:val="00B6563E"/>
    <w:rsid w:val="00B66CA2"/>
    <w:rsid w:val="00B73A98"/>
    <w:rsid w:val="00B73BBF"/>
    <w:rsid w:val="00B74297"/>
    <w:rsid w:val="00B744D7"/>
    <w:rsid w:val="00B75FE0"/>
    <w:rsid w:val="00B90ECF"/>
    <w:rsid w:val="00B91805"/>
    <w:rsid w:val="00B967B6"/>
    <w:rsid w:val="00B96990"/>
    <w:rsid w:val="00B9799B"/>
    <w:rsid w:val="00BA03C0"/>
    <w:rsid w:val="00BA070A"/>
    <w:rsid w:val="00BA428A"/>
    <w:rsid w:val="00BA4D95"/>
    <w:rsid w:val="00BA7C67"/>
    <w:rsid w:val="00BA7D1A"/>
    <w:rsid w:val="00BB4185"/>
    <w:rsid w:val="00BB512B"/>
    <w:rsid w:val="00BC0643"/>
    <w:rsid w:val="00BC1D47"/>
    <w:rsid w:val="00BC5B11"/>
    <w:rsid w:val="00BD0340"/>
    <w:rsid w:val="00BD5683"/>
    <w:rsid w:val="00BD6427"/>
    <w:rsid w:val="00BD6A6A"/>
    <w:rsid w:val="00BE18A5"/>
    <w:rsid w:val="00BE18E4"/>
    <w:rsid w:val="00BE3108"/>
    <w:rsid w:val="00BE455C"/>
    <w:rsid w:val="00BE5040"/>
    <w:rsid w:val="00BE5184"/>
    <w:rsid w:val="00BE54A7"/>
    <w:rsid w:val="00BE7887"/>
    <w:rsid w:val="00BF6348"/>
    <w:rsid w:val="00BF675C"/>
    <w:rsid w:val="00C16C73"/>
    <w:rsid w:val="00C20556"/>
    <w:rsid w:val="00C2165C"/>
    <w:rsid w:val="00C24761"/>
    <w:rsid w:val="00C25FA3"/>
    <w:rsid w:val="00C26B73"/>
    <w:rsid w:val="00C30126"/>
    <w:rsid w:val="00C310CA"/>
    <w:rsid w:val="00C31B66"/>
    <w:rsid w:val="00C33F9E"/>
    <w:rsid w:val="00C36DB6"/>
    <w:rsid w:val="00C406CA"/>
    <w:rsid w:val="00C41343"/>
    <w:rsid w:val="00C42774"/>
    <w:rsid w:val="00C43CE3"/>
    <w:rsid w:val="00C47B8E"/>
    <w:rsid w:val="00C50554"/>
    <w:rsid w:val="00C51915"/>
    <w:rsid w:val="00C543BC"/>
    <w:rsid w:val="00C544A4"/>
    <w:rsid w:val="00C55007"/>
    <w:rsid w:val="00C5711C"/>
    <w:rsid w:val="00C60AC6"/>
    <w:rsid w:val="00C62A16"/>
    <w:rsid w:val="00C62BAB"/>
    <w:rsid w:val="00C66571"/>
    <w:rsid w:val="00C66C01"/>
    <w:rsid w:val="00C7087B"/>
    <w:rsid w:val="00C71356"/>
    <w:rsid w:val="00C74D36"/>
    <w:rsid w:val="00C76FD7"/>
    <w:rsid w:val="00C82799"/>
    <w:rsid w:val="00C842A7"/>
    <w:rsid w:val="00C866A0"/>
    <w:rsid w:val="00C93473"/>
    <w:rsid w:val="00C9421A"/>
    <w:rsid w:val="00C9714A"/>
    <w:rsid w:val="00C97A9A"/>
    <w:rsid w:val="00CA28CF"/>
    <w:rsid w:val="00CA29EA"/>
    <w:rsid w:val="00CA4F6C"/>
    <w:rsid w:val="00CA5B1C"/>
    <w:rsid w:val="00CA7BDA"/>
    <w:rsid w:val="00CB1505"/>
    <w:rsid w:val="00CB3644"/>
    <w:rsid w:val="00CB7CA3"/>
    <w:rsid w:val="00CC1B98"/>
    <w:rsid w:val="00CC59BE"/>
    <w:rsid w:val="00CD0F41"/>
    <w:rsid w:val="00CD1BF2"/>
    <w:rsid w:val="00CD7484"/>
    <w:rsid w:val="00CE5600"/>
    <w:rsid w:val="00CE751A"/>
    <w:rsid w:val="00CF1959"/>
    <w:rsid w:val="00CF1CEE"/>
    <w:rsid w:val="00CF1F9F"/>
    <w:rsid w:val="00CF300F"/>
    <w:rsid w:val="00CF7641"/>
    <w:rsid w:val="00CF7C53"/>
    <w:rsid w:val="00D00694"/>
    <w:rsid w:val="00D00880"/>
    <w:rsid w:val="00D01833"/>
    <w:rsid w:val="00D02C4E"/>
    <w:rsid w:val="00D03382"/>
    <w:rsid w:val="00D07825"/>
    <w:rsid w:val="00D17644"/>
    <w:rsid w:val="00D17C67"/>
    <w:rsid w:val="00D252BD"/>
    <w:rsid w:val="00D31EDD"/>
    <w:rsid w:val="00D33832"/>
    <w:rsid w:val="00D41292"/>
    <w:rsid w:val="00D42F43"/>
    <w:rsid w:val="00D440B4"/>
    <w:rsid w:val="00D4484C"/>
    <w:rsid w:val="00D45218"/>
    <w:rsid w:val="00D508D0"/>
    <w:rsid w:val="00D50FCD"/>
    <w:rsid w:val="00D53832"/>
    <w:rsid w:val="00D56B74"/>
    <w:rsid w:val="00D603E6"/>
    <w:rsid w:val="00D63C18"/>
    <w:rsid w:val="00D77BC0"/>
    <w:rsid w:val="00D87087"/>
    <w:rsid w:val="00D92395"/>
    <w:rsid w:val="00D944F4"/>
    <w:rsid w:val="00D963B1"/>
    <w:rsid w:val="00D97F42"/>
    <w:rsid w:val="00DA10EC"/>
    <w:rsid w:val="00DA1B72"/>
    <w:rsid w:val="00DA3C2F"/>
    <w:rsid w:val="00DB0F90"/>
    <w:rsid w:val="00DC06C1"/>
    <w:rsid w:val="00DC1104"/>
    <w:rsid w:val="00DC380C"/>
    <w:rsid w:val="00DC7A0E"/>
    <w:rsid w:val="00DD2BC1"/>
    <w:rsid w:val="00DD7A42"/>
    <w:rsid w:val="00DE1DD2"/>
    <w:rsid w:val="00DE25A9"/>
    <w:rsid w:val="00DE2706"/>
    <w:rsid w:val="00DE411C"/>
    <w:rsid w:val="00DE77A9"/>
    <w:rsid w:val="00DE7941"/>
    <w:rsid w:val="00DE7A7C"/>
    <w:rsid w:val="00DE7B8A"/>
    <w:rsid w:val="00DF1A29"/>
    <w:rsid w:val="00DF23C5"/>
    <w:rsid w:val="00DF2A3D"/>
    <w:rsid w:val="00DF4252"/>
    <w:rsid w:val="00DF64D7"/>
    <w:rsid w:val="00E004B3"/>
    <w:rsid w:val="00E01F08"/>
    <w:rsid w:val="00E04644"/>
    <w:rsid w:val="00E10E90"/>
    <w:rsid w:val="00E12FFD"/>
    <w:rsid w:val="00E15E94"/>
    <w:rsid w:val="00E1600F"/>
    <w:rsid w:val="00E1618F"/>
    <w:rsid w:val="00E17404"/>
    <w:rsid w:val="00E20194"/>
    <w:rsid w:val="00E260E6"/>
    <w:rsid w:val="00E26244"/>
    <w:rsid w:val="00E32E9F"/>
    <w:rsid w:val="00E35AEA"/>
    <w:rsid w:val="00E429CF"/>
    <w:rsid w:val="00E433D3"/>
    <w:rsid w:val="00E44370"/>
    <w:rsid w:val="00E508B7"/>
    <w:rsid w:val="00E54A7E"/>
    <w:rsid w:val="00E55154"/>
    <w:rsid w:val="00E55BF6"/>
    <w:rsid w:val="00E60DD4"/>
    <w:rsid w:val="00E61086"/>
    <w:rsid w:val="00E66E72"/>
    <w:rsid w:val="00E7029F"/>
    <w:rsid w:val="00E722E9"/>
    <w:rsid w:val="00E745EA"/>
    <w:rsid w:val="00E776FA"/>
    <w:rsid w:val="00E81395"/>
    <w:rsid w:val="00E84E94"/>
    <w:rsid w:val="00E85BD3"/>
    <w:rsid w:val="00E86B14"/>
    <w:rsid w:val="00E87D85"/>
    <w:rsid w:val="00EA5A01"/>
    <w:rsid w:val="00EA5B68"/>
    <w:rsid w:val="00EB1DBB"/>
    <w:rsid w:val="00EB56A1"/>
    <w:rsid w:val="00EB7031"/>
    <w:rsid w:val="00EC608A"/>
    <w:rsid w:val="00EC64F6"/>
    <w:rsid w:val="00ED02B6"/>
    <w:rsid w:val="00ED4C1C"/>
    <w:rsid w:val="00ED6E62"/>
    <w:rsid w:val="00ED73BF"/>
    <w:rsid w:val="00EE2AB6"/>
    <w:rsid w:val="00EE3186"/>
    <w:rsid w:val="00EE444E"/>
    <w:rsid w:val="00EF12CF"/>
    <w:rsid w:val="00EF467F"/>
    <w:rsid w:val="00F0115E"/>
    <w:rsid w:val="00F02770"/>
    <w:rsid w:val="00F0299C"/>
    <w:rsid w:val="00F1224B"/>
    <w:rsid w:val="00F13E45"/>
    <w:rsid w:val="00F14F81"/>
    <w:rsid w:val="00F15696"/>
    <w:rsid w:val="00F23D83"/>
    <w:rsid w:val="00F2615D"/>
    <w:rsid w:val="00F271C7"/>
    <w:rsid w:val="00F30C3C"/>
    <w:rsid w:val="00F347D1"/>
    <w:rsid w:val="00F363CB"/>
    <w:rsid w:val="00F36D9B"/>
    <w:rsid w:val="00F4016A"/>
    <w:rsid w:val="00F470B4"/>
    <w:rsid w:val="00F47D11"/>
    <w:rsid w:val="00F6167A"/>
    <w:rsid w:val="00F67744"/>
    <w:rsid w:val="00F711B7"/>
    <w:rsid w:val="00F713F6"/>
    <w:rsid w:val="00F74A3F"/>
    <w:rsid w:val="00F758FA"/>
    <w:rsid w:val="00F768DC"/>
    <w:rsid w:val="00F87E1B"/>
    <w:rsid w:val="00F901FB"/>
    <w:rsid w:val="00F9363B"/>
    <w:rsid w:val="00F95DE2"/>
    <w:rsid w:val="00F97B6A"/>
    <w:rsid w:val="00FA2B34"/>
    <w:rsid w:val="00FA4308"/>
    <w:rsid w:val="00FA61E6"/>
    <w:rsid w:val="00FB0A8E"/>
    <w:rsid w:val="00FB341E"/>
    <w:rsid w:val="00FB5268"/>
    <w:rsid w:val="00FC0AC3"/>
    <w:rsid w:val="00FC74ED"/>
    <w:rsid w:val="00FD1FCE"/>
    <w:rsid w:val="00FD234B"/>
    <w:rsid w:val="00FD29C8"/>
    <w:rsid w:val="00FD4F70"/>
    <w:rsid w:val="00FE31AE"/>
    <w:rsid w:val="00FE5A9C"/>
    <w:rsid w:val="00FF186E"/>
    <w:rsid w:val="00FF3957"/>
    <w:rsid w:val="01171F3F"/>
    <w:rsid w:val="01452B0A"/>
    <w:rsid w:val="018F0149"/>
    <w:rsid w:val="01B54BEB"/>
    <w:rsid w:val="02255741"/>
    <w:rsid w:val="02434FB9"/>
    <w:rsid w:val="024A043D"/>
    <w:rsid w:val="026A50A9"/>
    <w:rsid w:val="02F768C7"/>
    <w:rsid w:val="03AB7584"/>
    <w:rsid w:val="03D02272"/>
    <w:rsid w:val="041B42DF"/>
    <w:rsid w:val="04426306"/>
    <w:rsid w:val="04B710F7"/>
    <w:rsid w:val="04F55F84"/>
    <w:rsid w:val="05497E0B"/>
    <w:rsid w:val="05594E14"/>
    <w:rsid w:val="05687ABB"/>
    <w:rsid w:val="05AC4A57"/>
    <w:rsid w:val="06AE50A6"/>
    <w:rsid w:val="076D5822"/>
    <w:rsid w:val="078A3D2E"/>
    <w:rsid w:val="07F57BBE"/>
    <w:rsid w:val="09B4319D"/>
    <w:rsid w:val="09CE51C3"/>
    <w:rsid w:val="0A7F44C1"/>
    <w:rsid w:val="0B582157"/>
    <w:rsid w:val="0BC31B27"/>
    <w:rsid w:val="0BE10DE3"/>
    <w:rsid w:val="0DE458F3"/>
    <w:rsid w:val="0E4F2DA4"/>
    <w:rsid w:val="0F375192"/>
    <w:rsid w:val="0FC45826"/>
    <w:rsid w:val="101B6C52"/>
    <w:rsid w:val="10AD7654"/>
    <w:rsid w:val="10CB1903"/>
    <w:rsid w:val="110806A1"/>
    <w:rsid w:val="119626A1"/>
    <w:rsid w:val="11A509FA"/>
    <w:rsid w:val="11DD7B36"/>
    <w:rsid w:val="124C2098"/>
    <w:rsid w:val="12F83924"/>
    <w:rsid w:val="132F5A86"/>
    <w:rsid w:val="13436172"/>
    <w:rsid w:val="1484672C"/>
    <w:rsid w:val="149C27D3"/>
    <w:rsid w:val="16A56525"/>
    <w:rsid w:val="17281622"/>
    <w:rsid w:val="186B115E"/>
    <w:rsid w:val="18B779FE"/>
    <w:rsid w:val="18E65D93"/>
    <w:rsid w:val="19316241"/>
    <w:rsid w:val="19CB7269"/>
    <w:rsid w:val="19FD0A9C"/>
    <w:rsid w:val="1AA13E64"/>
    <w:rsid w:val="1B2E4D56"/>
    <w:rsid w:val="1B957B04"/>
    <w:rsid w:val="1B9B6D3A"/>
    <w:rsid w:val="1BA3738C"/>
    <w:rsid w:val="1BB85F36"/>
    <w:rsid w:val="1BF81957"/>
    <w:rsid w:val="1D333483"/>
    <w:rsid w:val="1DE4330C"/>
    <w:rsid w:val="1E6E7261"/>
    <w:rsid w:val="1EA0558D"/>
    <w:rsid w:val="1EBD416A"/>
    <w:rsid w:val="1F3007E6"/>
    <w:rsid w:val="1F5E2EC0"/>
    <w:rsid w:val="1FC171F4"/>
    <w:rsid w:val="1FDD7374"/>
    <w:rsid w:val="1FE27F0C"/>
    <w:rsid w:val="20BE5F26"/>
    <w:rsid w:val="21274532"/>
    <w:rsid w:val="21453C49"/>
    <w:rsid w:val="218026BB"/>
    <w:rsid w:val="2377109A"/>
    <w:rsid w:val="24465E5F"/>
    <w:rsid w:val="25400F9A"/>
    <w:rsid w:val="25484DEE"/>
    <w:rsid w:val="2645134A"/>
    <w:rsid w:val="269C0119"/>
    <w:rsid w:val="27170649"/>
    <w:rsid w:val="27A15D38"/>
    <w:rsid w:val="28CC1C3A"/>
    <w:rsid w:val="292B081B"/>
    <w:rsid w:val="2B0A607D"/>
    <w:rsid w:val="2B1169CF"/>
    <w:rsid w:val="2B6A320F"/>
    <w:rsid w:val="2BA76274"/>
    <w:rsid w:val="2BCA77B1"/>
    <w:rsid w:val="2CCB3D90"/>
    <w:rsid w:val="2D5854BC"/>
    <w:rsid w:val="2D6B59FF"/>
    <w:rsid w:val="2DB67BD9"/>
    <w:rsid w:val="2E1F3C9C"/>
    <w:rsid w:val="2E251B09"/>
    <w:rsid w:val="2EAA171E"/>
    <w:rsid w:val="32520D90"/>
    <w:rsid w:val="32CE6663"/>
    <w:rsid w:val="344057F2"/>
    <w:rsid w:val="345008B9"/>
    <w:rsid w:val="361313A1"/>
    <w:rsid w:val="36262EF1"/>
    <w:rsid w:val="36276D88"/>
    <w:rsid w:val="36631C35"/>
    <w:rsid w:val="36CC6FFC"/>
    <w:rsid w:val="37E03DF8"/>
    <w:rsid w:val="38F46D95"/>
    <w:rsid w:val="393967B3"/>
    <w:rsid w:val="39535F78"/>
    <w:rsid w:val="399D649D"/>
    <w:rsid w:val="3AB501E1"/>
    <w:rsid w:val="3ACA65C9"/>
    <w:rsid w:val="3B090DDB"/>
    <w:rsid w:val="3BF91D31"/>
    <w:rsid w:val="3D134A51"/>
    <w:rsid w:val="3D3715F2"/>
    <w:rsid w:val="3D911670"/>
    <w:rsid w:val="3DBB06AD"/>
    <w:rsid w:val="3F2477E5"/>
    <w:rsid w:val="3FF14EEA"/>
    <w:rsid w:val="4033677C"/>
    <w:rsid w:val="421A5F4F"/>
    <w:rsid w:val="429D7B0F"/>
    <w:rsid w:val="45285D35"/>
    <w:rsid w:val="455F4706"/>
    <w:rsid w:val="46FB623B"/>
    <w:rsid w:val="47207998"/>
    <w:rsid w:val="474372AF"/>
    <w:rsid w:val="47DE1AE9"/>
    <w:rsid w:val="489E1190"/>
    <w:rsid w:val="493E546B"/>
    <w:rsid w:val="49E3577D"/>
    <w:rsid w:val="4A656370"/>
    <w:rsid w:val="4A811E40"/>
    <w:rsid w:val="4A983C2F"/>
    <w:rsid w:val="4C391EEA"/>
    <w:rsid w:val="4CBF2BEF"/>
    <w:rsid w:val="4DBB715C"/>
    <w:rsid w:val="4DDA046C"/>
    <w:rsid w:val="4E04769B"/>
    <w:rsid w:val="4E140C35"/>
    <w:rsid w:val="4EA43D73"/>
    <w:rsid w:val="4EB22F51"/>
    <w:rsid w:val="4F9A51E4"/>
    <w:rsid w:val="4FE27326"/>
    <w:rsid w:val="4FFC7929"/>
    <w:rsid w:val="505927C1"/>
    <w:rsid w:val="50F14F89"/>
    <w:rsid w:val="51A2358E"/>
    <w:rsid w:val="51BC195E"/>
    <w:rsid w:val="53791CF5"/>
    <w:rsid w:val="538B6A2B"/>
    <w:rsid w:val="54D20D3D"/>
    <w:rsid w:val="55C26234"/>
    <w:rsid w:val="57DA2C93"/>
    <w:rsid w:val="58481203"/>
    <w:rsid w:val="587F23CF"/>
    <w:rsid w:val="588E5F11"/>
    <w:rsid w:val="58964036"/>
    <w:rsid w:val="58D56D8A"/>
    <w:rsid w:val="58D754E7"/>
    <w:rsid w:val="58F74F59"/>
    <w:rsid w:val="593B2994"/>
    <w:rsid w:val="597C60B0"/>
    <w:rsid w:val="598044F6"/>
    <w:rsid w:val="5A6357FD"/>
    <w:rsid w:val="5A8A637F"/>
    <w:rsid w:val="5A99658A"/>
    <w:rsid w:val="5D0E05BE"/>
    <w:rsid w:val="5D74678F"/>
    <w:rsid w:val="5DA86623"/>
    <w:rsid w:val="5EC46131"/>
    <w:rsid w:val="60077835"/>
    <w:rsid w:val="60202CE8"/>
    <w:rsid w:val="605310C7"/>
    <w:rsid w:val="61D72A44"/>
    <w:rsid w:val="64582A16"/>
    <w:rsid w:val="65172248"/>
    <w:rsid w:val="65451497"/>
    <w:rsid w:val="65E72AB0"/>
    <w:rsid w:val="67DC359E"/>
    <w:rsid w:val="6924169C"/>
    <w:rsid w:val="6A0F6B77"/>
    <w:rsid w:val="6A5451AC"/>
    <w:rsid w:val="6A5476B4"/>
    <w:rsid w:val="6A653B03"/>
    <w:rsid w:val="6AA04037"/>
    <w:rsid w:val="6AE76DFD"/>
    <w:rsid w:val="6B665E17"/>
    <w:rsid w:val="6BB92ED9"/>
    <w:rsid w:val="6BBF4A0B"/>
    <w:rsid w:val="6BD23080"/>
    <w:rsid w:val="6C096C06"/>
    <w:rsid w:val="6CEC6672"/>
    <w:rsid w:val="6D230940"/>
    <w:rsid w:val="6E0E4797"/>
    <w:rsid w:val="6E116DDD"/>
    <w:rsid w:val="6ECE3E2C"/>
    <w:rsid w:val="6EE11A41"/>
    <w:rsid w:val="6F9E350B"/>
    <w:rsid w:val="710215DA"/>
    <w:rsid w:val="71F962D4"/>
    <w:rsid w:val="720A29A7"/>
    <w:rsid w:val="72674FDC"/>
    <w:rsid w:val="72D14477"/>
    <w:rsid w:val="72D32D32"/>
    <w:rsid w:val="734E52AF"/>
    <w:rsid w:val="7352076C"/>
    <w:rsid w:val="73F57D51"/>
    <w:rsid w:val="74571651"/>
    <w:rsid w:val="749D0CED"/>
    <w:rsid w:val="75923151"/>
    <w:rsid w:val="76991158"/>
    <w:rsid w:val="76C4543D"/>
    <w:rsid w:val="778645CF"/>
    <w:rsid w:val="778D37D0"/>
    <w:rsid w:val="77F63419"/>
    <w:rsid w:val="7989796E"/>
    <w:rsid w:val="798D46EC"/>
    <w:rsid w:val="79BF004C"/>
    <w:rsid w:val="7A5C6993"/>
    <w:rsid w:val="7C9557BA"/>
    <w:rsid w:val="7CBD239D"/>
    <w:rsid w:val="7E57060B"/>
    <w:rsid w:val="7E59541A"/>
    <w:rsid w:val="7E652694"/>
    <w:rsid w:val="7F4A74B9"/>
    <w:rsid w:val="7FC4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296"/>
      </w:tabs>
      <w:jc w:val="center"/>
    </w:pPr>
    <w:rPr>
      <w:rFonts w:ascii="黑体" w:hAnsi="黑体" w:eastAsia="黑体"/>
      <w:sz w:val="28"/>
    </w:rPr>
  </w:style>
  <w:style w:type="paragraph" w:styleId="6">
    <w:name w:val="Normal Indent"/>
    <w:basedOn w:val="1"/>
    <w:qFormat/>
    <w:uiPriority w:val="0"/>
    <w:pPr>
      <w:ind w:firstLine="420" w:firstLineChars="200"/>
    </w:pPr>
    <w:rPr>
      <w:szCs w:val="24"/>
    </w:rPr>
  </w:style>
  <w:style w:type="paragraph" w:styleId="7">
    <w:name w:val="annotation text"/>
    <w:basedOn w:val="1"/>
    <w:link w:val="27"/>
    <w:semiHidden/>
    <w:unhideWhenUsed/>
    <w:qFormat/>
    <w:uiPriority w:val="99"/>
    <w:pPr>
      <w:jc w:val="left"/>
    </w:pPr>
  </w:style>
  <w:style w:type="paragraph" w:styleId="8">
    <w:name w:val="Balloon Text"/>
    <w:basedOn w:val="1"/>
    <w:link w:val="22"/>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unhideWhenUsed/>
    <w:qFormat/>
    <w:uiPriority w:val="39"/>
    <w:pPr>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annotation subject"/>
    <w:basedOn w:val="7"/>
    <w:next w:val="7"/>
    <w:link w:val="28"/>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Emphasis"/>
    <w:basedOn w:val="16"/>
    <w:qFormat/>
    <w:uiPriority w:val="20"/>
    <w:rPr>
      <w:i/>
    </w:rPr>
  </w:style>
  <w:style w:type="character" w:styleId="18">
    <w:name w:val="Hyperlink"/>
    <w:basedOn w:val="16"/>
    <w:semiHidden/>
    <w:unhideWhenUsed/>
    <w:qFormat/>
    <w:uiPriority w:val="99"/>
    <w:rPr>
      <w:color w:val="0000FF"/>
      <w:u w:val="single"/>
    </w:rPr>
  </w:style>
  <w:style w:type="character" w:styleId="19">
    <w:name w:val="annotation reference"/>
    <w:basedOn w:val="16"/>
    <w:semiHidden/>
    <w:unhideWhenUsed/>
    <w:qFormat/>
    <w:uiPriority w:val="99"/>
    <w:rPr>
      <w:sz w:val="21"/>
      <w:szCs w:val="21"/>
    </w:rPr>
  </w:style>
  <w:style w:type="character" w:customStyle="1" w:styleId="20">
    <w:name w:val="页眉 Char"/>
    <w:basedOn w:val="16"/>
    <w:link w:val="10"/>
    <w:qFormat/>
    <w:uiPriority w:val="99"/>
    <w:rPr>
      <w:sz w:val="18"/>
      <w:szCs w:val="18"/>
    </w:rPr>
  </w:style>
  <w:style w:type="character" w:customStyle="1" w:styleId="21">
    <w:name w:val="页脚 Char"/>
    <w:basedOn w:val="16"/>
    <w:link w:val="9"/>
    <w:qFormat/>
    <w:uiPriority w:val="99"/>
    <w:rPr>
      <w:sz w:val="18"/>
      <w:szCs w:val="18"/>
    </w:rPr>
  </w:style>
  <w:style w:type="character" w:customStyle="1" w:styleId="22">
    <w:name w:val="批注框文本 Char"/>
    <w:basedOn w:val="16"/>
    <w:link w:val="8"/>
    <w:semiHidden/>
    <w:qFormat/>
    <w:uiPriority w:val="99"/>
    <w:rPr>
      <w:sz w:val="18"/>
      <w:szCs w:val="18"/>
    </w:rPr>
  </w:style>
  <w:style w:type="character" w:customStyle="1" w:styleId="23">
    <w:name w:val="NormalCharacter"/>
    <w:semiHidden/>
    <w:qFormat/>
    <w:uiPriority w:val="0"/>
  </w:style>
  <w:style w:type="paragraph" w:customStyle="1" w:styleId="24">
    <w:name w:val="Char"/>
    <w:basedOn w:val="1"/>
    <w:qFormat/>
    <w:uiPriority w:val="0"/>
    <w:pPr>
      <w:widowControl/>
      <w:spacing w:after="160" w:line="240" w:lineRule="exact"/>
      <w:jc w:val="left"/>
    </w:pPr>
    <w:rPr>
      <w:rFonts w:ascii="Times New Roman" w:hAnsi="Times New Roman" w:eastAsia="宋体" w:cs="Times New Roman"/>
      <w:szCs w:val="24"/>
    </w:rPr>
  </w:style>
  <w:style w:type="character" w:customStyle="1" w:styleId="25">
    <w:name w:val="标题 1 Char"/>
    <w:basedOn w:val="16"/>
    <w:link w:val="3"/>
    <w:qFormat/>
    <w:uiPriority w:val="9"/>
    <w:rPr>
      <w:b/>
      <w:bCs/>
      <w:kern w:val="44"/>
      <w:sz w:val="44"/>
      <w:szCs w:val="44"/>
    </w:rPr>
  </w:style>
  <w:style w:type="character" w:customStyle="1" w:styleId="26">
    <w:name w:val="标题 2 Char"/>
    <w:basedOn w:val="16"/>
    <w:link w:val="4"/>
    <w:qFormat/>
    <w:uiPriority w:val="9"/>
    <w:rPr>
      <w:rFonts w:asciiTheme="majorHAnsi" w:hAnsiTheme="majorHAnsi" w:eastAsiaTheme="majorEastAsia" w:cstheme="majorBidi"/>
      <w:b/>
      <w:bCs/>
      <w:sz w:val="32"/>
      <w:szCs w:val="32"/>
    </w:rPr>
  </w:style>
  <w:style w:type="character" w:customStyle="1" w:styleId="27">
    <w:name w:val="批注文字 Char"/>
    <w:basedOn w:val="16"/>
    <w:link w:val="7"/>
    <w:semiHidden/>
    <w:qFormat/>
    <w:uiPriority w:val="99"/>
  </w:style>
  <w:style w:type="character" w:customStyle="1" w:styleId="28">
    <w:name w:val="批注主题 Char"/>
    <w:basedOn w:val="27"/>
    <w:link w:val="13"/>
    <w:semiHidden/>
    <w:qFormat/>
    <w:uiPriority w:val="99"/>
    <w:rPr>
      <w:b/>
      <w:bCs/>
    </w:rPr>
  </w:style>
  <w:style w:type="paragraph" w:customStyle="1" w:styleId="29">
    <w:name w:val="Table Paragraph"/>
    <w:basedOn w:val="1"/>
    <w:qFormat/>
    <w:uiPriority w:val="1"/>
    <w:rPr>
      <w:rFonts w:ascii="宋体" w:hAnsi="宋体" w:eastAsia="宋体" w:cs="宋体"/>
    </w:rPr>
  </w:style>
  <w:style w:type="paragraph" w:customStyle="1" w:styleId="30">
    <w:name w:val="Other|1"/>
    <w:basedOn w:val="1"/>
    <w:qFormat/>
    <w:uiPriority w:val="0"/>
    <w:pPr>
      <w:spacing w:line="439" w:lineRule="auto"/>
      <w:ind w:firstLine="400"/>
    </w:pPr>
    <w:rPr>
      <w:rFonts w:ascii="宋体" w:hAnsi="宋体" w:eastAsia="宋体" w:cs="宋体"/>
      <w:sz w:val="26"/>
      <w:szCs w:val="26"/>
      <w:lang w:val="zh-TW" w:eastAsia="zh-TW" w:bidi="zh-TW"/>
    </w:rPr>
  </w:style>
  <w:style w:type="character" w:customStyle="1" w:styleId="31">
    <w:name w:val="font71"/>
    <w:basedOn w:val="16"/>
    <w:qFormat/>
    <w:uiPriority w:val="0"/>
    <w:rPr>
      <w:rFonts w:ascii="仿宋_GB2312" w:eastAsia="仿宋_GB2312" w:cs="仿宋_GB2312"/>
      <w:color w:val="000000"/>
      <w:sz w:val="24"/>
      <w:szCs w:val="24"/>
      <w:u w:val="none"/>
    </w:rPr>
  </w:style>
  <w:style w:type="character" w:customStyle="1" w:styleId="32">
    <w:name w:val="font01"/>
    <w:basedOn w:val="16"/>
    <w:qFormat/>
    <w:uiPriority w:val="0"/>
    <w:rPr>
      <w:rFonts w:hint="eastAsia" w:ascii="仿宋_GB2312" w:eastAsia="仿宋_GB2312" w:cs="仿宋_GB2312"/>
      <w:color w:val="000000"/>
      <w:sz w:val="22"/>
      <w:szCs w:val="22"/>
      <w:u w:val="none"/>
    </w:rPr>
  </w:style>
  <w:style w:type="character" w:customStyle="1" w:styleId="33">
    <w:name w:val="font51"/>
    <w:basedOn w:val="16"/>
    <w:qFormat/>
    <w:uiPriority w:val="0"/>
    <w:rPr>
      <w:rFonts w:hint="eastAsia" w:ascii="仿宋_GB2312" w:eastAsia="仿宋_GB2312" w:cs="仿宋_GB2312"/>
      <w:color w:val="000000"/>
      <w:sz w:val="21"/>
      <w:szCs w:val="21"/>
      <w:u w:val="none"/>
    </w:rPr>
  </w:style>
  <w:style w:type="character" w:customStyle="1" w:styleId="34">
    <w:name w:val="font4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1F9B00-27BB-4A83-B326-0792E2C6BB15}">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55</Pages>
  <Words>27916</Words>
  <Characters>29105</Characters>
  <Lines>230</Lines>
  <Paragraphs>64</Paragraphs>
  <TotalTime>1</TotalTime>
  <ScaleCrop>false</ScaleCrop>
  <LinksUpToDate>false</LinksUpToDate>
  <CharactersWithSpaces>29220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2020-09-06T07:26:00Z</dcterms:created>
  <dc:creator>吴杨熙</dc:creator>
  <cp:lastModifiedBy>hong</cp:lastModifiedBy>
  <cp:lastPrinted>2022-04-28T07:21:00Z</cp:lastPrinted>
  <dcterms:modified xsi:type="dcterms:W3CDTF">2023-05-06T08:07:57Z</dcterms:modified>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EC8939633A484DADA2CE4B4D60BA9B8A</vt:lpwstr>
  </property>
  <property fmtid="{D5CDD505-2E9C-101B-9397-08002B2CF9AE}" pid="4" name="commondata">
    <vt:lpwstr>eyJoZGlkIjoiMWI5MTIyOTgxZmQwZWQ4M2E3MDE4NDc2ZGQzODE2NjgifQ==</vt:lpwstr>
  </property>
</Properties>
</file>