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附件</w:t>
      </w:r>
      <w:r>
        <w:rPr>
          <w:rFonts w:hint="eastAsia" w:ascii="仿宋" w:hAnsi="仿宋" w:eastAsia="仿宋" w:cs="仿宋"/>
          <w:b/>
          <w:bCs/>
          <w:sz w:val="32"/>
          <w:szCs w:val="32"/>
          <w:lang w:val="en-US" w:eastAsia="zh-CN"/>
        </w:rPr>
        <w:t>2</w:t>
      </w:r>
    </w:p>
    <w:p>
      <w:pPr>
        <w:ind w:firstLine="0" w:firstLineChars="0"/>
        <w:jc w:val="center"/>
        <w:rPr>
          <w:rFonts w:hint="eastAsia" w:eastAsia="仿宋"/>
          <w:b/>
          <w:bCs/>
          <w:sz w:val="40"/>
          <w:szCs w:val="32"/>
          <w:lang w:eastAsia="zh-CN"/>
        </w:rPr>
      </w:pPr>
      <w:bookmarkStart w:id="0" w:name="_GoBack"/>
      <w:r>
        <w:rPr>
          <w:rFonts w:hint="eastAsia"/>
          <w:b/>
          <w:bCs/>
          <w:sz w:val="40"/>
          <w:szCs w:val="32"/>
        </w:rPr>
        <w:t>汕尾市生态环境局2023年度专项随机抽查</w:t>
      </w:r>
      <w:r>
        <w:rPr>
          <w:rFonts w:hint="eastAsia"/>
          <w:b/>
          <w:bCs/>
          <w:sz w:val="40"/>
          <w:szCs w:val="32"/>
          <w:lang w:eastAsia="zh-CN"/>
        </w:rPr>
        <w:t>计划</w:t>
      </w:r>
    </w:p>
    <w:bookmarkEnd w:id="0"/>
    <w:tbl>
      <w:tblPr>
        <w:tblStyle w:val="7"/>
        <w:tblW w:w="1483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00"/>
        <w:gridCol w:w="1928"/>
        <w:gridCol w:w="1461"/>
        <w:gridCol w:w="1286"/>
        <w:gridCol w:w="1383"/>
        <w:gridCol w:w="3838"/>
        <w:gridCol w:w="1188"/>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Pr>
          <w:p>
            <w:pPr>
              <w:ind w:firstLine="0" w:firstLineChars="0"/>
              <w:jc w:val="center"/>
              <w:rPr>
                <w:rFonts w:ascii="楷体" w:hAnsi="楷体" w:eastAsia="楷体"/>
                <w:b/>
                <w:bCs/>
                <w:sz w:val="24"/>
              </w:rPr>
            </w:pPr>
            <w:r>
              <w:rPr>
                <w:rFonts w:hint="eastAsia" w:ascii="楷体" w:hAnsi="楷体" w:eastAsia="楷体"/>
                <w:b/>
                <w:bCs/>
                <w:sz w:val="24"/>
              </w:rPr>
              <w:t>编号</w:t>
            </w:r>
          </w:p>
        </w:tc>
        <w:tc>
          <w:tcPr>
            <w:tcW w:w="1700" w:type="dxa"/>
          </w:tcPr>
          <w:p>
            <w:pPr>
              <w:ind w:left="0" w:leftChars="0" w:firstLine="241" w:firstLineChars="100"/>
              <w:jc w:val="center"/>
              <w:rPr>
                <w:rFonts w:ascii="楷体" w:hAnsi="楷体" w:eastAsia="楷体"/>
                <w:b/>
                <w:bCs/>
                <w:sz w:val="24"/>
              </w:rPr>
            </w:pPr>
            <w:r>
              <w:rPr>
                <w:rFonts w:hint="eastAsia" w:ascii="楷体" w:hAnsi="楷体" w:eastAsia="楷体"/>
                <w:b/>
                <w:bCs/>
                <w:sz w:val="24"/>
              </w:rPr>
              <w:t>检查任务</w:t>
            </w:r>
          </w:p>
        </w:tc>
        <w:tc>
          <w:tcPr>
            <w:tcW w:w="1928" w:type="dxa"/>
          </w:tcPr>
          <w:p>
            <w:pPr>
              <w:ind w:firstLine="0" w:firstLineChars="0"/>
              <w:jc w:val="center"/>
              <w:rPr>
                <w:rFonts w:ascii="楷体" w:hAnsi="楷体" w:eastAsia="楷体"/>
                <w:b/>
                <w:bCs/>
                <w:sz w:val="24"/>
              </w:rPr>
            </w:pPr>
            <w:r>
              <w:rPr>
                <w:rFonts w:hint="eastAsia" w:ascii="楷体" w:hAnsi="楷体" w:eastAsia="楷体"/>
                <w:b/>
                <w:bCs/>
                <w:sz w:val="24"/>
              </w:rPr>
              <w:t>检查事项</w:t>
            </w:r>
          </w:p>
        </w:tc>
        <w:tc>
          <w:tcPr>
            <w:tcW w:w="1461" w:type="dxa"/>
          </w:tcPr>
          <w:p>
            <w:pPr>
              <w:ind w:firstLine="0" w:firstLineChars="0"/>
              <w:jc w:val="center"/>
              <w:rPr>
                <w:rFonts w:ascii="楷体" w:hAnsi="楷体" w:eastAsia="楷体"/>
                <w:b/>
                <w:bCs/>
                <w:sz w:val="24"/>
              </w:rPr>
            </w:pPr>
            <w:r>
              <w:rPr>
                <w:rFonts w:hint="eastAsia" w:ascii="楷体" w:hAnsi="楷体" w:eastAsia="楷体"/>
                <w:b/>
                <w:bCs/>
                <w:sz w:val="24"/>
              </w:rPr>
              <w:t>检查对象</w:t>
            </w:r>
          </w:p>
        </w:tc>
        <w:tc>
          <w:tcPr>
            <w:tcW w:w="1286" w:type="dxa"/>
          </w:tcPr>
          <w:p>
            <w:pPr>
              <w:ind w:firstLine="0" w:firstLineChars="0"/>
              <w:jc w:val="center"/>
              <w:rPr>
                <w:rFonts w:hint="eastAsia" w:ascii="楷体" w:hAnsi="楷体" w:eastAsia="楷体"/>
                <w:b/>
                <w:bCs/>
                <w:sz w:val="24"/>
                <w:lang w:eastAsia="zh-CN"/>
              </w:rPr>
            </w:pPr>
            <w:r>
              <w:rPr>
                <w:rFonts w:hint="eastAsia" w:ascii="楷体" w:hAnsi="楷体" w:eastAsia="楷体"/>
                <w:b/>
                <w:bCs/>
                <w:sz w:val="24"/>
                <w:lang w:eastAsia="zh-CN"/>
              </w:rPr>
              <w:t>责任部门</w:t>
            </w:r>
          </w:p>
        </w:tc>
        <w:tc>
          <w:tcPr>
            <w:tcW w:w="1383" w:type="dxa"/>
          </w:tcPr>
          <w:p>
            <w:pPr>
              <w:ind w:firstLine="0" w:firstLineChars="0"/>
              <w:jc w:val="center"/>
              <w:rPr>
                <w:rFonts w:ascii="楷体" w:hAnsi="楷体" w:eastAsia="楷体"/>
                <w:b/>
                <w:bCs/>
                <w:sz w:val="24"/>
              </w:rPr>
            </w:pPr>
            <w:r>
              <w:rPr>
                <w:rFonts w:hint="eastAsia" w:ascii="楷体" w:hAnsi="楷体" w:eastAsia="楷体"/>
                <w:b/>
                <w:bCs/>
                <w:sz w:val="24"/>
              </w:rPr>
              <w:t>检查方式</w:t>
            </w:r>
          </w:p>
        </w:tc>
        <w:tc>
          <w:tcPr>
            <w:tcW w:w="3838" w:type="dxa"/>
          </w:tcPr>
          <w:p>
            <w:pPr>
              <w:ind w:firstLine="1446" w:firstLineChars="600"/>
              <w:jc w:val="center"/>
              <w:rPr>
                <w:rFonts w:ascii="楷体" w:hAnsi="楷体" w:eastAsia="楷体"/>
                <w:b/>
                <w:bCs/>
                <w:sz w:val="24"/>
              </w:rPr>
            </w:pPr>
            <w:r>
              <w:rPr>
                <w:rFonts w:hint="eastAsia" w:ascii="楷体" w:hAnsi="楷体" w:eastAsia="楷体"/>
                <w:b/>
                <w:bCs/>
                <w:sz w:val="24"/>
              </w:rPr>
              <w:t>检查依据</w:t>
            </w:r>
          </w:p>
        </w:tc>
        <w:tc>
          <w:tcPr>
            <w:tcW w:w="1188" w:type="dxa"/>
          </w:tcPr>
          <w:p>
            <w:pPr>
              <w:ind w:firstLine="0" w:firstLineChars="0"/>
              <w:jc w:val="center"/>
              <w:rPr>
                <w:rFonts w:ascii="楷体" w:hAnsi="楷体" w:eastAsia="楷体"/>
                <w:b/>
                <w:bCs/>
                <w:sz w:val="24"/>
              </w:rPr>
            </w:pPr>
            <w:r>
              <w:rPr>
                <w:rFonts w:hint="eastAsia" w:ascii="楷体" w:hAnsi="楷体" w:eastAsia="楷体"/>
                <w:b/>
                <w:bCs/>
                <w:sz w:val="24"/>
              </w:rPr>
              <w:t>检查频次</w:t>
            </w:r>
          </w:p>
        </w:tc>
        <w:tc>
          <w:tcPr>
            <w:tcW w:w="1305" w:type="dxa"/>
          </w:tcPr>
          <w:p>
            <w:pPr>
              <w:ind w:firstLine="0" w:firstLineChars="0"/>
              <w:jc w:val="center"/>
              <w:rPr>
                <w:rFonts w:ascii="楷体" w:hAnsi="楷体" w:eastAsia="楷体"/>
                <w:b/>
                <w:bCs/>
                <w:sz w:val="24"/>
              </w:rPr>
            </w:pPr>
            <w:r>
              <w:rPr>
                <w:rFonts w:hint="eastAsia" w:ascii="楷体" w:hAnsi="楷体" w:eastAsia="楷体"/>
                <w:b/>
                <w:bCs/>
                <w:sz w:val="24"/>
              </w:rPr>
              <w:t>检查时间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750" w:type="dxa"/>
            <w:vAlign w:val="center"/>
          </w:tcPr>
          <w:p>
            <w:pPr>
              <w:ind w:firstLine="0" w:firstLineChars="0"/>
              <w:jc w:val="center"/>
              <w:rPr>
                <w:rFonts w:hint="eastAsia" w:ascii="楷体" w:hAnsi="楷体" w:eastAsia="楷体"/>
                <w:sz w:val="24"/>
                <w:lang w:val="en-US" w:eastAsia="zh-CN"/>
              </w:rPr>
            </w:pPr>
            <w:r>
              <w:rPr>
                <w:rFonts w:hint="eastAsia" w:ascii="楷体" w:hAnsi="楷体" w:eastAsia="楷体"/>
                <w:sz w:val="24"/>
                <w:lang w:val="en-US" w:eastAsia="zh-CN"/>
              </w:rPr>
              <w:t>1</w:t>
            </w:r>
          </w:p>
        </w:tc>
        <w:tc>
          <w:tcPr>
            <w:tcW w:w="1700" w:type="dxa"/>
            <w:vAlign w:val="center"/>
          </w:tcPr>
          <w:p>
            <w:pPr>
              <w:ind w:firstLine="0" w:firstLineChars="0"/>
              <w:jc w:val="both"/>
              <w:rPr>
                <w:rFonts w:ascii="楷体" w:hAnsi="楷体" w:eastAsia="楷体"/>
                <w:sz w:val="24"/>
              </w:rPr>
            </w:pPr>
            <w:r>
              <w:rPr>
                <w:rFonts w:hint="eastAsia" w:ascii="楷体_GB2312" w:hAnsi="楷体_GB2312" w:eastAsia="楷体_GB2312" w:cs="楷体_GB2312"/>
                <w:color w:val="000000"/>
                <w:w w:val="90"/>
                <w:kern w:val="0"/>
                <w:sz w:val="24"/>
                <w:lang w:bidi="ar"/>
              </w:rPr>
              <w:t>对医疗卫生机构和医疗废物集中处置单位的行政检查</w:t>
            </w:r>
          </w:p>
        </w:tc>
        <w:tc>
          <w:tcPr>
            <w:tcW w:w="1928" w:type="dxa"/>
            <w:vAlign w:val="center"/>
          </w:tcPr>
          <w:p>
            <w:pPr>
              <w:ind w:firstLine="0" w:firstLineChars="0"/>
              <w:jc w:val="both"/>
              <w:rPr>
                <w:rFonts w:ascii="楷体" w:hAnsi="楷体" w:eastAsia="楷体"/>
                <w:sz w:val="24"/>
              </w:rPr>
            </w:pPr>
            <w:r>
              <w:rPr>
                <w:rFonts w:hint="eastAsia" w:ascii="楷体_GB2312" w:hAnsi="楷体_GB2312" w:eastAsia="楷体_GB2312" w:cs="楷体_GB2312"/>
                <w:color w:val="000000"/>
                <w:w w:val="90"/>
                <w:kern w:val="0"/>
                <w:sz w:val="24"/>
                <w:lang w:bidi="ar"/>
              </w:rPr>
              <w:t>针对医疗卫生机构和医疗废物集中处置单位从事医疗废物收集、运送、贮存、处置中的环境污染防治工作情况开展检查</w:t>
            </w:r>
          </w:p>
        </w:tc>
        <w:tc>
          <w:tcPr>
            <w:tcW w:w="1461" w:type="dxa"/>
            <w:vAlign w:val="center"/>
          </w:tcPr>
          <w:p>
            <w:pPr>
              <w:ind w:firstLine="0" w:firstLineChars="0"/>
              <w:jc w:val="both"/>
              <w:rPr>
                <w:rFonts w:ascii="楷体" w:hAnsi="楷体" w:eastAsia="楷体"/>
                <w:sz w:val="24"/>
              </w:rPr>
            </w:pPr>
            <w:r>
              <w:rPr>
                <w:rFonts w:hint="eastAsia" w:ascii="楷体_GB2312" w:hAnsi="楷体_GB2312" w:eastAsia="楷体_GB2312" w:cs="楷体_GB2312"/>
                <w:color w:val="000000"/>
                <w:w w:val="90"/>
                <w:kern w:val="0"/>
                <w:sz w:val="24"/>
                <w:lang w:bidi="ar"/>
              </w:rPr>
              <w:t>医疗卫生机构和医疗废物集中处置单位</w:t>
            </w:r>
          </w:p>
        </w:tc>
        <w:tc>
          <w:tcPr>
            <w:tcW w:w="1286"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自然科及各分局</w:t>
            </w:r>
          </w:p>
        </w:tc>
        <w:tc>
          <w:tcPr>
            <w:tcW w:w="1383"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非现场</w:t>
            </w:r>
          </w:p>
          <w:p>
            <w:pPr>
              <w:ind w:firstLine="0" w:firstLineChars="0"/>
              <w:jc w:val="both"/>
              <w:rPr>
                <w:rFonts w:ascii="楷体" w:hAnsi="楷体" w:eastAsia="楷体"/>
                <w:sz w:val="24"/>
              </w:rPr>
            </w:pPr>
            <w:r>
              <w:rPr>
                <w:rFonts w:hint="eastAsia" w:ascii="楷体" w:hAnsi="楷体" w:eastAsia="楷体"/>
                <w:sz w:val="24"/>
                <w:lang w:val="en-US" w:eastAsia="zh-CN"/>
              </w:rPr>
              <w:t>检查</w:t>
            </w:r>
          </w:p>
        </w:tc>
        <w:tc>
          <w:tcPr>
            <w:tcW w:w="3838" w:type="dxa"/>
            <w:vAlign w:val="center"/>
          </w:tcPr>
          <w:p>
            <w:pPr>
              <w:ind w:firstLine="0" w:firstLineChars="0"/>
              <w:jc w:val="both"/>
              <w:rPr>
                <w:rFonts w:ascii="楷体" w:hAnsi="楷体" w:eastAsia="楷体"/>
                <w:sz w:val="24"/>
              </w:rPr>
            </w:pPr>
            <w:r>
              <w:rPr>
                <w:rFonts w:hint="eastAsia" w:ascii="楷体_GB2312" w:hAnsi="楷体_GB2312" w:eastAsia="楷体_GB2312" w:cs="楷体_GB2312"/>
                <w:color w:val="000000"/>
                <w:w w:val="90"/>
                <w:kern w:val="0"/>
                <w:sz w:val="24"/>
                <w:lang w:bidi="ar"/>
              </w:rPr>
              <w:t>《医疗废物管理条例》第三十四条　县级以上地方人民政府卫生行政主管部门、环境保护行政主管部门，应当依照本条例的规定，按照职责分工，对医疗卫生机构和医疗废物集中处置单位进行监督检查。</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第三十六条　县级以上地方人民政府环境保护行政主管部门，应当对医疗卫生机构和医疗废物集中处置单位从事医疗废物收集、运送、贮存、处置中的环境污染防治工作进行定期监督检查或者不定期的抽查。</w:t>
            </w:r>
          </w:p>
        </w:tc>
        <w:tc>
          <w:tcPr>
            <w:tcW w:w="1188" w:type="dxa"/>
            <w:vAlign w:val="center"/>
          </w:tcPr>
          <w:p>
            <w:pPr>
              <w:ind w:firstLine="0" w:firstLineChars="0"/>
              <w:jc w:val="both"/>
              <w:rPr>
                <w:rFonts w:ascii="楷体" w:hAnsi="楷体" w:eastAsia="楷体"/>
                <w:sz w:val="24"/>
              </w:rPr>
            </w:pPr>
            <w:r>
              <w:rPr>
                <w:rFonts w:hint="eastAsia" w:ascii="楷体" w:hAnsi="楷体" w:eastAsia="楷体"/>
                <w:sz w:val="24"/>
                <w:lang w:val="en-US" w:eastAsia="zh-CN"/>
              </w:rPr>
              <w:t>一年一次</w:t>
            </w:r>
          </w:p>
        </w:tc>
        <w:tc>
          <w:tcPr>
            <w:tcW w:w="1305" w:type="dxa"/>
            <w:vAlign w:val="center"/>
          </w:tcPr>
          <w:p>
            <w:pPr>
              <w:ind w:firstLine="0" w:firstLineChars="0"/>
              <w:jc w:val="both"/>
              <w:rPr>
                <w:rFonts w:ascii="楷体" w:hAnsi="楷体" w:eastAsia="楷体"/>
                <w:sz w:val="24"/>
              </w:rPr>
            </w:pPr>
            <w:r>
              <w:rPr>
                <w:rFonts w:hint="default" w:ascii="楷体" w:hAnsi="楷体" w:eastAsia="楷体"/>
                <w:sz w:val="24"/>
                <w:lang w:val="en-US"/>
              </w:rPr>
              <w:t>12</w:t>
            </w:r>
            <w:r>
              <w:rPr>
                <w:rFonts w:hint="eastAsia" w:ascii="楷体" w:hAnsi="楷体" w:eastAsia="楷体"/>
                <w:sz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ind w:firstLine="0" w:firstLineChars="0"/>
              <w:jc w:val="center"/>
              <w:rPr>
                <w:rFonts w:hint="eastAsia" w:ascii="楷体" w:hAnsi="楷体" w:eastAsia="楷体"/>
                <w:sz w:val="24"/>
                <w:lang w:val="en-US" w:eastAsia="zh-CN"/>
              </w:rPr>
            </w:pPr>
            <w:r>
              <w:rPr>
                <w:rFonts w:hint="eastAsia" w:ascii="楷体" w:hAnsi="楷体" w:eastAsia="楷体"/>
                <w:sz w:val="24"/>
                <w:lang w:val="en-US" w:eastAsia="zh-CN"/>
              </w:rPr>
              <w:t>2</w:t>
            </w:r>
          </w:p>
        </w:tc>
        <w:tc>
          <w:tcPr>
            <w:tcW w:w="1700" w:type="dxa"/>
            <w:vAlign w:val="center"/>
          </w:tcPr>
          <w:p>
            <w:pPr>
              <w:ind w:firstLine="0" w:firstLineChars="0"/>
              <w:jc w:val="both"/>
              <w:rPr>
                <w:rFonts w:ascii="楷体" w:hAnsi="楷体" w:eastAsia="楷体"/>
                <w:sz w:val="24"/>
              </w:rPr>
            </w:pPr>
            <w:r>
              <w:rPr>
                <w:rFonts w:hint="eastAsia" w:ascii="楷体_GB2312" w:hAnsi="楷体_GB2312" w:eastAsia="楷体_GB2312" w:cs="楷体_GB2312"/>
                <w:color w:val="000000"/>
                <w:w w:val="90"/>
                <w:kern w:val="0"/>
                <w:sz w:val="24"/>
                <w:lang w:bidi="ar"/>
              </w:rPr>
              <w:t>对管辖范围内与固体废物污染环境防治有关的单位的行政检查</w:t>
            </w:r>
          </w:p>
        </w:tc>
        <w:tc>
          <w:tcPr>
            <w:tcW w:w="1928" w:type="dxa"/>
            <w:vAlign w:val="center"/>
          </w:tcPr>
          <w:p>
            <w:pPr>
              <w:ind w:firstLine="0" w:firstLineChars="0"/>
              <w:jc w:val="both"/>
              <w:rPr>
                <w:rFonts w:ascii="楷体" w:hAnsi="楷体" w:eastAsia="楷体"/>
                <w:sz w:val="24"/>
              </w:rPr>
            </w:pPr>
            <w:r>
              <w:rPr>
                <w:rFonts w:hint="eastAsia" w:ascii="楷体_GB2312" w:hAnsi="楷体_GB2312" w:eastAsia="楷体_GB2312" w:cs="楷体_GB2312"/>
                <w:color w:val="000000"/>
                <w:w w:val="90"/>
                <w:kern w:val="0"/>
                <w:sz w:val="24"/>
                <w:lang w:bidi="ar"/>
              </w:rPr>
              <w:t>按照《中华人民共和国固体废物污染环境防治法》第三章工业固体废物有关生态环境主管部门职责内容、《危险废物规范化环境管理评估指标》（环办固体〔2021〕20号）有关要求开展检查</w:t>
            </w:r>
          </w:p>
        </w:tc>
        <w:tc>
          <w:tcPr>
            <w:tcW w:w="1461" w:type="dxa"/>
            <w:vAlign w:val="center"/>
          </w:tcPr>
          <w:p>
            <w:pPr>
              <w:ind w:firstLine="0" w:firstLineChars="0"/>
              <w:jc w:val="both"/>
              <w:rPr>
                <w:rFonts w:ascii="楷体" w:hAnsi="楷体" w:eastAsia="楷体"/>
                <w:sz w:val="24"/>
              </w:rPr>
            </w:pPr>
            <w:r>
              <w:rPr>
                <w:rFonts w:hint="eastAsia" w:ascii="楷体_GB2312" w:hAnsi="楷体_GB2312" w:eastAsia="楷体_GB2312" w:cs="楷体_GB2312"/>
                <w:color w:val="000000"/>
                <w:w w:val="90"/>
                <w:kern w:val="0"/>
                <w:sz w:val="24"/>
                <w:lang w:bidi="ar"/>
              </w:rPr>
              <w:t>辖区内固体废物产生、经营单位（含危险废物豁免利用处置）</w:t>
            </w:r>
          </w:p>
        </w:tc>
        <w:tc>
          <w:tcPr>
            <w:tcW w:w="1286"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自然科及各分局</w:t>
            </w:r>
          </w:p>
        </w:tc>
        <w:tc>
          <w:tcPr>
            <w:tcW w:w="1383" w:type="dxa"/>
            <w:vAlign w:val="center"/>
          </w:tcPr>
          <w:p>
            <w:pPr>
              <w:ind w:firstLine="0" w:firstLineChars="0"/>
              <w:jc w:val="both"/>
              <w:rPr>
                <w:rFonts w:ascii="楷体" w:hAnsi="楷体" w:eastAsia="楷体"/>
                <w:sz w:val="24"/>
              </w:rPr>
            </w:pPr>
            <w:r>
              <w:rPr>
                <w:rFonts w:hint="eastAsia" w:ascii="楷体" w:hAnsi="楷体" w:eastAsia="楷体"/>
                <w:sz w:val="24"/>
                <w:lang w:val="en-US" w:eastAsia="zh-CN"/>
              </w:rPr>
              <w:t>现场检查</w:t>
            </w:r>
          </w:p>
        </w:tc>
        <w:tc>
          <w:tcPr>
            <w:tcW w:w="3838" w:type="dxa"/>
            <w:vAlign w:val="center"/>
          </w:tcPr>
          <w:p>
            <w:pPr>
              <w:ind w:firstLine="0" w:firstLineChars="0"/>
              <w:jc w:val="both"/>
              <w:rPr>
                <w:rFonts w:ascii="楷体" w:hAnsi="楷体" w:eastAsia="楷体"/>
                <w:sz w:val="24"/>
              </w:rPr>
            </w:pPr>
            <w:r>
              <w:rPr>
                <w:rFonts w:hint="eastAsia" w:ascii="楷体_GB2312" w:hAnsi="楷体_GB2312" w:eastAsia="楷体_GB2312" w:cs="楷体_GB2312"/>
                <w:color w:val="000000"/>
                <w:w w:val="90"/>
                <w:kern w:val="0"/>
                <w:sz w:val="24"/>
                <w:lang w:bidi="ar"/>
              </w:rPr>
              <w:t>《中华人民共和国固体废物污染环境防治法》第二十六条，生态环境主管部门及其环境执法机构和其他负有固体废物污染环境防治监督管理职责的部门，在各自职责范围内有权对从事产生、收集、贮存、运输、利用、处置固体废物等活动的单位和其他生产经营者进行现场检查。被检查者应当如实反映情况，并提供必要的资料。</w:t>
            </w:r>
          </w:p>
        </w:tc>
        <w:tc>
          <w:tcPr>
            <w:tcW w:w="1188" w:type="dxa"/>
            <w:vAlign w:val="center"/>
          </w:tcPr>
          <w:p>
            <w:pPr>
              <w:ind w:firstLine="0" w:firstLineChars="0"/>
              <w:jc w:val="both"/>
              <w:rPr>
                <w:rFonts w:ascii="楷体" w:hAnsi="楷体" w:eastAsia="楷体"/>
                <w:sz w:val="24"/>
              </w:rPr>
            </w:pPr>
            <w:r>
              <w:rPr>
                <w:rFonts w:hint="eastAsia" w:ascii="楷体" w:hAnsi="楷体" w:eastAsia="楷体"/>
                <w:sz w:val="24"/>
                <w:lang w:val="en-US" w:eastAsia="zh-CN"/>
              </w:rPr>
              <w:t>一年一次</w:t>
            </w:r>
          </w:p>
        </w:tc>
        <w:tc>
          <w:tcPr>
            <w:tcW w:w="1305" w:type="dxa"/>
            <w:vAlign w:val="center"/>
          </w:tcPr>
          <w:p>
            <w:pPr>
              <w:ind w:firstLine="0" w:firstLineChars="0"/>
              <w:jc w:val="both"/>
              <w:rPr>
                <w:rFonts w:ascii="楷体" w:hAnsi="楷体" w:eastAsia="楷体"/>
                <w:sz w:val="24"/>
              </w:rPr>
            </w:pPr>
            <w:r>
              <w:rPr>
                <w:rFonts w:hint="default" w:ascii="楷体" w:hAnsi="楷体" w:eastAsia="楷体"/>
                <w:sz w:val="24"/>
                <w:lang w:val="en-US"/>
              </w:rPr>
              <w:t>6</w:t>
            </w:r>
            <w:r>
              <w:rPr>
                <w:rFonts w:hint="eastAsia" w:ascii="楷体" w:hAnsi="楷体" w:eastAsia="楷体"/>
                <w:sz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ind w:firstLine="0" w:firstLineChars="0"/>
              <w:jc w:val="center"/>
              <w:rPr>
                <w:rFonts w:hint="eastAsia" w:ascii="楷体" w:hAnsi="楷体" w:eastAsia="楷体"/>
                <w:sz w:val="24"/>
                <w:lang w:val="en-US" w:eastAsia="zh-CN"/>
              </w:rPr>
            </w:pPr>
            <w:r>
              <w:rPr>
                <w:rFonts w:hint="eastAsia" w:ascii="楷体" w:hAnsi="楷体" w:eastAsia="楷体"/>
                <w:sz w:val="24"/>
                <w:lang w:val="en-US" w:eastAsia="zh-CN"/>
              </w:rPr>
              <w:t>3</w:t>
            </w:r>
          </w:p>
        </w:tc>
        <w:tc>
          <w:tcPr>
            <w:tcW w:w="1700" w:type="dxa"/>
            <w:vAlign w:val="center"/>
          </w:tcPr>
          <w:p>
            <w:pPr>
              <w:ind w:firstLine="0" w:firstLineChars="0"/>
              <w:jc w:val="both"/>
              <w:rPr>
                <w:rFonts w:hint="eastAsia" w:ascii="楷体" w:hAnsi="楷体" w:eastAsia="楷体"/>
                <w:sz w:val="24"/>
              </w:rPr>
            </w:pPr>
            <w:r>
              <w:rPr>
                <w:rFonts w:hint="eastAsia" w:ascii="楷体_GB2312" w:hAnsi="楷体_GB2312" w:eastAsia="楷体_GB2312" w:cs="楷体_GB2312"/>
                <w:color w:val="000000"/>
                <w:w w:val="90"/>
                <w:kern w:val="0"/>
                <w:sz w:val="24"/>
                <w:lang w:bidi="ar"/>
              </w:rPr>
              <w:t>对拆船单位的拆船活动的行政检查</w:t>
            </w:r>
          </w:p>
        </w:tc>
        <w:tc>
          <w:tcPr>
            <w:tcW w:w="1928" w:type="dxa"/>
            <w:vAlign w:val="center"/>
          </w:tcPr>
          <w:p>
            <w:pPr>
              <w:ind w:firstLine="0" w:firstLineChars="0"/>
              <w:jc w:val="both"/>
              <w:rPr>
                <w:rFonts w:hint="eastAsia" w:ascii="楷体" w:hAnsi="楷体" w:eastAsia="楷体"/>
                <w:sz w:val="24"/>
              </w:rPr>
            </w:pPr>
            <w:r>
              <w:rPr>
                <w:rFonts w:hint="eastAsia" w:ascii="楷体_GB2312" w:hAnsi="楷体_GB2312" w:eastAsia="楷体_GB2312" w:cs="楷体_GB2312"/>
                <w:color w:val="000000"/>
                <w:w w:val="90"/>
                <w:kern w:val="0"/>
                <w:sz w:val="24"/>
                <w:lang w:bidi="ar"/>
              </w:rPr>
              <w:t>按照《防止拆船污染环境管理条例》规定事项开展检查</w:t>
            </w:r>
          </w:p>
        </w:tc>
        <w:tc>
          <w:tcPr>
            <w:tcW w:w="1461" w:type="dxa"/>
            <w:vAlign w:val="center"/>
          </w:tcPr>
          <w:p>
            <w:pPr>
              <w:ind w:firstLine="0" w:firstLineChars="0"/>
              <w:jc w:val="both"/>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港区水域外的岸边拆船单位</w:t>
            </w:r>
          </w:p>
        </w:tc>
        <w:tc>
          <w:tcPr>
            <w:tcW w:w="1286" w:type="dxa"/>
            <w:vAlign w:val="center"/>
          </w:tcPr>
          <w:p>
            <w:pPr>
              <w:ind w:firstLine="0" w:firstLineChars="0"/>
              <w:jc w:val="both"/>
              <w:rPr>
                <w:rFonts w:hint="eastAsia" w:ascii="楷体" w:hAnsi="楷体" w:eastAsia="楷体"/>
                <w:sz w:val="24"/>
                <w:lang w:val="en-US" w:eastAsia="zh-CN"/>
              </w:rPr>
            </w:pPr>
            <w:r>
              <w:rPr>
                <w:rFonts w:hint="eastAsia" w:ascii="楷体" w:hAnsi="楷体" w:eastAsia="楷体"/>
                <w:sz w:val="24"/>
                <w:lang w:val="en-US" w:eastAsia="zh-CN"/>
              </w:rPr>
              <w:t>自然科及各分局</w:t>
            </w:r>
          </w:p>
        </w:tc>
        <w:tc>
          <w:tcPr>
            <w:tcW w:w="1383" w:type="dxa"/>
            <w:vAlign w:val="center"/>
          </w:tcPr>
          <w:p>
            <w:pPr>
              <w:ind w:firstLine="0" w:firstLineChars="0"/>
              <w:jc w:val="both"/>
              <w:rPr>
                <w:rFonts w:hint="eastAsia" w:ascii="楷体" w:hAnsi="楷体" w:eastAsia="楷体"/>
                <w:sz w:val="24"/>
              </w:rPr>
            </w:pPr>
            <w:r>
              <w:rPr>
                <w:rFonts w:hint="eastAsia" w:ascii="楷体" w:hAnsi="楷体" w:eastAsia="楷体"/>
                <w:sz w:val="24"/>
                <w:lang w:val="en-US" w:eastAsia="zh-CN"/>
              </w:rPr>
              <w:t>现场检查</w:t>
            </w:r>
          </w:p>
        </w:tc>
        <w:tc>
          <w:tcPr>
            <w:tcW w:w="3838" w:type="dxa"/>
            <w:vAlign w:val="center"/>
          </w:tcPr>
          <w:p>
            <w:pPr>
              <w:ind w:firstLine="0" w:firstLineChars="0"/>
              <w:jc w:val="both"/>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《防止拆船污染环境管理条例（2017修订）》第四条，县级以上人民政府环境保护部门负责组织协调、监督检查拆船业的环境保护工作，并主管港区水域外的岸边拆船环境保护工作。</w:t>
            </w:r>
            <w:r>
              <w:rPr>
                <w:rFonts w:hint="eastAsia" w:ascii="楷体_GB2312" w:hAnsi="楷体_GB2312" w:eastAsia="楷体_GB2312" w:cs="楷体_GB2312"/>
                <w:color w:val="000000"/>
                <w:w w:val="90"/>
                <w:kern w:val="0"/>
                <w:sz w:val="24"/>
                <w:lang w:bidi="ar"/>
              </w:rPr>
              <w:br w:type="textWrapping"/>
            </w:r>
            <w:r>
              <w:rPr>
                <w:rFonts w:hint="eastAsia" w:ascii="楷体_GB2312" w:hAnsi="楷体_GB2312" w:eastAsia="楷体_GB2312" w:cs="楷体_GB2312"/>
                <w:color w:val="000000"/>
                <w:w w:val="90"/>
                <w:kern w:val="0"/>
                <w:sz w:val="24"/>
                <w:lang w:bidi="ar"/>
              </w:rPr>
              <w:t>第七条监督拆船污染的主管部门有权对拆船单位的拆船活动进行检查，被检查单位必须如实反映情况，提供必要的资料。</w:t>
            </w:r>
          </w:p>
        </w:tc>
        <w:tc>
          <w:tcPr>
            <w:tcW w:w="1188" w:type="dxa"/>
            <w:vAlign w:val="center"/>
          </w:tcPr>
          <w:p>
            <w:pPr>
              <w:ind w:firstLine="0" w:firstLineChars="0"/>
              <w:jc w:val="both"/>
              <w:rPr>
                <w:rFonts w:hint="eastAsia" w:ascii="楷体" w:hAnsi="楷体" w:eastAsia="楷体"/>
                <w:sz w:val="24"/>
              </w:rPr>
            </w:pPr>
            <w:r>
              <w:rPr>
                <w:rFonts w:hint="eastAsia" w:ascii="楷体" w:hAnsi="楷体" w:eastAsia="楷体"/>
                <w:sz w:val="24"/>
                <w:lang w:val="en-US" w:eastAsia="zh-CN"/>
              </w:rPr>
              <w:t>一年一次</w:t>
            </w:r>
          </w:p>
        </w:tc>
        <w:tc>
          <w:tcPr>
            <w:tcW w:w="1305" w:type="dxa"/>
            <w:vAlign w:val="center"/>
          </w:tcPr>
          <w:p>
            <w:pPr>
              <w:ind w:firstLine="0" w:firstLineChars="0"/>
              <w:jc w:val="both"/>
              <w:rPr>
                <w:rFonts w:hint="eastAsia" w:ascii="楷体" w:hAnsi="楷体" w:eastAsia="楷体"/>
                <w:sz w:val="24"/>
              </w:rPr>
            </w:pPr>
            <w:r>
              <w:rPr>
                <w:rFonts w:hint="default" w:ascii="楷体" w:hAnsi="楷体" w:eastAsia="楷体"/>
                <w:sz w:val="24"/>
                <w:lang w:val="en-US" w:eastAsia="zh-CN"/>
              </w:rPr>
              <w:t>9</w:t>
            </w:r>
            <w:r>
              <w:rPr>
                <w:rFonts w:hint="eastAsia" w:ascii="楷体" w:hAnsi="楷体" w:eastAsia="楷体"/>
                <w:sz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vAlign w:val="center"/>
          </w:tcPr>
          <w:p>
            <w:pPr>
              <w:widowControl/>
              <w:spacing w:line="320" w:lineRule="exact"/>
              <w:ind w:firstLine="480" w:firstLineChars="200"/>
              <w:jc w:val="center"/>
              <w:textAlignment w:val="center"/>
              <w:rPr>
                <w:rFonts w:hint="eastAsia" w:ascii="楷体" w:hAnsi="楷体" w:eastAsia="楷体"/>
                <w:sz w:val="24"/>
                <w:lang w:val="en-US" w:eastAsia="zh-CN"/>
              </w:rPr>
            </w:pPr>
            <w:r>
              <w:rPr>
                <w:rFonts w:hint="eastAsia" w:ascii="楷体" w:hAnsi="楷体" w:eastAsia="楷体"/>
                <w:sz w:val="24"/>
                <w:lang w:val="en-US" w:eastAsia="zh-CN"/>
              </w:rPr>
              <w:t>4</w:t>
            </w:r>
          </w:p>
        </w:tc>
        <w:tc>
          <w:tcPr>
            <w:tcW w:w="1700"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bidi="ar"/>
              </w:rPr>
              <w:t>对塑料废弃物再生利用企业的行政检查</w:t>
            </w:r>
          </w:p>
        </w:tc>
        <w:tc>
          <w:tcPr>
            <w:tcW w:w="1928" w:type="dxa"/>
            <w:vAlign w:val="center"/>
          </w:tcPr>
          <w:p>
            <w:pPr>
              <w:widowControl/>
              <w:spacing w:line="320" w:lineRule="exact"/>
              <w:ind w:firstLine="432" w:firstLineChars="200"/>
              <w:jc w:val="both"/>
              <w:textAlignment w:val="center"/>
              <w:rPr>
                <w:rFonts w:eastAsia="楷体_GB2312"/>
                <w:color w:val="000000"/>
                <w:w w:val="90"/>
                <w:kern w:val="0"/>
                <w:sz w:val="24"/>
                <w:lang w:bidi="ar"/>
              </w:rPr>
            </w:pPr>
            <w:r>
              <w:rPr>
                <w:rFonts w:eastAsia="楷体_GB2312"/>
                <w:color w:val="000000"/>
                <w:w w:val="90"/>
                <w:kern w:val="0"/>
                <w:sz w:val="24"/>
                <w:lang w:bidi="ar"/>
              </w:rPr>
              <w:t>围绕项目环评批复、竣工验收、“三同时”执行、废气废水排放合规性、固废处置、环境管理台账、执行报告、应急管理、自行监测、自行监测信息公开、环境信息公开情况等情况开展检查</w:t>
            </w:r>
          </w:p>
          <w:p>
            <w:pPr>
              <w:widowControl/>
              <w:spacing w:line="320" w:lineRule="exact"/>
              <w:ind w:firstLine="432" w:firstLineChars="200"/>
              <w:jc w:val="both"/>
              <w:textAlignment w:val="center"/>
              <w:rPr>
                <w:rFonts w:hint="eastAsia" w:ascii="楷体" w:hAnsi="楷体" w:eastAsia="楷体"/>
                <w:sz w:val="24"/>
              </w:rPr>
            </w:pPr>
            <w:r>
              <w:rPr>
                <w:rFonts w:eastAsia="楷体_GB2312"/>
                <w:color w:val="000000"/>
                <w:w w:val="90"/>
                <w:kern w:val="0"/>
                <w:sz w:val="24"/>
                <w:lang w:bidi="ar"/>
              </w:rPr>
              <w:t>（《国家发展改革委、生态环境部关于印发“十四五”塑料污染治理行动方案的通知》发改环资〔2021〕1298号）</w:t>
            </w:r>
          </w:p>
        </w:tc>
        <w:tc>
          <w:tcPr>
            <w:tcW w:w="1461"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eastAsia="楷体_GB2312"/>
                <w:color w:val="000000"/>
                <w:w w:val="90"/>
                <w:kern w:val="0"/>
                <w:sz w:val="24"/>
                <w:lang w:bidi="ar"/>
              </w:rPr>
              <w:t>辖区内塑料废弃物再生利用企业</w:t>
            </w:r>
          </w:p>
        </w:tc>
        <w:tc>
          <w:tcPr>
            <w:tcW w:w="1286" w:type="dxa"/>
            <w:vAlign w:val="center"/>
          </w:tcPr>
          <w:p>
            <w:pPr>
              <w:widowControl/>
              <w:spacing w:line="320" w:lineRule="exact"/>
              <w:ind w:left="0" w:leftChars="0" w:firstLine="0" w:firstLineChars="0"/>
              <w:jc w:val="both"/>
              <w:textAlignment w:val="center"/>
              <w:rPr>
                <w:rFonts w:hint="eastAsia" w:eastAsia="楷体_GB2312"/>
                <w:color w:val="000000"/>
                <w:w w:val="90"/>
                <w:kern w:val="0"/>
                <w:sz w:val="24"/>
                <w:lang w:val="en-US" w:eastAsia="zh-CN" w:bidi="ar"/>
              </w:rPr>
            </w:pPr>
            <w:r>
              <w:rPr>
                <w:rFonts w:hint="eastAsia" w:ascii="楷体" w:hAnsi="楷体" w:eastAsia="楷体"/>
                <w:sz w:val="24"/>
                <w:lang w:val="en-US" w:eastAsia="zh-CN"/>
              </w:rPr>
              <w:t>自然科及各分局</w:t>
            </w:r>
          </w:p>
        </w:tc>
        <w:tc>
          <w:tcPr>
            <w:tcW w:w="1383" w:type="dxa"/>
            <w:vAlign w:val="center"/>
          </w:tcPr>
          <w:p>
            <w:pPr>
              <w:widowControl/>
              <w:spacing w:line="320" w:lineRule="exact"/>
              <w:ind w:left="0" w:leftChars="0" w:firstLine="0" w:firstLineChars="0"/>
              <w:jc w:val="both"/>
              <w:textAlignment w:val="center"/>
              <w:rPr>
                <w:rFonts w:hint="eastAsia" w:ascii="楷体" w:hAnsi="楷体" w:eastAsia="楷体"/>
                <w:sz w:val="24"/>
              </w:rPr>
            </w:pPr>
            <w:r>
              <w:rPr>
                <w:rFonts w:hint="eastAsia" w:eastAsia="楷体_GB2312"/>
                <w:color w:val="000000"/>
                <w:w w:val="90"/>
                <w:kern w:val="0"/>
                <w:sz w:val="24"/>
                <w:lang w:val="en-US" w:eastAsia="zh-CN" w:bidi="ar"/>
              </w:rPr>
              <w:t>现场检查</w:t>
            </w:r>
          </w:p>
        </w:tc>
        <w:tc>
          <w:tcPr>
            <w:tcW w:w="3838"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ascii="楷体_GB2312" w:hAnsi="楷体_GB2312" w:eastAsia="楷体_GB2312" w:cs="楷体_GB2312"/>
                <w:color w:val="000000"/>
                <w:w w:val="90"/>
                <w:kern w:val="0"/>
                <w:sz w:val="24"/>
                <w:lang w:bidi="ar"/>
              </w:rPr>
              <w:t>《中华人民共和国环境保护法》第二十四条：县级以上人民政府环境保护主管部门及其委托的环境监察机构和其他负有环境保护监督管理职责的部门，有权对排放污染物的企业事业单位和其他生产经营者进行现场检查。</w:t>
            </w:r>
          </w:p>
        </w:tc>
        <w:tc>
          <w:tcPr>
            <w:tcW w:w="1188" w:type="dxa"/>
            <w:vAlign w:val="center"/>
          </w:tcPr>
          <w:p>
            <w:pPr>
              <w:widowControl/>
              <w:spacing w:line="320" w:lineRule="exact"/>
              <w:ind w:left="0" w:leftChars="0" w:firstLine="0" w:firstLineChars="0"/>
              <w:jc w:val="both"/>
              <w:textAlignment w:val="center"/>
              <w:rPr>
                <w:rFonts w:hint="eastAsia" w:ascii="楷体" w:hAnsi="楷体" w:eastAsia="楷体"/>
                <w:sz w:val="24"/>
              </w:rPr>
            </w:pPr>
            <w:r>
              <w:rPr>
                <w:rFonts w:hint="eastAsia" w:eastAsia="楷体_GB2312"/>
                <w:color w:val="000000"/>
                <w:w w:val="90"/>
                <w:kern w:val="0"/>
                <w:sz w:val="24"/>
                <w:lang w:val="en-US" w:eastAsia="zh-CN" w:bidi="ar"/>
              </w:rPr>
              <w:t>一年一次</w:t>
            </w:r>
          </w:p>
        </w:tc>
        <w:tc>
          <w:tcPr>
            <w:tcW w:w="1305" w:type="dxa"/>
            <w:vAlign w:val="center"/>
          </w:tcPr>
          <w:p>
            <w:pPr>
              <w:widowControl/>
              <w:spacing w:line="320" w:lineRule="exact"/>
              <w:ind w:firstLine="432" w:firstLineChars="200"/>
              <w:jc w:val="both"/>
              <w:textAlignment w:val="center"/>
              <w:rPr>
                <w:rFonts w:hint="eastAsia" w:ascii="楷体" w:hAnsi="楷体" w:eastAsia="楷体"/>
                <w:sz w:val="24"/>
              </w:rPr>
            </w:pPr>
            <w:r>
              <w:rPr>
                <w:rFonts w:hint="default" w:eastAsia="楷体_GB2312"/>
                <w:color w:val="000000"/>
                <w:w w:val="90"/>
                <w:kern w:val="0"/>
                <w:sz w:val="24"/>
                <w:lang w:val="en-US" w:eastAsia="zh-CN" w:bidi="ar"/>
              </w:rPr>
              <w:t>10</w:t>
            </w:r>
            <w:r>
              <w:rPr>
                <w:rFonts w:hint="eastAsia" w:eastAsia="楷体_GB2312"/>
                <w:color w:val="000000"/>
                <w:w w:val="90"/>
                <w:kern w:val="0"/>
                <w:sz w:val="24"/>
                <w:lang w:val="en-US" w:eastAsia="zh-CN" w:bidi="ar"/>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widowControl/>
              <w:spacing w:line="320" w:lineRule="exact"/>
              <w:ind w:firstLine="480" w:firstLineChars="200"/>
              <w:jc w:val="center"/>
              <w:textAlignment w:val="center"/>
              <w:rPr>
                <w:rFonts w:hint="eastAsia" w:ascii="楷体" w:hAnsi="楷体" w:eastAsia="楷体"/>
                <w:sz w:val="24"/>
                <w:lang w:val="en-US" w:eastAsia="zh-CN"/>
              </w:rPr>
            </w:pPr>
            <w:r>
              <w:rPr>
                <w:rFonts w:hint="eastAsia" w:ascii="楷体" w:hAnsi="楷体" w:eastAsia="楷体"/>
                <w:sz w:val="24"/>
                <w:lang w:val="en-US" w:eastAsia="zh-CN"/>
              </w:rPr>
              <w:t>5</w:t>
            </w:r>
          </w:p>
        </w:tc>
        <w:tc>
          <w:tcPr>
            <w:tcW w:w="1700"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bidi="ar"/>
              </w:rPr>
              <w:t>对含消耗臭氧层物质的制冷设备、制冷系统或者灭火系统的维修、报废处理，消耗臭氧层物质回收、再生利用或者销毁等经营活动的单位的行政检查</w:t>
            </w:r>
          </w:p>
        </w:tc>
        <w:tc>
          <w:tcPr>
            <w:tcW w:w="1928"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bidi="ar"/>
              </w:rPr>
              <w:t>消耗臭氧层物质的制冷设备、制冷系统或者灭火系统的维修、报废处理，消耗臭氧层物质回收、再生利用或者销毁等活动情况。</w:t>
            </w:r>
          </w:p>
        </w:tc>
        <w:tc>
          <w:tcPr>
            <w:tcW w:w="1461"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bidi="ar"/>
              </w:rPr>
              <w:t>从事消耗臭氧层物质的生产、销售、使用和进出口等活动的单位</w:t>
            </w:r>
          </w:p>
        </w:tc>
        <w:tc>
          <w:tcPr>
            <w:tcW w:w="1286" w:type="dxa"/>
            <w:vAlign w:val="center"/>
          </w:tcPr>
          <w:p>
            <w:pPr>
              <w:widowControl/>
              <w:spacing w:line="320" w:lineRule="exact"/>
              <w:ind w:left="0" w:leftChars="0" w:firstLine="0" w:firstLineChars="0"/>
              <w:jc w:val="both"/>
              <w:textAlignment w:val="center"/>
              <w:rPr>
                <w:rFonts w:hint="eastAsia" w:eastAsia="楷体_GB2312"/>
                <w:color w:val="000000"/>
                <w:w w:val="90"/>
                <w:kern w:val="0"/>
                <w:sz w:val="24"/>
                <w:lang w:eastAsia="zh-CN" w:bidi="ar"/>
              </w:rPr>
            </w:pPr>
            <w:r>
              <w:rPr>
                <w:rFonts w:hint="eastAsia" w:eastAsia="楷体_GB2312"/>
                <w:color w:val="000000"/>
                <w:w w:val="90"/>
                <w:kern w:val="0"/>
                <w:sz w:val="24"/>
                <w:lang w:eastAsia="zh-CN" w:bidi="ar"/>
              </w:rPr>
              <w:t>大气科及各分局</w:t>
            </w:r>
          </w:p>
        </w:tc>
        <w:tc>
          <w:tcPr>
            <w:tcW w:w="1383" w:type="dxa"/>
            <w:vAlign w:val="center"/>
          </w:tcPr>
          <w:p>
            <w:pPr>
              <w:widowControl/>
              <w:spacing w:line="320" w:lineRule="exact"/>
              <w:ind w:left="0" w:leftChars="0" w:firstLine="0" w:firstLineChars="0"/>
              <w:jc w:val="both"/>
              <w:textAlignment w:val="center"/>
              <w:rPr>
                <w:rFonts w:hint="eastAsia" w:ascii="楷体" w:hAnsi="楷体" w:eastAsia="楷体"/>
                <w:sz w:val="24"/>
              </w:rPr>
            </w:pPr>
            <w:r>
              <w:rPr>
                <w:rFonts w:hint="eastAsia" w:eastAsia="楷体_GB2312"/>
                <w:color w:val="000000"/>
                <w:w w:val="90"/>
                <w:kern w:val="0"/>
                <w:sz w:val="24"/>
                <w:lang w:bidi="ar"/>
              </w:rPr>
              <w:t>现场检查</w:t>
            </w:r>
          </w:p>
        </w:tc>
        <w:tc>
          <w:tcPr>
            <w:tcW w:w="3838"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bidi="ar"/>
              </w:rPr>
              <w:t>《消耗臭氧层物质管理条例》第二十五条：县级以上人民政府环境保护主管部门和其他有关部门，依照本条例的规定和各自的职责对消耗臭氧层物质的生产、销售、使用和进出口等活动进行监督检查。第二十六条：县级以上人民政府环境保护主管部门和其他有关部门进行监督检查，有权采取下列措施：（一）要求被检查单位提供有关资料；（二）要求被检查单位就执行本条例规定的有关情况作出说明；（三）进入被检查单位的生产、经营、储存场所进行调查和取证；（四）责令被检查单位停止违反本条例规定的行为，履行法定义务。</w:t>
            </w:r>
          </w:p>
        </w:tc>
        <w:tc>
          <w:tcPr>
            <w:tcW w:w="1188" w:type="dxa"/>
            <w:vAlign w:val="center"/>
          </w:tcPr>
          <w:p>
            <w:pPr>
              <w:widowControl/>
              <w:spacing w:line="320" w:lineRule="exact"/>
              <w:ind w:left="0" w:leftChars="0" w:firstLine="0" w:firstLineChars="0"/>
              <w:jc w:val="both"/>
              <w:textAlignment w:val="center"/>
              <w:rPr>
                <w:rFonts w:hint="eastAsia" w:ascii="楷体" w:hAnsi="楷体" w:eastAsia="楷体"/>
                <w:sz w:val="24"/>
              </w:rPr>
            </w:pPr>
            <w:r>
              <w:rPr>
                <w:rFonts w:hint="eastAsia" w:eastAsia="楷体_GB2312"/>
                <w:color w:val="000000"/>
                <w:w w:val="90"/>
                <w:kern w:val="0"/>
                <w:sz w:val="24"/>
                <w:lang w:val="en-US" w:eastAsia="zh-CN" w:bidi="ar"/>
              </w:rPr>
              <w:t>一年一次</w:t>
            </w:r>
          </w:p>
        </w:tc>
        <w:tc>
          <w:tcPr>
            <w:tcW w:w="1305" w:type="dxa"/>
            <w:vAlign w:val="center"/>
          </w:tcPr>
          <w:p>
            <w:pPr>
              <w:widowControl/>
              <w:spacing w:line="320" w:lineRule="exact"/>
              <w:ind w:left="0" w:leftChars="0" w:firstLine="0" w:firstLineChars="0"/>
              <w:jc w:val="both"/>
              <w:textAlignment w:val="center"/>
              <w:rPr>
                <w:rFonts w:hint="eastAsia" w:ascii="楷体" w:hAnsi="楷体" w:eastAsia="楷体"/>
                <w:sz w:val="24"/>
              </w:rPr>
            </w:pPr>
            <w:r>
              <w:rPr>
                <w:rFonts w:hint="eastAsia" w:eastAsia="楷体_GB2312"/>
                <w:color w:val="000000"/>
                <w:w w:val="90"/>
                <w:kern w:val="0"/>
                <w:sz w:val="24"/>
                <w:lang w:val="en-US" w:eastAsia="zh-CN" w:bidi="ar"/>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trPr>
        <w:tc>
          <w:tcPr>
            <w:tcW w:w="750" w:type="dxa"/>
            <w:vAlign w:val="center"/>
          </w:tcPr>
          <w:p>
            <w:pPr>
              <w:widowControl/>
              <w:spacing w:line="320" w:lineRule="exact"/>
              <w:ind w:firstLine="480" w:firstLineChars="200"/>
              <w:jc w:val="center"/>
              <w:textAlignment w:val="center"/>
              <w:rPr>
                <w:rFonts w:hint="eastAsia" w:ascii="楷体" w:hAnsi="楷体" w:eastAsia="楷体"/>
                <w:sz w:val="24"/>
                <w:lang w:val="en-US" w:eastAsia="zh-CN"/>
              </w:rPr>
            </w:pPr>
            <w:r>
              <w:rPr>
                <w:rFonts w:hint="eastAsia" w:ascii="楷体" w:hAnsi="楷体" w:eastAsia="楷体"/>
                <w:sz w:val="24"/>
                <w:lang w:val="en-US" w:eastAsia="zh-CN"/>
              </w:rPr>
              <w:t>6</w:t>
            </w:r>
          </w:p>
        </w:tc>
        <w:tc>
          <w:tcPr>
            <w:tcW w:w="1700"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bidi="ar"/>
              </w:rPr>
              <w:t>对机动车生产、进口企业信息公开情况的行政检查</w:t>
            </w:r>
          </w:p>
        </w:tc>
        <w:tc>
          <w:tcPr>
            <w:tcW w:w="1928"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bidi="ar"/>
              </w:rPr>
              <w:t>机动车生产、进口企业信息公开情况</w:t>
            </w:r>
          </w:p>
        </w:tc>
        <w:tc>
          <w:tcPr>
            <w:tcW w:w="1461"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bidi="ar"/>
              </w:rPr>
              <w:t>机动车生产、进口企业</w:t>
            </w:r>
          </w:p>
        </w:tc>
        <w:tc>
          <w:tcPr>
            <w:tcW w:w="1286" w:type="dxa"/>
            <w:vAlign w:val="center"/>
          </w:tcPr>
          <w:p>
            <w:pPr>
              <w:widowControl/>
              <w:spacing w:line="320" w:lineRule="exact"/>
              <w:ind w:left="0" w:leftChars="0" w:firstLine="0" w:firstLineChars="0"/>
              <w:jc w:val="both"/>
              <w:textAlignment w:val="center"/>
              <w:rPr>
                <w:rFonts w:hint="eastAsia" w:eastAsia="楷体_GB2312"/>
                <w:color w:val="000000"/>
                <w:w w:val="90"/>
                <w:kern w:val="0"/>
                <w:sz w:val="24"/>
                <w:lang w:bidi="ar"/>
              </w:rPr>
            </w:pPr>
            <w:r>
              <w:rPr>
                <w:rFonts w:hint="eastAsia" w:eastAsia="楷体_GB2312"/>
                <w:color w:val="000000"/>
                <w:w w:val="90"/>
                <w:kern w:val="0"/>
                <w:sz w:val="24"/>
                <w:lang w:eastAsia="zh-CN" w:bidi="ar"/>
              </w:rPr>
              <w:t>大气科及各分局</w:t>
            </w:r>
          </w:p>
        </w:tc>
        <w:tc>
          <w:tcPr>
            <w:tcW w:w="1383" w:type="dxa"/>
            <w:vAlign w:val="center"/>
          </w:tcPr>
          <w:p>
            <w:pPr>
              <w:widowControl/>
              <w:spacing w:line="320" w:lineRule="exact"/>
              <w:ind w:left="0" w:leftChars="0" w:firstLine="0" w:firstLineChars="0"/>
              <w:jc w:val="both"/>
              <w:textAlignment w:val="center"/>
              <w:rPr>
                <w:rFonts w:hint="eastAsia" w:ascii="楷体" w:hAnsi="楷体" w:eastAsia="楷体"/>
                <w:sz w:val="24"/>
              </w:rPr>
            </w:pPr>
            <w:r>
              <w:rPr>
                <w:rFonts w:hint="eastAsia" w:eastAsia="楷体_GB2312"/>
                <w:color w:val="000000"/>
                <w:w w:val="90"/>
                <w:kern w:val="0"/>
                <w:sz w:val="24"/>
                <w:lang w:bidi="ar"/>
              </w:rPr>
              <w:t>现场检查</w:t>
            </w:r>
          </w:p>
        </w:tc>
        <w:tc>
          <w:tcPr>
            <w:tcW w:w="3838"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bidi="ar"/>
              </w:rPr>
              <w:t>《大气污染防治法》：</w:t>
            </w:r>
            <w:r>
              <w:rPr>
                <w:rFonts w:hint="eastAsia" w:eastAsia="楷体_GB2312"/>
                <w:color w:val="000000"/>
                <w:w w:val="90"/>
                <w:kern w:val="0"/>
                <w:sz w:val="24"/>
                <w:lang w:bidi="ar"/>
              </w:rPr>
              <w:br w:type="textWrapping"/>
            </w:r>
            <w:r>
              <w:rPr>
                <w:rFonts w:hint="eastAsia" w:eastAsia="楷体_GB2312"/>
                <w:color w:val="000000"/>
                <w:w w:val="90"/>
                <w:kern w:val="0"/>
                <w:sz w:val="24"/>
                <w:lang w:bidi="ar"/>
              </w:rPr>
              <w:t xml:space="preserve">    第五十五条　机动车生产、进口企业应当向社会公布其生产、进口机动车车型的排放检验信息、污染控制技术信息和有关维修技术信息。</w:t>
            </w:r>
            <w:r>
              <w:rPr>
                <w:rFonts w:hint="eastAsia" w:eastAsia="楷体_GB2312"/>
                <w:color w:val="000000"/>
                <w:w w:val="90"/>
                <w:kern w:val="0"/>
                <w:sz w:val="24"/>
                <w:lang w:bidi="ar"/>
              </w:rPr>
              <w:br w:type="textWrapping"/>
            </w:r>
            <w:r>
              <w:rPr>
                <w:rFonts w:hint="eastAsia" w:eastAsia="楷体_GB2312"/>
                <w:color w:val="000000"/>
                <w:w w:val="90"/>
                <w:kern w:val="0"/>
                <w:sz w:val="24"/>
                <w:lang w:bidi="ar"/>
              </w:rPr>
              <w:t xml:space="preserve">    第一百一十一条　违反本法规定，机动车生产、进口企业未按照规定向社会公布其生产、进口机动车车型的排放检验信息或者污染控制技术信息的，由省级以上人民政府生态环境主管部门责令改正，处五万元以上五十万元以下的罚款。</w:t>
            </w:r>
            <w:r>
              <w:rPr>
                <w:rFonts w:hint="eastAsia" w:eastAsia="楷体_GB2312"/>
                <w:color w:val="000000"/>
                <w:w w:val="90"/>
                <w:kern w:val="0"/>
                <w:sz w:val="24"/>
                <w:lang w:bidi="ar"/>
              </w:rPr>
              <w:br w:type="textWrapping"/>
            </w:r>
            <w:r>
              <w:rPr>
                <w:rFonts w:hint="eastAsia" w:eastAsia="楷体_GB2312"/>
                <w:color w:val="000000"/>
                <w:w w:val="90"/>
                <w:kern w:val="0"/>
                <w:sz w:val="24"/>
                <w:lang w:bidi="ar"/>
              </w:rPr>
              <w:t xml:space="preserve">   《广东省人民政府关于调整实施一批省级权责清单事项的决定》</w:t>
            </w:r>
            <w:r>
              <w:rPr>
                <w:rFonts w:hint="eastAsia" w:eastAsia="楷体_GB2312"/>
                <w:color w:val="000000"/>
                <w:w w:val="90"/>
                <w:kern w:val="0"/>
                <w:sz w:val="24"/>
                <w:lang w:eastAsia="zh-CN" w:bidi="ar"/>
              </w:rPr>
              <w:t>。</w:t>
            </w:r>
          </w:p>
        </w:tc>
        <w:tc>
          <w:tcPr>
            <w:tcW w:w="1188" w:type="dxa"/>
            <w:vAlign w:val="center"/>
          </w:tcPr>
          <w:p>
            <w:pPr>
              <w:widowControl/>
              <w:spacing w:line="320" w:lineRule="exact"/>
              <w:ind w:left="0" w:leftChars="0" w:firstLine="0" w:firstLineChars="0"/>
              <w:jc w:val="both"/>
              <w:textAlignment w:val="center"/>
              <w:rPr>
                <w:rFonts w:hint="eastAsia" w:ascii="楷体" w:hAnsi="楷体" w:eastAsia="楷体"/>
                <w:sz w:val="24"/>
              </w:rPr>
            </w:pPr>
            <w:r>
              <w:rPr>
                <w:rFonts w:hint="eastAsia" w:eastAsia="楷体_GB2312"/>
                <w:color w:val="000000"/>
                <w:w w:val="90"/>
                <w:kern w:val="0"/>
                <w:sz w:val="24"/>
                <w:lang w:val="en-US" w:eastAsia="zh-CN" w:bidi="ar"/>
              </w:rPr>
              <w:t>一年一次</w:t>
            </w:r>
          </w:p>
        </w:tc>
        <w:tc>
          <w:tcPr>
            <w:tcW w:w="1305" w:type="dxa"/>
            <w:vAlign w:val="center"/>
          </w:tcPr>
          <w:p>
            <w:pPr>
              <w:widowControl/>
              <w:spacing w:line="320" w:lineRule="exact"/>
              <w:ind w:left="0" w:leftChars="0" w:firstLine="0" w:firstLineChars="0"/>
              <w:jc w:val="both"/>
              <w:textAlignment w:val="center"/>
              <w:rPr>
                <w:rFonts w:hint="eastAsia" w:ascii="楷体" w:hAnsi="楷体" w:eastAsia="楷体"/>
                <w:sz w:val="24"/>
              </w:rPr>
            </w:pPr>
            <w:r>
              <w:rPr>
                <w:rFonts w:hint="eastAsia" w:eastAsia="楷体_GB2312"/>
                <w:color w:val="000000"/>
                <w:w w:val="90"/>
                <w:kern w:val="0"/>
                <w:sz w:val="24"/>
                <w:lang w:val="en-US" w:eastAsia="zh-CN" w:bidi="ar"/>
              </w:rPr>
              <w:t>下半年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50" w:type="dxa"/>
            <w:vAlign w:val="center"/>
          </w:tcPr>
          <w:p>
            <w:pPr>
              <w:widowControl/>
              <w:spacing w:line="320" w:lineRule="exact"/>
              <w:ind w:firstLine="480" w:firstLineChars="200"/>
              <w:jc w:val="center"/>
              <w:textAlignment w:val="center"/>
              <w:rPr>
                <w:rFonts w:hint="eastAsia" w:ascii="楷体" w:hAnsi="楷体" w:eastAsia="楷体"/>
                <w:sz w:val="24"/>
                <w:lang w:val="en-US" w:eastAsia="zh-CN"/>
              </w:rPr>
            </w:pPr>
            <w:r>
              <w:rPr>
                <w:rFonts w:hint="eastAsia" w:ascii="楷体" w:hAnsi="楷体" w:eastAsia="楷体"/>
                <w:sz w:val="24"/>
                <w:lang w:val="en-US" w:eastAsia="zh-CN"/>
              </w:rPr>
              <w:t>7</w:t>
            </w:r>
          </w:p>
        </w:tc>
        <w:tc>
          <w:tcPr>
            <w:tcW w:w="1700"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自行监测帮扶指导</w:t>
            </w:r>
          </w:p>
        </w:tc>
        <w:tc>
          <w:tcPr>
            <w:tcW w:w="1928"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对已核发排污许可证企业开展自行监测检查</w:t>
            </w:r>
          </w:p>
        </w:tc>
        <w:tc>
          <w:tcPr>
            <w:tcW w:w="1461"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val="en-US" w:eastAsia="zh-CN" w:bidi="ar"/>
              </w:rPr>
              <w:t>已核发排污许可证企业</w:t>
            </w:r>
          </w:p>
        </w:tc>
        <w:tc>
          <w:tcPr>
            <w:tcW w:w="1286" w:type="dxa"/>
            <w:vAlign w:val="center"/>
          </w:tcPr>
          <w:p>
            <w:pPr>
              <w:widowControl/>
              <w:spacing w:line="320" w:lineRule="exact"/>
              <w:jc w:val="both"/>
              <w:textAlignment w:val="center"/>
              <w:rPr>
                <w:rFonts w:hint="eastAsia" w:eastAsia="楷体_GB2312"/>
                <w:color w:val="000000"/>
                <w:w w:val="90"/>
                <w:kern w:val="0"/>
                <w:sz w:val="24"/>
                <w:lang w:val="en-US" w:eastAsia="zh-CN" w:bidi="ar"/>
              </w:rPr>
            </w:pPr>
            <w:r>
              <w:rPr>
                <w:rFonts w:hint="eastAsia" w:eastAsia="楷体_GB2312"/>
                <w:color w:val="000000"/>
                <w:w w:val="90"/>
                <w:kern w:val="0"/>
                <w:sz w:val="24"/>
                <w:lang w:val="en-US" w:eastAsia="zh-CN" w:bidi="ar"/>
              </w:rPr>
              <w:t>核管科及各分局</w:t>
            </w:r>
          </w:p>
        </w:tc>
        <w:tc>
          <w:tcPr>
            <w:tcW w:w="1383" w:type="dxa"/>
            <w:vAlign w:val="center"/>
          </w:tcPr>
          <w:p>
            <w:pPr>
              <w:widowControl/>
              <w:spacing w:line="320" w:lineRule="exact"/>
              <w:jc w:val="both"/>
              <w:textAlignment w:val="center"/>
              <w:rPr>
                <w:rFonts w:hint="eastAsia" w:ascii="楷体" w:hAnsi="楷体" w:eastAsia="楷体"/>
                <w:sz w:val="24"/>
              </w:rPr>
            </w:pPr>
            <w:r>
              <w:rPr>
                <w:rFonts w:hint="eastAsia" w:eastAsia="楷体_GB2312"/>
                <w:color w:val="000000"/>
                <w:w w:val="90"/>
                <w:kern w:val="0"/>
                <w:sz w:val="24"/>
                <w:lang w:val="en-US" w:eastAsia="zh-CN" w:bidi="ar"/>
              </w:rPr>
              <w:t>现场检查+资料核查</w:t>
            </w:r>
          </w:p>
        </w:tc>
        <w:tc>
          <w:tcPr>
            <w:tcW w:w="3838"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val="en-US" w:eastAsia="zh-CN" w:bidi="ar"/>
              </w:rPr>
              <w:t>广东省生态环境监测方案</w:t>
            </w:r>
          </w:p>
        </w:tc>
        <w:tc>
          <w:tcPr>
            <w:tcW w:w="1188"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1次</w:t>
            </w:r>
          </w:p>
        </w:tc>
        <w:tc>
          <w:tcPr>
            <w:tcW w:w="1305"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4-11月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widowControl/>
              <w:spacing w:line="320" w:lineRule="exact"/>
              <w:ind w:firstLine="480" w:firstLineChars="200"/>
              <w:jc w:val="center"/>
              <w:textAlignment w:val="center"/>
              <w:rPr>
                <w:rFonts w:hint="eastAsia" w:ascii="楷体" w:hAnsi="楷体" w:eastAsia="楷体"/>
                <w:sz w:val="24"/>
                <w:lang w:val="en-US" w:eastAsia="zh-CN"/>
              </w:rPr>
            </w:pPr>
            <w:r>
              <w:rPr>
                <w:rFonts w:hint="eastAsia" w:ascii="楷体" w:hAnsi="楷体" w:eastAsia="楷体"/>
                <w:sz w:val="24"/>
                <w:lang w:val="en-US" w:eastAsia="zh-CN"/>
              </w:rPr>
              <w:t>8</w:t>
            </w:r>
          </w:p>
        </w:tc>
        <w:tc>
          <w:tcPr>
            <w:tcW w:w="1700"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对本行政区域内核技术利用放射性污染防治情况的行政检查</w:t>
            </w:r>
          </w:p>
        </w:tc>
        <w:tc>
          <w:tcPr>
            <w:tcW w:w="1928"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对辖区核技术利用单位开展检查</w:t>
            </w:r>
          </w:p>
        </w:tc>
        <w:tc>
          <w:tcPr>
            <w:tcW w:w="1461" w:type="dxa"/>
            <w:vAlign w:val="center"/>
          </w:tcPr>
          <w:p>
            <w:pPr>
              <w:widowControl/>
              <w:spacing w:line="320" w:lineRule="exact"/>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val="en-US" w:eastAsia="zh-CN" w:bidi="ar"/>
              </w:rPr>
              <w:t>核技术利用单位</w:t>
            </w:r>
          </w:p>
        </w:tc>
        <w:tc>
          <w:tcPr>
            <w:tcW w:w="1286" w:type="dxa"/>
            <w:vAlign w:val="center"/>
          </w:tcPr>
          <w:p>
            <w:pPr>
              <w:widowControl/>
              <w:spacing w:line="320" w:lineRule="exact"/>
              <w:ind w:firstLine="432" w:firstLineChars="200"/>
              <w:jc w:val="both"/>
              <w:textAlignment w:val="center"/>
              <w:rPr>
                <w:rFonts w:hint="eastAsia" w:eastAsia="楷体_GB2312"/>
                <w:color w:val="000000"/>
                <w:w w:val="90"/>
                <w:kern w:val="0"/>
                <w:sz w:val="24"/>
                <w:lang w:val="en-US" w:eastAsia="zh-CN" w:bidi="ar"/>
              </w:rPr>
            </w:pPr>
            <w:r>
              <w:rPr>
                <w:rFonts w:hint="eastAsia" w:eastAsia="楷体_GB2312"/>
                <w:color w:val="000000"/>
                <w:w w:val="90"/>
                <w:kern w:val="0"/>
                <w:sz w:val="24"/>
                <w:lang w:val="en-US" w:eastAsia="zh-CN" w:bidi="ar"/>
              </w:rPr>
              <w:t>核管科及各分局</w:t>
            </w:r>
          </w:p>
        </w:tc>
        <w:tc>
          <w:tcPr>
            <w:tcW w:w="1383"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现场检查+资料核查</w:t>
            </w:r>
          </w:p>
        </w:tc>
        <w:tc>
          <w:tcPr>
            <w:tcW w:w="3838"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val="en-US" w:eastAsia="zh-CN" w:bidi="ar"/>
              </w:rPr>
              <w:t>《中华人民共和国放射性污染防治法》第四章核技术利用的放射性污染防治以及配套法规、部门规章、标准等有关规定</w:t>
            </w:r>
          </w:p>
        </w:tc>
        <w:tc>
          <w:tcPr>
            <w:tcW w:w="1188"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1次</w:t>
            </w:r>
          </w:p>
        </w:tc>
        <w:tc>
          <w:tcPr>
            <w:tcW w:w="1305"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4-11月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widowControl/>
              <w:spacing w:line="320" w:lineRule="exact"/>
              <w:ind w:firstLine="432" w:firstLineChars="200"/>
              <w:jc w:val="center"/>
              <w:textAlignment w:val="center"/>
              <w:rPr>
                <w:rFonts w:hint="default" w:ascii="楷体" w:hAnsi="楷体" w:eastAsia="楷体"/>
                <w:sz w:val="24"/>
                <w:lang w:val="en-US"/>
              </w:rPr>
            </w:pPr>
            <w:r>
              <w:rPr>
                <w:rFonts w:hint="eastAsia" w:eastAsia="楷体_GB2312"/>
                <w:color w:val="000000"/>
                <w:w w:val="90"/>
                <w:kern w:val="0"/>
                <w:sz w:val="24"/>
                <w:lang w:val="en-US" w:eastAsia="zh-CN" w:bidi="ar"/>
              </w:rPr>
              <w:t>9</w:t>
            </w:r>
          </w:p>
        </w:tc>
        <w:tc>
          <w:tcPr>
            <w:tcW w:w="1700"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对建设项目三同时和竣工自主验收情况的行政检查</w:t>
            </w:r>
          </w:p>
        </w:tc>
        <w:tc>
          <w:tcPr>
            <w:tcW w:w="1928"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对已批复的辐射环评项目开展检查</w:t>
            </w:r>
          </w:p>
        </w:tc>
        <w:tc>
          <w:tcPr>
            <w:tcW w:w="1461"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val="en-US" w:eastAsia="zh-CN" w:bidi="ar"/>
              </w:rPr>
              <w:t>对已批复的辐射环评项目</w:t>
            </w:r>
          </w:p>
        </w:tc>
        <w:tc>
          <w:tcPr>
            <w:tcW w:w="1286" w:type="dxa"/>
            <w:vAlign w:val="center"/>
          </w:tcPr>
          <w:p>
            <w:pPr>
              <w:widowControl/>
              <w:spacing w:line="320" w:lineRule="exact"/>
              <w:ind w:firstLine="432" w:firstLineChars="200"/>
              <w:jc w:val="both"/>
              <w:textAlignment w:val="center"/>
              <w:rPr>
                <w:rFonts w:hint="eastAsia" w:eastAsia="楷体_GB2312"/>
                <w:color w:val="000000"/>
                <w:w w:val="90"/>
                <w:kern w:val="0"/>
                <w:sz w:val="24"/>
                <w:lang w:val="en-US" w:eastAsia="zh-CN" w:bidi="ar"/>
              </w:rPr>
            </w:pPr>
            <w:r>
              <w:rPr>
                <w:rFonts w:hint="eastAsia" w:eastAsia="楷体_GB2312"/>
                <w:color w:val="000000"/>
                <w:w w:val="90"/>
                <w:kern w:val="0"/>
                <w:sz w:val="24"/>
                <w:lang w:val="en-US" w:eastAsia="zh-CN" w:bidi="ar"/>
              </w:rPr>
              <w:t>核管科及各分局</w:t>
            </w:r>
          </w:p>
        </w:tc>
        <w:tc>
          <w:tcPr>
            <w:tcW w:w="1383"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现场检查+资料核查</w:t>
            </w:r>
          </w:p>
        </w:tc>
        <w:tc>
          <w:tcPr>
            <w:tcW w:w="3838" w:type="dxa"/>
            <w:vAlign w:val="center"/>
          </w:tcPr>
          <w:p>
            <w:pPr>
              <w:widowControl/>
              <w:spacing w:line="320" w:lineRule="exact"/>
              <w:ind w:firstLine="432" w:firstLineChars="200"/>
              <w:jc w:val="both"/>
              <w:textAlignment w:val="center"/>
              <w:rPr>
                <w:rFonts w:hint="eastAsia" w:ascii="楷体_GB2312" w:hAnsi="楷体_GB2312" w:eastAsia="楷体_GB2312" w:cs="楷体_GB2312"/>
                <w:color w:val="000000"/>
                <w:w w:val="90"/>
                <w:kern w:val="0"/>
                <w:sz w:val="24"/>
                <w:lang w:bidi="ar"/>
              </w:rPr>
            </w:pPr>
            <w:r>
              <w:rPr>
                <w:rFonts w:hint="eastAsia" w:eastAsia="楷体_GB2312"/>
                <w:color w:val="000000"/>
                <w:w w:val="90"/>
                <w:kern w:val="0"/>
                <w:sz w:val="24"/>
                <w:lang w:val="en-US" w:eastAsia="zh-CN" w:bidi="ar"/>
              </w:rPr>
              <w:t>《建设项目环境保护条例》、《建设项目环境影响评价法》</w:t>
            </w:r>
          </w:p>
        </w:tc>
        <w:tc>
          <w:tcPr>
            <w:tcW w:w="1188"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1次</w:t>
            </w:r>
          </w:p>
        </w:tc>
        <w:tc>
          <w:tcPr>
            <w:tcW w:w="1305" w:type="dxa"/>
            <w:vAlign w:val="center"/>
          </w:tcPr>
          <w:p>
            <w:pPr>
              <w:widowControl/>
              <w:spacing w:line="320" w:lineRule="exact"/>
              <w:ind w:firstLine="432" w:firstLineChars="200"/>
              <w:jc w:val="both"/>
              <w:textAlignment w:val="center"/>
              <w:rPr>
                <w:rFonts w:hint="eastAsia" w:ascii="楷体" w:hAnsi="楷体" w:eastAsia="楷体"/>
                <w:sz w:val="24"/>
              </w:rPr>
            </w:pPr>
            <w:r>
              <w:rPr>
                <w:rFonts w:hint="eastAsia" w:eastAsia="楷体_GB2312"/>
                <w:color w:val="000000"/>
                <w:w w:val="90"/>
                <w:kern w:val="0"/>
                <w:sz w:val="24"/>
                <w:lang w:val="en-US" w:eastAsia="zh-CN" w:bidi="ar"/>
              </w:rPr>
              <w:t>4-11月</w:t>
            </w:r>
          </w:p>
        </w:tc>
      </w:tr>
    </w:tbl>
    <w:p>
      <w:pPr>
        <w:ind w:firstLine="640"/>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4MzE5MzkzMDY5ODg1MzI2OWZlYWMwZGY1ZDZlZGIifQ=="/>
  </w:docVars>
  <w:rsids>
    <w:rsidRoot w:val="00551B52"/>
    <w:rsid w:val="000D7045"/>
    <w:rsid w:val="002926A4"/>
    <w:rsid w:val="002C311D"/>
    <w:rsid w:val="003502CE"/>
    <w:rsid w:val="00375039"/>
    <w:rsid w:val="003E31FD"/>
    <w:rsid w:val="00551B52"/>
    <w:rsid w:val="005634BF"/>
    <w:rsid w:val="005954F8"/>
    <w:rsid w:val="005F680B"/>
    <w:rsid w:val="008D1B97"/>
    <w:rsid w:val="009E0D58"/>
    <w:rsid w:val="00A210B1"/>
    <w:rsid w:val="00A45962"/>
    <w:rsid w:val="00B478BC"/>
    <w:rsid w:val="00CB28CD"/>
    <w:rsid w:val="00CB7467"/>
    <w:rsid w:val="00D40F6D"/>
    <w:rsid w:val="00D859D6"/>
    <w:rsid w:val="00DD165D"/>
    <w:rsid w:val="0C36440C"/>
    <w:rsid w:val="10C6662A"/>
    <w:rsid w:val="19C82F75"/>
    <w:rsid w:val="2D853305"/>
    <w:rsid w:val="3B904F77"/>
    <w:rsid w:val="46590A3D"/>
    <w:rsid w:val="58FF2318"/>
    <w:rsid w:val="60736D66"/>
    <w:rsid w:val="73E87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Calibri" w:hAnsi="Calibri" w:eastAsia="仿宋"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5">
    <w:name w:val="Title"/>
    <w:basedOn w:val="1"/>
    <w:next w:val="1"/>
    <w:link w:val="10"/>
    <w:qFormat/>
    <w:uiPriority w:val="0"/>
    <w:pPr>
      <w:spacing w:line="600" w:lineRule="exact"/>
      <w:ind w:firstLine="0" w:firstLineChars="0"/>
      <w:outlineLvl w:val="0"/>
    </w:pPr>
    <w:rPr>
      <w:rFonts w:eastAsia="方正小标宋简体" w:asciiTheme="majorHAnsi" w:hAnsiTheme="majorHAnsi" w:cstheme="majorBidi"/>
      <w:bCs/>
      <w:sz w:val="44"/>
      <w:szCs w:val="3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3"/>
    <w:qFormat/>
    <w:uiPriority w:val="99"/>
    <w:rPr>
      <w:rFonts w:eastAsia="仿宋"/>
      <w:sz w:val="18"/>
      <w:szCs w:val="18"/>
    </w:rPr>
  </w:style>
  <w:style w:type="character" w:customStyle="1" w:styleId="10">
    <w:name w:val="标题 字符"/>
    <w:basedOn w:val="8"/>
    <w:link w:val="5"/>
    <w:qFormat/>
    <w:uiPriority w:val="0"/>
    <w:rPr>
      <w:rFonts w:eastAsia="方正小标宋简体" w:asciiTheme="majorHAnsi" w:hAnsiTheme="majorHAnsi" w:cstheme="majorBidi"/>
      <w:bCs/>
      <w:sz w:val="44"/>
      <w:szCs w:val="32"/>
    </w:rPr>
  </w:style>
  <w:style w:type="character" w:customStyle="1" w:styleId="11">
    <w:name w:val="页脚 字符"/>
    <w:basedOn w:val="8"/>
    <w:link w:val="2"/>
    <w:qFormat/>
    <w:uiPriority w:val="99"/>
    <w:rPr>
      <w:rFonts w:ascii="Calibri" w:hAnsi="Calibri" w:eastAsia="仿宋"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4442</Words>
  <Characters>4484</Characters>
  <Lines>6</Lines>
  <Paragraphs>1</Paragraphs>
  <TotalTime>2</TotalTime>
  <ScaleCrop>false</ScaleCrop>
  <LinksUpToDate>false</LinksUpToDate>
  <CharactersWithSpaces>4556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2023-03-27T03:15:00Z</dcterms:created>
  <dc:creator>张帅</dc:creator>
  <cp:lastModifiedBy>Administrator</cp:lastModifiedBy>
  <cp:lastPrinted>2023-04-25T08:33:00Z</cp:lastPrinted>
  <dcterms:modified xsi:type="dcterms:W3CDTF">2023-04-28T09:39:39Z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5629678F92614293BF4B1FD05619DD1B_12</vt:lpwstr>
  </property>
</Properties>
</file>