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rPr>
          <w:rFonts w:hint="eastAsia" w:ascii="仿宋_GB2312" w:hAnsi="仿宋_GB2312" w:eastAsia="仿宋_GB2312" w:cs="楷体"/>
          <w:sz w:val="32"/>
        </w:rPr>
      </w:pPr>
    </w:p>
    <w:p>
      <w:pPr>
        <w:autoSpaceDE w:val="0"/>
        <w:autoSpaceDN w:val="0"/>
        <w:rPr>
          <w:rFonts w:ascii="仿宋_GB2312" w:hAnsi="仿宋_GB2312" w:eastAsia="仿宋_GB2312" w:cs="楷体"/>
          <w:sz w:val="32"/>
        </w:rPr>
      </w:pPr>
      <w:r>
        <w:rPr>
          <w:rFonts w:hint="eastAsia" w:ascii="仿宋_GB2312" w:hAnsi="仿宋_GB2312" w:eastAsia="仿宋_GB2312" w:cs="楷体"/>
          <w:sz w:val="32"/>
        </w:rPr>
        <w:t>附件1</w:t>
      </w:r>
    </w:p>
    <w:p>
      <w:pPr>
        <w:autoSpaceDE w:val="0"/>
        <w:autoSpaceDN w:val="0"/>
        <w:jc w:val="center"/>
        <w:rPr>
          <w:rFonts w:hint="eastAsia" w:ascii="宋体" w:hAnsi="宋体" w:cs="楷体" w:eastAsiaTheme="minorEastAsia"/>
          <w:b/>
          <w:bCs/>
          <w:sz w:val="44"/>
          <w:lang w:eastAsia="zh-CN"/>
        </w:rPr>
      </w:pPr>
      <w:r>
        <w:rPr>
          <w:rFonts w:hint="eastAsia" w:ascii="宋体" w:hAnsi="宋体" w:cs="楷体"/>
          <w:b/>
          <w:bCs/>
          <w:sz w:val="44"/>
        </w:rPr>
        <w:t>20</w:t>
      </w:r>
      <w:r>
        <w:rPr>
          <w:rFonts w:hint="eastAsia" w:ascii="宋体" w:hAnsi="宋体" w:cs="楷体"/>
          <w:b/>
          <w:bCs/>
          <w:sz w:val="44"/>
          <w:lang w:val="en-US" w:eastAsia="zh-CN"/>
        </w:rPr>
        <w:t>22</w:t>
      </w:r>
      <w:r>
        <w:rPr>
          <w:rFonts w:hint="eastAsia" w:ascii="宋体" w:hAnsi="宋体" w:cs="楷体"/>
          <w:b/>
          <w:bCs/>
          <w:sz w:val="44"/>
        </w:rPr>
        <w:t>年</w:t>
      </w:r>
      <w:r>
        <w:rPr>
          <w:rFonts w:hint="eastAsia" w:ascii="宋体" w:hAnsi="宋体" w:cs="楷体"/>
          <w:b/>
          <w:bCs/>
          <w:sz w:val="44"/>
          <w:lang w:eastAsia="zh-CN"/>
        </w:rPr>
        <w:t>汕尾</w:t>
      </w:r>
      <w:r>
        <w:rPr>
          <w:rFonts w:hint="eastAsia" w:ascii="宋体" w:hAnsi="宋体" w:cs="楷体"/>
          <w:b/>
          <w:bCs/>
          <w:sz w:val="44"/>
        </w:rPr>
        <w:t>市</w:t>
      </w:r>
      <w:r>
        <w:rPr>
          <w:rFonts w:hint="eastAsia" w:ascii="宋体" w:hAnsi="宋体" w:cs="楷体"/>
          <w:b/>
          <w:bCs/>
          <w:sz w:val="44"/>
          <w:lang w:eastAsia="zh-CN"/>
        </w:rPr>
        <w:t>住房和城乡建设局</w:t>
      </w:r>
    </w:p>
    <w:p>
      <w:pPr>
        <w:autoSpaceDE w:val="0"/>
        <w:autoSpaceDN w:val="0"/>
        <w:jc w:val="center"/>
        <w:rPr>
          <w:rFonts w:ascii="宋体" w:hAnsi="宋体" w:cs="楷体"/>
          <w:b/>
          <w:bCs/>
          <w:sz w:val="44"/>
        </w:rPr>
      </w:pPr>
      <w:r>
        <w:rPr>
          <w:rFonts w:hint="eastAsia" w:ascii="宋体" w:hAnsi="宋体" w:cs="楷体"/>
          <w:b/>
          <w:bCs/>
          <w:sz w:val="44"/>
        </w:rPr>
        <w:t>普法依法治理重点任务</w:t>
      </w:r>
    </w:p>
    <w:p>
      <w:pPr>
        <w:autoSpaceDE w:val="0"/>
        <w:autoSpaceDN w:val="0"/>
        <w:jc w:val="center"/>
        <w:rPr>
          <w:rFonts w:ascii="宋体" w:hAnsi="宋体" w:cs="楷体"/>
          <w:sz w:val="32"/>
          <w:szCs w:val="32"/>
        </w:rPr>
      </w:pPr>
    </w:p>
    <w:tbl>
      <w:tblPr>
        <w:tblStyle w:val="3"/>
        <w:tblW w:w="86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tcPr>
          <w:p>
            <w:pPr>
              <w:widowControl w:val="0"/>
              <w:autoSpaceDE w:val="0"/>
              <w:autoSpaceDN w:val="0"/>
              <w:jc w:val="center"/>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序号</w:t>
            </w:r>
          </w:p>
        </w:tc>
        <w:tc>
          <w:tcPr>
            <w:tcW w:w="7852" w:type="dxa"/>
          </w:tcPr>
          <w:p>
            <w:pPr>
              <w:widowControl w:val="0"/>
              <w:autoSpaceDE w:val="0"/>
              <w:autoSpaceDN w:val="0"/>
              <w:jc w:val="center"/>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tcPr>
          <w:p>
            <w:pPr>
              <w:widowControl w:val="0"/>
              <w:autoSpaceDE w:val="0"/>
              <w:autoSpaceDN w:val="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7852" w:type="dxa"/>
          </w:tcPr>
          <w:p>
            <w:pPr>
              <w:widowControl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学习宣传</w:t>
            </w:r>
            <w:r>
              <w:rPr>
                <w:rFonts w:hint="eastAsia" w:ascii="仿宋_GB2312" w:hAnsi="仿宋_GB2312" w:eastAsia="仿宋_GB2312" w:cs="仿宋_GB2312"/>
                <w:sz w:val="28"/>
                <w:szCs w:val="28"/>
              </w:rPr>
              <w:t>习近平法治思想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tcPr>
          <w:p>
            <w:pPr>
              <w:widowControl w:val="0"/>
              <w:autoSpaceDE w:val="0"/>
              <w:autoSpaceDN w:val="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7852" w:type="dxa"/>
          </w:tcPr>
          <w:p>
            <w:pPr>
              <w:widowContro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组织参加省住建厅“民法为民</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val="zh-CN"/>
              </w:rPr>
              <w:t>粤建越美”主题普法活动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2" w:type="dxa"/>
          </w:tcPr>
          <w:p>
            <w:pPr>
              <w:widowControl w:val="0"/>
              <w:autoSpaceDE w:val="0"/>
              <w:autoSpaceDN w:val="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7852"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none"/>
                <w:lang w:val="zh-CN"/>
              </w:rPr>
              <w:t>制定印发并组织实施《关于在全市住房城乡建设系统中开展法治宣传教育的第八个五年规划（2021-2025年）》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tcPr>
          <w:p>
            <w:pPr>
              <w:widowControl w:val="0"/>
              <w:autoSpaceDE w:val="0"/>
              <w:autoSpaceDN w:val="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c>
          <w:tcPr>
            <w:tcW w:w="7852"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FF0000"/>
                <w:sz w:val="28"/>
                <w:szCs w:val="28"/>
                <w:highlight w:val="none"/>
                <w:lang w:val="zh-CN"/>
              </w:rPr>
            </w:pPr>
            <w:r>
              <w:rPr>
                <w:rFonts w:hint="eastAsia" w:ascii="仿宋_GB2312" w:hAnsi="仿宋_GB2312" w:eastAsia="仿宋_GB2312" w:cs="仿宋_GB2312"/>
                <w:color w:val="auto"/>
                <w:sz w:val="28"/>
                <w:szCs w:val="28"/>
                <w:highlight w:val="none"/>
                <w:lang w:val="zh-CN"/>
              </w:rPr>
              <w:t>出台《汕尾市既有住宅加装电梯管理暂行办法》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tcPr>
          <w:p>
            <w:pPr>
              <w:widowControl w:val="0"/>
              <w:autoSpaceDE w:val="0"/>
              <w:autoSpaceDN w:val="0"/>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p>
        </w:tc>
        <w:tc>
          <w:tcPr>
            <w:tcW w:w="7852" w:type="dxa"/>
          </w:tcPr>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制定</w:t>
            </w:r>
            <w:r>
              <w:rPr>
                <w:rFonts w:hint="eastAsia" w:ascii="仿宋_GB2312" w:hAnsi="仿宋_GB2312" w:eastAsia="仿宋_GB2312" w:cs="仿宋_GB2312"/>
                <w:sz w:val="28"/>
                <w:szCs w:val="28"/>
                <w:lang w:val="en-US" w:eastAsia="zh-CN"/>
              </w:rPr>
              <w:t>2022</w:t>
            </w:r>
            <w:r>
              <w:rPr>
                <w:rFonts w:hint="eastAsia" w:ascii="仿宋_GB2312" w:hAnsi="仿宋_GB2312" w:eastAsia="仿宋_GB2312" w:cs="仿宋_GB2312"/>
                <w:sz w:val="28"/>
                <w:szCs w:val="28"/>
              </w:rPr>
              <w:t>年度普法计划</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普法责任清单</w:t>
            </w:r>
            <w:r>
              <w:rPr>
                <w:rFonts w:hint="eastAsia" w:ascii="仿宋_GB2312" w:hAnsi="仿宋_GB2312" w:eastAsia="仿宋_GB2312" w:cs="仿宋_GB2312"/>
                <w:sz w:val="28"/>
                <w:szCs w:val="28"/>
                <w:lang w:eastAsia="zh-CN"/>
              </w:rPr>
              <w:t>和领导干部应知应会法律法规清单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tcPr>
          <w:p>
            <w:pPr>
              <w:widowControl w:val="0"/>
              <w:autoSpaceDE w:val="0"/>
              <w:autoSpaceDN w:val="0"/>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p>
        </w:tc>
        <w:tc>
          <w:tcPr>
            <w:tcW w:w="7852" w:type="dxa"/>
          </w:tcPr>
          <w:p>
            <w:pPr>
              <w:spacing w:beforeLines="0" w:afterLines="0" w:line="40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val="0"/>
                <w:bCs w:val="0"/>
                <w:sz w:val="28"/>
                <w:szCs w:val="28"/>
                <w:lang w:val="zh-CN"/>
              </w:rPr>
              <w:t>开展党内法规学习，主要学习《中国共产党纪律检查委员会工作条例》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2" w:type="dxa"/>
            <w:vAlign w:val="center"/>
          </w:tcPr>
          <w:p>
            <w:pPr>
              <w:widowControl w:val="0"/>
              <w:autoSpaceDE w:val="0"/>
              <w:autoSpaceDN w:val="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w:t>
            </w:r>
          </w:p>
        </w:tc>
        <w:tc>
          <w:tcPr>
            <w:tcW w:w="7852" w:type="dxa"/>
          </w:tcPr>
          <w:p>
            <w:pPr>
              <w:keepNext w:val="0"/>
              <w:keepLines w:val="0"/>
              <w:pageBreakBefore w:val="0"/>
              <w:widowControl w:val="0"/>
              <w:kinsoku/>
              <w:wordWrap/>
              <w:overflowPunct/>
              <w:topLinePunct w:val="0"/>
              <w:autoSpaceDE w:val="0"/>
              <w:autoSpaceDN w:val="0"/>
              <w:bidi w:val="0"/>
              <w:adjustRightInd/>
              <w:snapToGrid/>
              <w:spacing w:line="44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结合“质量月”“安全月”“节能宣传月”等重要时间节点开展法治宣传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Align w:val="center"/>
          </w:tcPr>
          <w:p>
            <w:pPr>
              <w:widowControl w:val="0"/>
              <w:autoSpaceDE w:val="0"/>
              <w:autoSpaceDN w:val="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w:t>
            </w:r>
          </w:p>
        </w:tc>
        <w:tc>
          <w:tcPr>
            <w:tcW w:w="7852" w:type="dxa"/>
          </w:tcPr>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开展</w:t>
            </w:r>
            <w:r>
              <w:rPr>
                <w:rFonts w:hint="eastAsia" w:ascii="仿宋_GB2312" w:hAnsi="仿宋_GB2312" w:eastAsia="仿宋_GB2312" w:cs="仿宋_GB2312"/>
                <w:sz w:val="28"/>
                <w:szCs w:val="28"/>
                <w:highlight w:val="none"/>
                <w:lang w:val="zh-CN"/>
              </w:rPr>
              <w:t>《广东省城乡生活垃圾管理条例》《广东省绿色建筑条例》《汕尾市城乡生活垃圾分类管理条例》《汕尾市</w:t>
            </w:r>
            <w:r>
              <w:rPr>
                <w:rFonts w:hint="eastAsia" w:ascii="仿宋_GB2312" w:hAnsi="仿宋_GB2312" w:eastAsia="仿宋_GB2312" w:cs="仿宋_GB2312"/>
                <w:color w:val="auto"/>
                <w:sz w:val="28"/>
                <w:szCs w:val="28"/>
                <w:highlight w:val="none"/>
                <w:lang w:val="zh-CN"/>
              </w:rPr>
              <w:t>既有住宅加装电梯管理暂行办法</w:t>
            </w:r>
            <w:r>
              <w:rPr>
                <w:rFonts w:hint="eastAsia" w:ascii="仿宋_GB2312" w:hAnsi="仿宋_GB2312" w:eastAsia="仿宋_GB2312" w:cs="仿宋_GB2312"/>
                <w:sz w:val="28"/>
                <w:szCs w:val="28"/>
                <w:highlight w:val="none"/>
                <w:lang w:val="zh-CN"/>
              </w:rPr>
              <w:t>》</w:t>
            </w:r>
            <w:r>
              <w:rPr>
                <w:rFonts w:hint="eastAsia" w:ascii="仿宋_GB2312" w:hAnsi="仿宋_GB2312" w:eastAsia="仿宋_GB2312" w:cs="仿宋_GB2312"/>
                <w:sz w:val="28"/>
                <w:szCs w:val="28"/>
                <w:lang w:val="zh-CN"/>
              </w:rPr>
              <w:t>等新法新规实施宣贯工作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Align w:val="center"/>
          </w:tcPr>
          <w:p>
            <w:pPr>
              <w:widowControl w:val="0"/>
              <w:autoSpaceDE w:val="0"/>
              <w:autoSpaceDN w:val="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w:t>
            </w:r>
          </w:p>
        </w:tc>
        <w:tc>
          <w:tcPr>
            <w:tcW w:w="7852" w:type="dxa"/>
          </w:tcPr>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zh-CN"/>
              </w:rPr>
              <w:t>结合疫情防控、创建国家园林城市、城市提能大会战等工作开展相关法律法规及政策宣传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Align w:val="center"/>
          </w:tcPr>
          <w:p>
            <w:pPr>
              <w:widowControl w:val="0"/>
              <w:autoSpaceDE w:val="0"/>
              <w:autoSpaceDN w:val="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w:t>
            </w:r>
          </w:p>
        </w:tc>
        <w:tc>
          <w:tcPr>
            <w:tcW w:w="7852" w:type="dxa"/>
          </w:tcPr>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开展保障性租赁住房和共有产权住房工作政策宣传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Align w:val="center"/>
          </w:tcPr>
          <w:p>
            <w:pPr>
              <w:widowControl w:val="0"/>
              <w:autoSpaceDE w:val="0"/>
              <w:autoSpaceDN w:val="0"/>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w:t>
            </w:r>
          </w:p>
        </w:tc>
        <w:tc>
          <w:tcPr>
            <w:tcW w:w="7852" w:type="dxa"/>
          </w:tcPr>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围绕房地产市场秩序专项整治工作开展普法活动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Align w:val="center"/>
          </w:tcPr>
          <w:p>
            <w:pPr>
              <w:widowControl w:val="0"/>
              <w:autoSpaceDE w:val="0"/>
              <w:autoSpaceDN w:val="0"/>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w:t>
            </w:r>
          </w:p>
        </w:tc>
        <w:tc>
          <w:tcPr>
            <w:tcW w:w="7852" w:type="dxa"/>
          </w:tcPr>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完善领导干部集体学法制度，组织领导干部旁听法院庭审，举办法治讲座，组织年度学法考试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Align w:val="center"/>
          </w:tcPr>
          <w:p>
            <w:pPr>
              <w:widowControl w:val="0"/>
              <w:autoSpaceDE w:val="0"/>
              <w:autoSpaceDN w:val="0"/>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w:t>
            </w:r>
          </w:p>
        </w:tc>
        <w:tc>
          <w:tcPr>
            <w:tcW w:w="7852" w:type="dxa"/>
          </w:tcPr>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组织</w:t>
            </w:r>
            <w:r>
              <w:rPr>
                <w:rFonts w:hint="eastAsia" w:ascii="仿宋_GB2312" w:hAnsi="仿宋_GB2312" w:eastAsia="仿宋_GB2312" w:cs="仿宋_GB2312"/>
                <w:sz w:val="28"/>
                <w:szCs w:val="28"/>
                <w:lang w:eastAsia="zh-CN"/>
              </w:rPr>
              <w:t>开展</w:t>
            </w:r>
            <w:r>
              <w:rPr>
                <w:rFonts w:hint="eastAsia" w:ascii="仿宋_GB2312" w:hAnsi="仿宋_GB2312" w:eastAsia="仿宋_GB2312" w:cs="仿宋_GB2312"/>
                <w:sz w:val="28"/>
                <w:szCs w:val="28"/>
              </w:rPr>
              <w:t>“12.4”国家宪法日和“宪法宣传活动周”宣传活动</w:t>
            </w:r>
          </w:p>
        </w:tc>
      </w:tr>
    </w:tbl>
    <w:p>
      <w:pPr>
        <w:rPr>
          <w:rFonts w:hint="eastAsia" w:ascii="仿宋_GB2312" w:hAnsi="仿宋_GB2312" w:eastAsia="仿宋_GB2312" w:cs="仿宋_GB2312"/>
          <w:sz w:val="28"/>
          <w:szCs w:val="28"/>
        </w:rPr>
        <w:sectPr>
          <w:pgSz w:w="11906" w:h="16838"/>
          <w:pgMar w:top="1440" w:right="1800" w:bottom="1440" w:left="1800" w:header="851" w:footer="992" w:gutter="0"/>
          <w:cols w:space="425" w:num="1"/>
          <w:docGrid w:type="lines" w:linePitch="312" w:charSpace="0"/>
        </w:sectPr>
      </w:pPr>
    </w:p>
    <w:p>
      <w:pPr>
        <w:autoSpaceDE w:val="0"/>
        <w:autoSpaceDN w:val="0"/>
        <w:rPr>
          <w:rFonts w:hint="default" w:ascii="仿宋_GB2312" w:hAnsi="仿宋_GB2312" w:eastAsia="仿宋_GB2312" w:cs="楷体"/>
          <w:sz w:val="32"/>
          <w:lang w:val="en-US" w:eastAsia="zh-CN"/>
        </w:rPr>
      </w:pPr>
      <w:r>
        <w:rPr>
          <w:rFonts w:hint="eastAsia" w:ascii="仿宋_GB2312" w:hAnsi="仿宋_GB2312" w:eastAsia="仿宋_GB2312" w:cs="楷体"/>
          <w:sz w:val="32"/>
          <w:lang w:eastAsia="zh-CN"/>
        </w:rPr>
        <w:t>附件</w:t>
      </w:r>
      <w:r>
        <w:rPr>
          <w:rFonts w:hint="eastAsia" w:ascii="仿宋_GB2312" w:hAnsi="仿宋_GB2312" w:eastAsia="仿宋_GB2312" w:cs="楷体"/>
          <w:sz w:val="32"/>
          <w:lang w:val="en-US" w:eastAsia="zh-CN"/>
        </w:rPr>
        <w:t>2</w:t>
      </w:r>
    </w:p>
    <w:p>
      <w:pPr>
        <w:jc w:val="center"/>
        <w:rPr>
          <w:rFonts w:hint="eastAsia" w:ascii="宋体" w:hAnsi="宋体" w:eastAsia="宋体" w:cs="宋体"/>
          <w:b/>
          <w:bCs/>
          <w:color w:val="000000"/>
          <w:sz w:val="44"/>
          <w:szCs w:val="44"/>
        </w:rPr>
      </w:pPr>
      <w:r>
        <w:rPr>
          <w:rFonts w:hint="eastAsia" w:ascii="宋体" w:hAnsi="宋体" w:eastAsia="宋体" w:cs="宋体"/>
          <w:b/>
          <w:bCs/>
          <w:color w:val="000000"/>
          <w:sz w:val="44"/>
          <w:szCs w:val="44"/>
        </w:rPr>
        <w:t>20</w:t>
      </w:r>
      <w:r>
        <w:rPr>
          <w:rFonts w:hint="eastAsia" w:ascii="宋体" w:hAnsi="宋体" w:eastAsia="宋体" w:cs="宋体"/>
          <w:b/>
          <w:bCs/>
          <w:color w:val="000000"/>
          <w:sz w:val="44"/>
          <w:szCs w:val="44"/>
          <w:lang w:val="en-US" w:eastAsia="zh-CN"/>
        </w:rPr>
        <w:t>22</w:t>
      </w:r>
      <w:r>
        <w:rPr>
          <w:rFonts w:hint="eastAsia" w:ascii="宋体" w:hAnsi="宋体" w:eastAsia="宋体" w:cs="宋体"/>
          <w:b/>
          <w:bCs/>
          <w:color w:val="000000"/>
          <w:sz w:val="44"/>
          <w:szCs w:val="44"/>
        </w:rPr>
        <w:t>年</w:t>
      </w:r>
      <w:r>
        <w:rPr>
          <w:rFonts w:hint="eastAsia" w:ascii="宋体" w:hAnsi="宋体" w:eastAsia="宋体" w:cs="宋体"/>
          <w:b/>
          <w:bCs/>
          <w:color w:val="000000"/>
          <w:sz w:val="44"/>
          <w:szCs w:val="44"/>
          <w:lang w:eastAsia="zh-CN"/>
        </w:rPr>
        <w:t>汕尾市</w:t>
      </w:r>
      <w:r>
        <w:rPr>
          <w:rFonts w:hint="eastAsia" w:ascii="宋体" w:hAnsi="宋体" w:eastAsia="宋体" w:cs="宋体"/>
          <w:b/>
          <w:bCs/>
          <w:color w:val="000000"/>
          <w:sz w:val="44"/>
          <w:szCs w:val="44"/>
        </w:rPr>
        <w:t>住房城乡建设</w:t>
      </w:r>
      <w:r>
        <w:rPr>
          <w:rFonts w:hint="eastAsia" w:ascii="宋体" w:hAnsi="宋体" w:eastAsia="宋体" w:cs="宋体"/>
          <w:b/>
          <w:bCs/>
          <w:color w:val="000000"/>
          <w:sz w:val="44"/>
          <w:szCs w:val="44"/>
          <w:lang w:eastAsia="zh-CN"/>
        </w:rPr>
        <w:t>局</w:t>
      </w:r>
      <w:r>
        <w:rPr>
          <w:rFonts w:hint="eastAsia" w:ascii="宋体" w:hAnsi="宋体" w:eastAsia="宋体" w:cs="宋体"/>
          <w:b/>
          <w:bCs/>
          <w:color w:val="000000"/>
          <w:sz w:val="44"/>
          <w:szCs w:val="44"/>
        </w:rPr>
        <w:t>普法</w:t>
      </w:r>
      <w:r>
        <w:rPr>
          <w:rFonts w:hint="eastAsia" w:ascii="宋体" w:hAnsi="宋体" w:eastAsia="宋体" w:cs="宋体"/>
          <w:b/>
          <w:bCs/>
          <w:color w:val="000000"/>
          <w:sz w:val="44"/>
          <w:szCs w:val="44"/>
          <w:lang w:eastAsia="zh-CN"/>
        </w:rPr>
        <w:t>依法治理</w:t>
      </w:r>
      <w:r>
        <w:rPr>
          <w:rFonts w:hint="eastAsia" w:ascii="宋体" w:hAnsi="宋体" w:eastAsia="宋体" w:cs="宋体"/>
          <w:b/>
          <w:bCs/>
          <w:color w:val="000000"/>
          <w:sz w:val="44"/>
          <w:szCs w:val="44"/>
        </w:rPr>
        <w:t>责任清单</w:t>
      </w:r>
    </w:p>
    <w:tbl>
      <w:tblPr>
        <w:tblStyle w:val="3"/>
        <w:tblpPr w:leftFromText="180" w:rightFromText="180" w:vertAnchor="text" w:horzAnchor="page" w:tblpX="1416" w:tblpY="632"/>
        <w:tblOverlap w:val="never"/>
        <w:tblW w:w="138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5"/>
        <w:gridCol w:w="1319"/>
        <w:gridCol w:w="1644"/>
        <w:gridCol w:w="2939"/>
        <w:gridCol w:w="1920"/>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85" w:type="dxa"/>
          </w:tcPr>
          <w:p>
            <w:pPr>
              <w:jc w:val="center"/>
              <w:rPr>
                <w:rFonts w:hint="eastAsia"/>
                <w:b/>
                <w:bCs/>
                <w:sz w:val="28"/>
                <w:szCs w:val="28"/>
                <w:lang w:eastAsia="zh-CN"/>
              </w:rPr>
            </w:pPr>
            <w:bookmarkStart w:id="0" w:name="_GoBack"/>
            <w:r>
              <w:rPr>
                <w:rFonts w:hint="eastAsia"/>
                <w:b/>
                <w:bCs/>
                <w:sz w:val="28"/>
                <w:szCs w:val="28"/>
                <w:lang w:eastAsia="zh-CN"/>
              </w:rPr>
              <w:t>工作任务</w:t>
            </w:r>
          </w:p>
        </w:tc>
        <w:tc>
          <w:tcPr>
            <w:tcW w:w="1319" w:type="dxa"/>
          </w:tcPr>
          <w:p>
            <w:pPr>
              <w:jc w:val="center"/>
              <w:rPr>
                <w:rFonts w:hint="eastAsia"/>
                <w:b/>
                <w:bCs/>
                <w:sz w:val="28"/>
                <w:szCs w:val="28"/>
                <w:lang w:eastAsia="zh-CN"/>
              </w:rPr>
            </w:pPr>
            <w:r>
              <w:rPr>
                <w:rFonts w:hint="eastAsia"/>
                <w:b/>
                <w:bCs/>
                <w:sz w:val="28"/>
                <w:szCs w:val="28"/>
                <w:lang w:eastAsia="zh-CN"/>
              </w:rPr>
              <w:t>责任部门</w:t>
            </w:r>
          </w:p>
        </w:tc>
        <w:tc>
          <w:tcPr>
            <w:tcW w:w="1644" w:type="dxa"/>
          </w:tcPr>
          <w:p>
            <w:pPr>
              <w:jc w:val="center"/>
              <w:rPr>
                <w:rFonts w:hint="eastAsia"/>
                <w:b/>
                <w:bCs/>
                <w:sz w:val="28"/>
                <w:szCs w:val="28"/>
                <w:lang w:eastAsia="zh-CN"/>
              </w:rPr>
            </w:pPr>
            <w:r>
              <w:rPr>
                <w:rFonts w:hint="eastAsia"/>
                <w:b/>
                <w:bCs/>
                <w:sz w:val="28"/>
                <w:szCs w:val="28"/>
                <w:lang w:eastAsia="zh-CN"/>
              </w:rPr>
              <w:t>实施方式</w:t>
            </w:r>
          </w:p>
        </w:tc>
        <w:tc>
          <w:tcPr>
            <w:tcW w:w="2939" w:type="dxa"/>
          </w:tcPr>
          <w:p>
            <w:pPr>
              <w:jc w:val="center"/>
              <w:rPr>
                <w:rFonts w:hint="eastAsia"/>
                <w:b/>
                <w:bCs/>
                <w:sz w:val="28"/>
                <w:szCs w:val="28"/>
                <w:lang w:eastAsia="zh-CN"/>
              </w:rPr>
            </w:pPr>
            <w:r>
              <w:rPr>
                <w:rFonts w:hint="eastAsia"/>
                <w:b/>
                <w:bCs/>
                <w:sz w:val="28"/>
                <w:szCs w:val="28"/>
                <w:lang w:eastAsia="zh-CN"/>
              </w:rPr>
              <w:t>实施对象</w:t>
            </w:r>
          </w:p>
        </w:tc>
        <w:tc>
          <w:tcPr>
            <w:tcW w:w="1920" w:type="dxa"/>
          </w:tcPr>
          <w:p>
            <w:pPr>
              <w:jc w:val="center"/>
              <w:rPr>
                <w:rFonts w:hint="eastAsia"/>
                <w:b/>
                <w:bCs/>
                <w:sz w:val="28"/>
                <w:szCs w:val="28"/>
                <w:lang w:eastAsia="zh-CN"/>
              </w:rPr>
            </w:pPr>
            <w:r>
              <w:rPr>
                <w:rFonts w:hint="eastAsia"/>
                <w:b/>
                <w:bCs/>
                <w:sz w:val="28"/>
                <w:szCs w:val="28"/>
                <w:lang w:eastAsia="zh-CN"/>
              </w:rPr>
              <w:t>成果要求</w:t>
            </w:r>
          </w:p>
        </w:tc>
        <w:tc>
          <w:tcPr>
            <w:tcW w:w="1309" w:type="dxa"/>
          </w:tcPr>
          <w:p>
            <w:pPr>
              <w:jc w:val="center"/>
              <w:rPr>
                <w:rFonts w:hint="eastAsia"/>
                <w:b/>
                <w:bCs/>
                <w:sz w:val="28"/>
                <w:szCs w:val="28"/>
                <w:lang w:eastAsia="zh-CN"/>
              </w:rPr>
            </w:pPr>
            <w:r>
              <w:rPr>
                <w:rFonts w:hint="eastAsia"/>
                <w:b/>
                <w:bCs/>
                <w:sz w:val="28"/>
                <w:szCs w:val="28"/>
                <w:lang w:eastAsia="zh-CN"/>
              </w:rPr>
              <w:t>时间安排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85" w:type="dxa"/>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组织参加省住建厅“民法为民粤建越美”普法达人知识挑战赛</w:t>
            </w:r>
          </w:p>
        </w:tc>
        <w:tc>
          <w:tcPr>
            <w:tcW w:w="1319" w:type="dxa"/>
            <w:vMerge w:val="restart"/>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法规科</w:t>
            </w:r>
          </w:p>
        </w:tc>
        <w:tc>
          <w:tcPr>
            <w:tcW w:w="164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线上参加</w:t>
            </w:r>
          </w:p>
        </w:tc>
        <w:tc>
          <w:tcPr>
            <w:tcW w:w="2939" w:type="dxa"/>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汕尾市辖区内居民</w:t>
            </w:r>
          </w:p>
        </w:tc>
        <w:tc>
          <w:tcPr>
            <w:tcW w:w="1920" w:type="dxa"/>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通知、报名表等</w:t>
            </w:r>
          </w:p>
        </w:tc>
        <w:tc>
          <w:tcPr>
            <w:tcW w:w="1309" w:type="dxa"/>
            <w:vMerge w:val="restart"/>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85" w:type="dxa"/>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印发《关于在全省住房和城乡建设系统中开展法治宣传教育的第八个五年规划（2021-2025年）》</w:t>
            </w:r>
          </w:p>
        </w:tc>
        <w:tc>
          <w:tcPr>
            <w:tcW w:w="1319" w:type="dxa"/>
            <w:vMerge w:val="continue"/>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_GB2312" w:hAnsi="仿宋_GB2312" w:eastAsia="仿宋_GB2312" w:cs="仿宋_GB2312"/>
                <w:sz w:val="28"/>
                <w:szCs w:val="28"/>
              </w:rPr>
            </w:pPr>
          </w:p>
        </w:tc>
        <w:tc>
          <w:tcPr>
            <w:tcW w:w="164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仿宋_GB2312" w:hAnsi="仿宋_GB2312" w:eastAsia="仿宋_GB2312" w:cs="仿宋_GB2312"/>
                <w:sz w:val="28"/>
                <w:szCs w:val="28"/>
              </w:rPr>
            </w:pPr>
          </w:p>
        </w:tc>
        <w:tc>
          <w:tcPr>
            <w:tcW w:w="2939" w:type="dxa"/>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全市住建主管部门相关协会、企业相关人员</w:t>
            </w:r>
          </w:p>
        </w:tc>
        <w:tc>
          <w:tcPr>
            <w:tcW w:w="1920" w:type="dxa"/>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通知、文件等</w:t>
            </w:r>
          </w:p>
        </w:tc>
        <w:tc>
          <w:tcPr>
            <w:tcW w:w="1309"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85" w:type="dxa"/>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印发《2022年广东省住房和城乡建设厅普法依法治理工作要点》</w:t>
            </w:r>
          </w:p>
        </w:tc>
        <w:tc>
          <w:tcPr>
            <w:tcW w:w="1319" w:type="dxa"/>
            <w:vMerge w:val="continue"/>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_GB2312" w:hAnsi="仿宋_GB2312" w:eastAsia="仿宋_GB2312" w:cs="仿宋_GB2312"/>
                <w:sz w:val="28"/>
                <w:szCs w:val="28"/>
              </w:rPr>
            </w:pPr>
          </w:p>
        </w:tc>
        <w:tc>
          <w:tcPr>
            <w:tcW w:w="164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仿宋_GB2312" w:hAnsi="仿宋_GB2312" w:eastAsia="仿宋_GB2312" w:cs="仿宋_GB2312"/>
                <w:sz w:val="28"/>
                <w:szCs w:val="28"/>
              </w:rPr>
            </w:pPr>
          </w:p>
        </w:tc>
        <w:tc>
          <w:tcPr>
            <w:tcW w:w="2939" w:type="dxa"/>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全市住建主管部门相关人员</w:t>
            </w:r>
          </w:p>
        </w:tc>
        <w:tc>
          <w:tcPr>
            <w:tcW w:w="1920" w:type="dxa"/>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通知、文件等</w:t>
            </w:r>
          </w:p>
        </w:tc>
        <w:tc>
          <w:tcPr>
            <w:tcW w:w="1309"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85" w:type="dxa"/>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组织行政执法人员资格考试</w:t>
            </w:r>
          </w:p>
        </w:tc>
        <w:tc>
          <w:tcPr>
            <w:tcW w:w="1319" w:type="dxa"/>
            <w:vMerge w:val="continue"/>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_GB2312" w:hAnsi="仿宋_GB2312" w:eastAsia="仿宋_GB2312" w:cs="仿宋_GB2312"/>
                <w:sz w:val="28"/>
                <w:szCs w:val="28"/>
              </w:rPr>
            </w:pPr>
          </w:p>
        </w:tc>
        <w:tc>
          <w:tcPr>
            <w:tcW w:w="164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集中考试</w:t>
            </w:r>
          </w:p>
        </w:tc>
        <w:tc>
          <w:tcPr>
            <w:tcW w:w="2939" w:type="dxa"/>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市住建局机关及直属单位国家工作人员</w:t>
            </w:r>
          </w:p>
        </w:tc>
        <w:tc>
          <w:tcPr>
            <w:tcW w:w="1920" w:type="dxa"/>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通知、成绩统计等</w:t>
            </w:r>
          </w:p>
        </w:tc>
        <w:tc>
          <w:tcPr>
            <w:tcW w:w="1309" w:type="dxa"/>
            <w:vMerge w:val="restart"/>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85" w:type="dxa"/>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组织举办法治教育专题讲座</w:t>
            </w:r>
          </w:p>
        </w:tc>
        <w:tc>
          <w:tcPr>
            <w:tcW w:w="1319" w:type="dxa"/>
            <w:vMerge w:val="continue"/>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_GB2312" w:hAnsi="仿宋_GB2312" w:eastAsia="仿宋_GB2312" w:cs="仿宋_GB2312"/>
                <w:sz w:val="28"/>
                <w:szCs w:val="28"/>
              </w:rPr>
            </w:pPr>
          </w:p>
        </w:tc>
        <w:tc>
          <w:tcPr>
            <w:tcW w:w="164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集中培训</w:t>
            </w:r>
          </w:p>
        </w:tc>
        <w:tc>
          <w:tcPr>
            <w:tcW w:w="2939" w:type="dxa"/>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市住建局机关工作人员</w:t>
            </w:r>
          </w:p>
        </w:tc>
        <w:tc>
          <w:tcPr>
            <w:tcW w:w="1920" w:type="dxa"/>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通知、图片、简报等</w:t>
            </w:r>
          </w:p>
        </w:tc>
        <w:tc>
          <w:tcPr>
            <w:tcW w:w="1309"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85" w:type="dxa"/>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开展《汕尾市既有住宅加装电梯管理暂行办法》宣传</w:t>
            </w:r>
          </w:p>
        </w:tc>
        <w:tc>
          <w:tcPr>
            <w:tcW w:w="1319" w:type="dxa"/>
            <w:vMerge w:val="continue"/>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_GB2312" w:hAnsi="仿宋_GB2312" w:eastAsia="仿宋_GB2312" w:cs="仿宋_GB2312"/>
                <w:sz w:val="28"/>
                <w:szCs w:val="28"/>
              </w:rPr>
            </w:pPr>
          </w:p>
        </w:tc>
        <w:tc>
          <w:tcPr>
            <w:tcW w:w="164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线上</w:t>
            </w:r>
          </w:p>
        </w:tc>
        <w:tc>
          <w:tcPr>
            <w:tcW w:w="2939" w:type="dxa"/>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汕尾市辖区内居民</w:t>
            </w:r>
          </w:p>
        </w:tc>
        <w:tc>
          <w:tcPr>
            <w:tcW w:w="1920" w:type="dxa"/>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zh-CN"/>
              </w:rPr>
              <w:t>文件、图片、政策解读等</w:t>
            </w:r>
          </w:p>
        </w:tc>
        <w:tc>
          <w:tcPr>
            <w:tcW w:w="1309"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85" w:type="dxa"/>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筹建基层普法阵地报送省住建厅</w:t>
            </w:r>
          </w:p>
        </w:tc>
        <w:tc>
          <w:tcPr>
            <w:tcW w:w="1319" w:type="dxa"/>
            <w:vMerge w:val="continue"/>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_GB2312" w:hAnsi="仿宋_GB2312" w:eastAsia="仿宋_GB2312" w:cs="仿宋_GB2312"/>
                <w:sz w:val="28"/>
                <w:szCs w:val="28"/>
              </w:rPr>
            </w:pPr>
          </w:p>
        </w:tc>
        <w:tc>
          <w:tcPr>
            <w:tcW w:w="164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仿宋_GB2312" w:hAnsi="仿宋_GB2312" w:eastAsia="仿宋_GB2312" w:cs="仿宋_GB2312"/>
                <w:sz w:val="28"/>
                <w:szCs w:val="28"/>
              </w:rPr>
            </w:pPr>
          </w:p>
        </w:tc>
        <w:tc>
          <w:tcPr>
            <w:tcW w:w="2939" w:type="dxa"/>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市、县住建主管部门及下属单位等</w:t>
            </w:r>
          </w:p>
        </w:tc>
        <w:tc>
          <w:tcPr>
            <w:tcW w:w="1920" w:type="dxa"/>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通知、图片等</w:t>
            </w:r>
          </w:p>
        </w:tc>
        <w:tc>
          <w:tcPr>
            <w:tcW w:w="1309" w:type="dxa"/>
            <w:vMerge w:val="continue"/>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85" w:type="dxa"/>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组织参加全省住房城乡建设系统普法培训班</w:t>
            </w:r>
          </w:p>
        </w:tc>
        <w:tc>
          <w:tcPr>
            <w:tcW w:w="1319" w:type="dxa"/>
            <w:vMerge w:val="continue"/>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_GB2312" w:hAnsi="仿宋_GB2312" w:eastAsia="仿宋_GB2312" w:cs="仿宋_GB2312"/>
                <w:sz w:val="28"/>
                <w:szCs w:val="28"/>
              </w:rPr>
            </w:pPr>
          </w:p>
        </w:tc>
        <w:tc>
          <w:tcPr>
            <w:tcW w:w="164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集中培训</w:t>
            </w:r>
          </w:p>
        </w:tc>
        <w:tc>
          <w:tcPr>
            <w:tcW w:w="2939" w:type="dxa"/>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全市住建系统负责法治工作的在职工作人员</w:t>
            </w:r>
          </w:p>
        </w:tc>
        <w:tc>
          <w:tcPr>
            <w:tcW w:w="1920" w:type="dxa"/>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通知、报名表等</w:t>
            </w:r>
          </w:p>
        </w:tc>
        <w:tc>
          <w:tcPr>
            <w:tcW w:w="1309" w:type="dxa"/>
            <w:vMerge w:val="continue"/>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85" w:type="dxa"/>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行政负责人出庭应诉行政诉讼案件</w:t>
            </w:r>
          </w:p>
        </w:tc>
        <w:tc>
          <w:tcPr>
            <w:tcW w:w="1319" w:type="dxa"/>
            <w:vMerge w:val="continue"/>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_GB2312" w:hAnsi="仿宋_GB2312" w:eastAsia="仿宋_GB2312" w:cs="仿宋_GB2312"/>
                <w:sz w:val="28"/>
                <w:szCs w:val="28"/>
              </w:rPr>
            </w:pPr>
          </w:p>
        </w:tc>
        <w:tc>
          <w:tcPr>
            <w:tcW w:w="164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仿宋_GB2312" w:hAnsi="仿宋_GB2312" w:eastAsia="仿宋_GB2312" w:cs="仿宋_GB2312"/>
                <w:sz w:val="28"/>
                <w:szCs w:val="28"/>
              </w:rPr>
            </w:pPr>
          </w:p>
        </w:tc>
        <w:tc>
          <w:tcPr>
            <w:tcW w:w="2939" w:type="dxa"/>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局领导</w:t>
            </w:r>
          </w:p>
        </w:tc>
        <w:tc>
          <w:tcPr>
            <w:tcW w:w="1920" w:type="dxa"/>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通知、文件、图片等</w:t>
            </w:r>
          </w:p>
        </w:tc>
        <w:tc>
          <w:tcPr>
            <w:tcW w:w="1309" w:type="dxa"/>
            <w:vMerge w:val="continue"/>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85" w:type="dxa"/>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组织局机关国家工作人员年度学法考试</w:t>
            </w:r>
          </w:p>
        </w:tc>
        <w:tc>
          <w:tcPr>
            <w:tcW w:w="1319" w:type="dxa"/>
            <w:vMerge w:val="continue"/>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_GB2312" w:hAnsi="仿宋_GB2312" w:eastAsia="仿宋_GB2312" w:cs="仿宋_GB2312"/>
                <w:sz w:val="28"/>
                <w:szCs w:val="28"/>
              </w:rPr>
            </w:pPr>
          </w:p>
        </w:tc>
        <w:tc>
          <w:tcPr>
            <w:tcW w:w="164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网上学考</w:t>
            </w:r>
          </w:p>
        </w:tc>
        <w:tc>
          <w:tcPr>
            <w:tcW w:w="2939" w:type="dxa"/>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市住建局机关在职工作人员</w:t>
            </w:r>
          </w:p>
        </w:tc>
        <w:tc>
          <w:tcPr>
            <w:tcW w:w="1920" w:type="dxa"/>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通知、情况统计等</w:t>
            </w:r>
          </w:p>
        </w:tc>
        <w:tc>
          <w:tcPr>
            <w:tcW w:w="1309" w:type="dxa"/>
            <w:vMerge w:val="restart"/>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85" w:type="dxa"/>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开展国家宪法日和“宪法宣传周”宣传活动</w:t>
            </w:r>
          </w:p>
        </w:tc>
        <w:tc>
          <w:tcPr>
            <w:tcW w:w="1319" w:type="dxa"/>
            <w:vMerge w:val="continue"/>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_GB2312" w:hAnsi="仿宋_GB2312" w:eastAsia="仿宋_GB2312" w:cs="仿宋_GB2312"/>
                <w:sz w:val="28"/>
                <w:szCs w:val="28"/>
              </w:rPr>
            </w:pPr>
          </w:p>
        </w:tc>
        <w:tc>
          <w:tcPr>
            <w:tcW w:w="164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媒体、活动</w:t>
            </w:r>
          </w:p>
        </w:tc>
        <w:tc>
          <w:tcPr>
            <w:tcW w:w="2939" w:type="dxa"/>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市住建局机关工作人员</w:t>
            </w:r>
          </w:p>
        </w:tc>
        <w:tc>
          <w:tcPr>
            <w:tcW w:w="1920" w:type="dxa"/>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通知、图片等</w:t>
            </w:r>
          </w:p>
        </w:tc>
        <w:tc>
          <w:tcPr>
            <w:tcW w:w="1309"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85" w:type="dxa"/>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落实“第一议题”制度</w:t>
            </w:r>
          </w:p>
        </w:tc>
        <w:tc>
          <w:tcPr>
            <w:tcW w:w="1319" w:type="dxa"/>
            <w:vMerge w:val="restart"/>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党办</w:t>
            </w:r>
          </w:p>
        </w:tc>
        <w:tc>
          <w:tcPr>
            <w:tcW w:w="164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局党组会</w:t>
            </w:r>
          </w:p>
        </w:tc>
        <w:tc>
          <w:tcPr>
            <w:tcW w:w="2939" w:type="dxa"/>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局领导及科室单位主要负责人</w:t>
            </w:r>
          </w:p>
        </w:tc>
        <w:tc>
          <w:tcPr>
            <w:tcW w:w="1920" w:type="dxa"/>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通知、会议纪要等</w:t>
            </w:r>
          </w:p>
        </w:tc>
        <w:tc>
          <w:tcPr>
            <w:tcW w:w="1309"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85" w:type="dxa"/>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学习《中国共产党纪律检查委员会工作条例》及其他党内法规</w:t>
            </w:r>
          </w:p>
        </w:tc>
        <w:tc>
          <w:tcPr>
            <w:tcW w:w="1319"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仿宋_GB2312" w:hAnsi="仿宋_GB2312" w:eastAsia="仿宋_GB2312" w:cs="仿宋_GB2312"/>
                <w:sz w:val="28"/>
                <w:szCs w:val="28"/>
              </w:rPr>
            </w:pPr>
          </w:p>
        </w:tc>
        <w:tc>
          <w:tcPr>
            <w:tcW w:w="164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党组会</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支部会</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专题会</w:t>
            </w:r>
          </w:p>
        </w:tc>
        <w:tc>
          <w:tcPr>
            <w:tcW w:w="2939" w:type="dxa"/>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局领导及科室单位主要负责人、党支部书记、党务干部等</w:t>
            </w:r>
          </w:p>
        </w:tc>
        <w:tc>
          <w:tcPr>
            <w:tcW w:w="1920" w:type="dxa"/>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通知、相关文件、新闻稿等。</w:t>
            </w:r>
          </w:p>
        </w:tc>
        <w:tc>
          <w:tcPr>
            <w:tcW w:w="1309"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85" w:type="dxa"/>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学习贯彻《广东省农村宅基地和农村村民住宅建设管理暂行规定》</w:t>
            </w:r>
          </w:p>
        </w:tc>
        <w:tc>
          <w:tcPr>
            <w:tcW w:w="1319" w:type="dxa"/>
            <w:vMerge w:val="restart"/>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城乡科</w:t>
            </w:r>
          </w:p>
        </w:tc>
        <w:tc>
          <w:tcPr>
            <w:tcW w:w="164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集中培训</w:t>
            </w:r>
          </w:p>
        </w:tc>
        <w:tc>
          <w:tcPr>
            <w:tcW w:w="2939" w:type="dxa"/>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市、县住建主管部门等有关负责同志</w:t>
            </w:r>
          </w:p>
        </w:tc>
        <w:tc>
          <w:tcPr>
            <w:tcW w:w="1920" w:type="dxa"/>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通知、简报、图片等。</w:t>
            </w:r>
          </w:p>
        </w:tc>
        <w:tc>
          <w:tcPr>
            <w:tcW w:w="1309"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85" w:type="dxa"/>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结合生活垃圾管理培训、城市生活垃圾分类评估等工作，开展《广东省城乡生活垃圾管理条例》《汕尾市城乡生活垃圾分类管理条例》宣传</w:t>
            </w:r>
          </w:p>
        </w:tc>
        <w:tc>
          <w:tcPr>
            <w:tcW w:w="1319"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仿宋_GB2312" w:hAnsi="仿宋_GB2312" w:eastAsia="仿宋_GB2312" w:cs="仿宋_GB2312"/>
                <w:sz w:val="28"/>
                <w:szCs w:val="28"/>
                <w:lang w:eastAsia="zh-CN"/>
              </w:rPr>
            </w:pPr>
          </w:p>
        </w:tc>
        <w:tc>
          <w:tcPr>
            <w:tcW w:w="164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培训、调研印发资料</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zh-CN"/>
              </w:rPr>
              <w:t>网上宣传</w:t>
            </w:r>
          </w:p>
        </w:tc>
        <w:tc>
          <w:tcPr>
            <w:tcW w:w="2939" w:type="dxa"/>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各地市住房城乡建设、城市管理和综合执法部门、市民</w:t>
            </w:r>
          </w:p>
        </w:tc>
        <w:tc>
          <w:tcPr>
            <w:tcW w:w="1920" w:type="dxa"/>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zh-CN"/>
              </w:rPr>
              <w:t>文件、图片、新闻稿等</w:t>
            </w:r>
          </w:p>
        </w:tc>
        <w:tc>
          <w:tcPr>
            <w:tcW w:w="1309"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85" w:type="dxa"/>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结合“质量月”、“安全月”，开展有关勘察设计、工程发承包、招标投标行为监管保障农民工工资支付、工程造价法规进工地进现场活动</w:t>
            </w:r>
          </w:p>
        </w:tc>
        <w:tc>
          <w:tcPr>
            <w:tcW w:w="1319"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市场科</w:t>
            </w:r>
          </w:p>
        </w:tc>
        <w:tc>
          <w:tcPr>
            <w:tcW w:w="164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现场普法</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网上宣传</w:t>
            </w:r>
          </w:p>
        </w:tc>
        <w:tc>
          <w:tcPr>
            <w:tcW w:w="2939" w:type="dxa"/>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全市住房城乡建设系统相关人员和部分企业人员</w:t>
            </w:r>
          </w:p>
        </w:tc>
        <w:tc>
          <w:tcPr>
            <w:tcW w:w="1920" w:type="dxa"/>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通知、新闻稿、图片等</w:t>
            </w:r>
          </w:p>
        </w:tc>
        <w:tc>
          <w:tcPr>
            <w:tcW w:w="1309"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85" w:type="dxa"/>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结合住房城乡建设领域“安全月”，组织开展住房城乡建设法治宣传主题活动，推进住房城乡建设系统法律法规进企业、进工地</w:t>
            </w:r>
          </w:p>
        </w:tc>
        <w:tc>
          <w:tcPr>
            <w:tcW w:w="1319"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质安科</w:t>
            </w:r>
          </w:p>
        </w:tc>
        <w:tc>
          <w:tcPr>
            <w:tcW w:w="164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现场普法</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网上宣传</w:t>
            </w:r>
          </w:p>
        </w:tc>
        <w:tc>
          <w:tcPr>
            <w:tcW w:w="2939" w:type="dxa"/>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全市住房城乡建设系统施工质量安全管理相关人员和部分企业人员</w:t>
            </w:r>
          </w:p>
        </w:tc>
        <w:tc>
          <w:tcPr>
            <w:tcW w:w="1920" w:type="dxa"/>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通知、简报、图片等</w:t>
            </w:r>
          </w:p>
        </w:tc>
        <w:tc>
          <w:tcPr>
            <w:tcW w:w="1309"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85" w:type="dxa"/>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结合建筑领域“节能宣传月”宣传《广东省绿色建筑条例》，推送解读长图，发放条文小册子，多渠道广泛宣传。配合省厅开展《条例》实施效果评估</w:t>
            </w:r>
          </w:p>
        </w:tc>
        <w:tc>
          <w:tcPr>
            <w:tcW w:w="1319"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节能科</w:t>
            </w:r>
          </w:p>
        </w:tc>
        <w:tc>
          <w:tcPr>
            <w:tcW w:w="164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现场普法</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专题会议</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门户网站</w:t>
            </w:r>
          </w:p>
        </w:tc>
        <w:tc>
          <w:tcPr>
            <w:tcW w:w="2939" w:type="dxa"/>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全市住房和城乡建设系统相关人员</w:t>
            </w:r>
          </w:p>
        </w:tc>
        <w:tc>
          <w:tcPr>
            <w:tcW w:w="1920" w:type="dxa"/>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通知、会议纪要简报、图片、宣传视频等</w:t>
            </w:r>
          </w:p>
        </w:tc>
        <w:tc>
          <w:tcPr>
            <w:tcW w:w="1309"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85" w:type="dxa"/>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组织参加省厅城市管理执法队伍专题培训，结合实际组织举办全市城市管理执法人员培训班</w:t>
            </w:r>
          </w:p>
        </w:tc>
        <w:tc>
          <w:tcPr>
            <w:tcW w:w="1319" w:type="dxa"/>
            <w:vMerge w:val="restart"/>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执法监督科</w:t>
            </w:r>
          </w:p>
        </w:tc>
        <w:tc>
          <w:tcPr>
            <w:tcW w:w="1644" w:type="dxa"/>
            <w:vMerge w:val="restart"/>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集中培训</w:t>
            </w:r>
          </w:p>
        </w:tc>
        <w:tc>
          <w:tcPr>
            <w:tcW w:w="2939" w:type="dxa"/>
            <w:vMerge w:val="restart"/>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市、县住房城乡建设、城市管理执法人员</w:t>
            </w:r>
          </w:p>
        </w:tc>
        <w:tc>
          <w:tcPr>
            <w:tcW w:w="1920" w:type="dxa"/>
            <w:vMerge w:val="restart"/>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通知、报名表、图片等</w:t>
            </w:r>
          </w:p>
        </w:tc>
        <w:tc>
          <w:tcPr>
            <w:tcW w:w="1309" w:type="dxa"/>
            <w:vMerge w:val="restart"/>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85" w:type="dxa"/>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组织参加省厅住建领域新版行政处罚自由裁量权基准及适用规则宣贯培训班</w:t>
            </w:r>
          </w:p>
        </w:tc>
        <w:tc>
          <w:tcPr>
            <w:tcW w:w="1319" w:type="dxa"/>
            <w:vMerge w:val="continue"/>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_GB2312" w:hAnsi="仿宋_GB2312" w:eastAsia="仿宋_GB2312" w:cs="仿宋_GB2312"/>
                <w:sz w:val="28"/>
                <w:szCs w:val="28"/>
              </w:rPr>
            </w:pPr>
          </w:p>
        </w:tc>
        <w:tc>
          <w:tcPr>
            <w:tcW w:w="1644" w:type="dxa"/>
            <w:vMerge w:val="continue"/>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_GB2312" w:hAnsi="仿宋_GB2312" w:eastAsia="仿宋_GB2312" w:cs="仿宋_GB2312"/>
                <w:sz w:val="28"/>
                <w:szCs w:val="28"/>
              </w:rPr>
            </w:pPr>
          </w:p>
        </w:tc>
        <w:tc>
          <w:tcPr>
            <w:tcW w:w="2939" w:type="dxa"/>
            <w:vMerge w:val="continue"/>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_GB2312" w:hAnsi="仿宋_GB2312" w:eastAsia="仿宋_GB2312" w:cs="仿宋_GB2312"/>
                <w:sz w:val="28"/>
                <w:szCs w:val="28"/>
              </w:rPr>
            </w:pPr>
          </w:p>
        </w:tc>
        <w:tc>
          <w:tcPr>
            <w:tcW w:w="1920" w:type="dxa"/>
            <w:vMerge w:val="continue"/>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_GB2312" w:hAnsi="仿宋_GB2312" w:eastAsia="仿宋_GB2312" w:cs="仿宋_GB2312"/>
                <w:sz w:val="28"/>
                <w:szCs w:val="28"/>
              </w:rPr>
            </w:pPr>
          </w:p>
        </w:tc>
        <w:tc>
          <w:tcPr>
            <w:tcW w:w="1309" w:type="dxa"/>
            <w:vMerge w:val="continue"/>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85" w:type="dxa"/>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转发省厅行政执法授课视频录制和典型案例</w:t>
            </w:r>
          </w:p>
        </w:tc>
        <w:tc>
          <w:tcPr>
            <w:tcW w:w="1319" w:type="dxa"/>
            <w:vMerge w:val="continue"/>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_GB2312" w:hAnsi="仿宋_GB2312" w:eastAsia="仿宋_GB2312" w:cs="仿宋_GB2312"/>
                <w:sz w:val="28"/>
                <w:szCs w:val="28"/>
              </w:rPr>
            </w:pPr>
          </w:p>
        </w:tc>
        <w:tc>
          <w:tcPr>
            <w:tcW w:w="164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网上教学</w:t>
            </w:r>
          </w:p>
        </w:tc>
        <w:tc>
          <w:tcPr>
            <w:tcW w:w="2939" w:type="dxa"/>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全市住房城乡建设、城市管理执法人员</w:t>
            </w:r>
          </w:p>
        </w:tc>
        <w:tc>
          <w:tcPr>
            <w:tcW w:w="1920" w:type="dxa"/>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通知、报名表、图片等</w:t>
            </w:r>
          </w:p>
        </w:tc>
        <w:tc>
          <w:tcPr>
            <w:tcW w:w="1309"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10-12月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85" w:type="dxa"/>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围绕房地产市场秩序专项整治工作开展普法活动</w:t>
            </w:r>
          </w:p>
        </w:tc>
        <w:tc>
          <w:tcPr>
            <w:tcW w:w="1319"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房管科</w:t>
            </w:r>
          </w:p>
        </w:tc>
        <w:tc>
          <w:tcPr>
            <w:tcW w:w="164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会议</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门户网站</w:t>
            </w:r>
          </w:p>
        </w:tc>
        <w:tc>
          <w:tcPr>
            <w:tcW w:w="2939" w:type="dxa"/>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全市住房和城乡建设系统相关人员、相关企业</w:t>
            </w:r>
          </w:p>
        </w:tc>
        <w:tc>
          <w:tcPr>
            <w:tcW w:w="1920" w:type="dxa"/>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通知、简报等</w:t>
            </w:r>
          </w:p>
        </w:tc>
        <w:tc>
          <w:tcPr>
            <w:tcW w:w="1309"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85" w:type="dxa"/>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开展保障性租赁住房和共有产权住房工作政策宣传</w:t>
            </w:r>
          </w:p>
        </w:tc>
        <w:tc>
          <w:tcPr>
            <w:tcW w:w="1319"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住房保障科</w:t>
            </w:r>
          </w:p>
        </w:tc>
        <w:tc>
          <w:tcPr>
            <w:tcW w:w="164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门户网站</w:t>
            </w:r>
          </w:p>
        </w:tc>
        <w:tc>
          <w:tcPr>
            <w:tcW w:w="2939" w:type="dxa"/>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全市住房和城乡建设系统相关人员</w:t>
            </w:r>
          </w:p>
        </w:tc>
        <w:tc>
          <w:tcPr>
            <w:tcW w:w="1920" w:type="dxa"/>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通知、简报等</w:t>
            </w:r>
          </w:p>
        </w:tc>
        <w:tc>
          <w:tcPr>
            <w:tcW w:w="1309"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85" w:type="dxa"/>
            <w:vAlign w:val="top"/>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开展公积金管理使用政策宣传</w:t>
            </w:r>
          </w:p>
        </w:tc>
        <w:tc>
          <w:tcPr>
            <w:tcW w:w="1319"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公积金管理中心</w:t>
            </w:r>
          </w:p>
        </w:tc>
        <w:tc>
          <w:tcPr>
            <w:tcW w:w="164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现场宣传</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门户网站</w:t>
            </w:r>
          </w:p>
        </w:tc>
        <w:tc>
          <w:tcPr>
            <w:tcW w:w="2939" w:type="dxa"/>
            <w:vAlign w:val="top"/>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全市公积金缴存对象</w:t>
            </w:r>
          </w:p>
        </w:tc>
        <w:tc>
          <w:tcPr>
            <w:tcW w:w="1920" w:type="dxa"/>
            <w:vAlign w:val="top"/>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通知、图片、简报等</w:t>
            </w:r>
          </w:p>
        </w:tc>
        <w:tc>
          <w:tcPr>
            <w:tcW w:w="1309"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85" w:type="dxa"/>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结合城市内涝治理、节水排水、智慧停车等工作开展政策宣传</w:t>
            </w:r>
          </w:p>
        </w:tc>
        <w:tc>
          <w:tcPr>
            <w:tcW w:w="1319"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管理科</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事务中心</w:t>
            </w:r>
          </w:p>
        </w:tc>
        <w:tc>
          <w:tcPr>
            <w:tcW w:w="164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门户网站</w:t>
            </w:r>
          </w:p>
        </w:tc>
        <w:tc>
          <w:tcPr>
            <w:tcW w:w="2939" w:type="dxa"/>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市区住房和城乡建设系统相关人员</w:t>
            </w:r>
          </w:p>
        </w:tc>
        <w:tc>
          <w:tcPr>
            <w:tcW w:w="1920" w:type="dxa"/>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通知、图片、简报等</w:t>
            </w:r>
          </w:p>
        </w:tc>
        <w:tc>
          <w:tcPr>
            <w:tcW w:w="1309"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85" w:type="dxa"/>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结合创建国家园林城市、落实古树名木保护工作开展相关政策宣传</w:t>
            </w:r>
          </w:p>
        </w:tc>
        <w:tc>
          <w:tcPr>
            <w:tcW w:w="1319"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园林科</w:t>
            </w:r>
          </w:p>
        </w:tc>
        <w:tc>
          <w:tcPr>
            <w:tcW w:w="164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专题会议</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门户网站</w:t>
            </w:r>
          </w:p>
        </w:tc>
        <w:tc>
          <w:tcPr>
            <w:tcW w:w="2939" w:type="dxa"/>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创建国家园林城市相关部门工作人员</w:t>
            </w:r>
          </w:p>
        </w:tc>
        <w:tc>
          <w:tcPr>
            <w:tcW w:w="1920" w:type="dxa"/>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通知、会议纪要、简报等</w:t>
            </w:r>
          </w:p>
        </w:tc>
        <w:tc>
          <w:tcPr>
            <w:tcW w:w="1309"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85" w:type="dxa"/>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结合优化营商环境、工程建设审批制度改革工作开展政策宣传</w:t>
            </w:r>
          </w:p>
        </w:tc>
        <w:tc>
          <w:tcPr>
            <w:tcW w:w="1319"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审批科</w:t>
            </w:r>
          </w:p>
        </w:tc>
        <w:tc>
          <w:tcPr>
            <w:tcW w:w="164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专题会议</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门户网站</w:t>
            </w:r>
          </w:p>
        </w:tc>
        <w:tc>
          <w:tcPr>
            <w:tcW w:w="2939" w:type="dxa"/>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工程建设审批制度改革相关部门工作人员</w:t>
            </w:r>
          </w:p>
        </w:tc>
        <w:tc>
          <w:tcPr>
            <w:tcW w:w="1920" w:type="dxa"/>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通知、会议纪要、简报等</w:t>
            </w:r>
          </w:p>
        </w:tc>
        <w:tc>
          <w:tcPr>
            <w:tcW w:w="1309"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85" w:type="dxa"/>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开设法治政府建设和法治宣传教育专栏</w:t>
            </w:r>
          </w:p>
        </w:tc>
        <w:tc>
          <w:tcPr>
            <w:tcW w:w="1319"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办公室</w:t>
            </w:r>
          </w:p>
        </w:tc>
        <w:tc>
          <w:tcPr>
            <w:tcW w:w="164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门户网站</w:t>
            </w:r>
          </w:p>
        </w:tc>
        <w:tc>
          <w:tcPr>
            <w:tcW w:w="2939" w:type="dxa"/>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全市住房城乡建设行业、事业单位工作人员</w:t>
            </w:r>
          </w:p>
        </w:tc>
        <w:tc>
          <w:tcPr>
            <w:tcW w:w="1920" w:type="dxa"/>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规章、文件及其政策解读等</w:t>
            </w:r>
          </w:p>
        </w:tc>
        <w:tc>
          <w:tcPr>
            <w:tcW w:w="1309"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85" w:type="dxa"/>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结合城市提能大会战开展相关政策宣传</w:t>
            </w:r>
          </w:p>
        </w:tc>
        <w:tc>
          <w:tcPr>
            <w:tcW w:w="1319"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办公室</w:t>
            </w:r>
          </w:p>
        </w:tc>
        <w:tc>
          <w:tcPr>
            <w:tcW w:w="164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工作会议</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门户网站</w:t>
            </w:r>
          </w:p>
        </w:tc>
        <w:tc>
          <w:tcPr>
            <w:tcW w:w="2939" w:type="dxa"/>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城市提能大会战相关部门工作人员</w:t>
            </w:r>
          </w:p>
        </w:tc>
        <w:tc>
          <w:tcPr>
            <w:tcW w:w="1920" w:type="dxa"/>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通知、会议纪要、简报等</w:t>
            </w:r>
          </w:p>
        </w:tc>
        <w:tc>
          <w:tcPr>
            <w:tcW w:w="1309"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85" w:type="dxa"/>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开展疫情防控相关法律法规宣传</w:t>
            </w:r>
          </w:p>
        </w:tc>
        <w:tc>
          <w:tcPr>
            <w:tcW w:w="1319"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各有关科室、单位</w:t>
            </w:r>
          </w:p>
        </w:tc>
        <w:tc>
          <w:tcPr>
            <w:tcW w:w="164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现场督导检查</w:t>
            </w:r>
          </w:p>
        </w:tc>
        <w:tc>
          <w:tcPr>
            <w:tcW w:w="2939" w:type="dxa"/>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住建领域相关单位、企业、建筑工地工作人员</w:t>
            </w:r>
          </w:p>
        </w:tc>
        <w:tc>
          <w:tcPr>
            <w:tcW w:w="1920" w:type="dxa"/>
          </w:tcPr>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通知、图片、简报等</w:t>
            </w:r>
          </w:p>
        </w:tc>
        <w:tc>
          <w:tcPr>
            <w:tcW w:w="1309"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全年</w:t>
            </w:r>
          </w:p>
        </w:tc>
      </w:tr>
      <w:bookmarkEnd w:id="0"/>
    </w:tbl>
    <w:p>
      <w:pPr>
        <w:numPr>
          <w:ilvl w:val="0"/>
          <w:numId w:val="0"/>
        </w:numPr>
        <w:rPr>
          <w:rFonts w:hint="eastAsia" w:ascii="仿宋_GB2312" w:hAnsi="仿宋_GB2312" w:eastAsia="仿宋_GB2312" w:cs="仿宋_GB2312"/>
          <w:sz w:val="32"/>
          <w:szCs w:val="32"/>
          <w:lang w:val="zh-CN"/>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angSong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9"/>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81552F"/>
    <w:rsid w:val="00D55760"/>
    <w:rsid w:val="02D65231"/>
    <w:rsid w:val="04A64765"/>
    <w:rsid w:val="07A62D6A"/>
    <w:rsid w:val="07B06D9B"/>
    <w:rsid w:val="095B50EB"/>
    <w:rsid w:val="0D434013"/>
    <w:rsid w:val="0E473B97"/>
    <w:rsid w:val="181F3466"/>
    <w:rsid w:val="1B851930"/>
    <w:rsid w:val="1CC87C4F"/>
    <w:rsid w:val="1CED29BB"/>
    <w:rsid w:val="1E9D76F1"/>
    <w:rsid w:val="1EE7783A"/>
    <w:rsid w:val="221A1202"/>
    <w:rsid w:val="25E4149C"/>
    <w:rsid w:val="26A14047"/>
    <w:rsid w:val="27D97A13"/>
    <w:rsid w:val="28D7241F"/>
    <w:rsid w:val="2B36652D"/>
    <w:rsid w:val="2B371839"/>
    <w:rsid w:val="2E4C7E64"/>
    <w:rsid w:val="3441444A"/>
    <w:rsid w:val="36880962"/>
    <w:rsid w:val="3DFF2F5A"/>
    <w:rsid w:val="3EA0750E"/>
    <w:rsid w:val="3FE0377A"/>
    <w:rsid w:val="40ED5026"/>
    <w:rsid w:val="414F2874"/>
    <w:rsid w:val="45EF3A99"/>
    <w:rsid w:val="45FB7583"/>
    <w:rsid w:val="496D24FF"/>
    <w:rsid w:val="4D946679"/>
    <w:rsid w:val="528954F3"/>
    <w:rsid w:val="54D73E91"/>
    <w:rsid w:val="564E2F65"/>
    <w:rsid w:val="59A072AB"/>
    <w:rsid w:val="59F979F3"/>
    <w:rsid w:val="5C6021D3"/>
    <w:rsid w:val="6171069D"/>
    <w:rsid w:val="6B1C6FBE"/>
    <w:rsid w:val="6BD972AE"/>
    <w:rsid w:val="6C995B3A"/>
    <w:rsid w:val="6D040ECD"/>
    <w:rsid w:val="6FEE5687"/>
    <w:rsid w:val="77D6A487"/>
    <w:rsid w:val="78660C4E"/>
    <w:rsid w:val="78A72696"/>
    <w:rsid w:val="7B1B1CB2"/>
    <w:rsid w:val="7CDE23E6"/>
    <w:rsid w:val="7D7EAC97"/>
    <w:rsid w:val="F3E32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4536</Words>
  <Characters>4647</Characters>
  <Lines>0</Lines>
  <Paragraphs>0</Paragraphs>
  <TotalTime>15</TotalTime>
  <ScaleCrop>false</ScaleCrop>
  <LinksUpToDate>false</LinksUpToDate>
  <CharactersWithSpaces>4715</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2021-06-11T10:36:00Z</dcterms:created>
  <dc:creator>lhm</dc:creator>
  <cp:lastModifiedBy>linyanchan</cp:lastModifiedBy>
  <cp:lastPrinted>2022-03-31T12:02:00Z</cp:lastPrinted>
  <dcterms:modified xsi:type="dcterms:W3CDTF">2023-01-18T17:15:00Z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6D5871F3DCE747A3B9F09B5718DD6264</vt:lpwstr>
  </property>
</Properties>
</file>