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附件1：</w:t>
      </w:r>
    </w:p>
    <w:p>
      <w:pPr>
        <w:pStyle w:val="2"/>
        <w:ind w:firstLine="210"/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汕尾市城区LC-AC、LC-BA、LC-BD、LC-BF、PQX-J、LCX-H、SW-PQH-K管理单元控制性详细规划调整内容简介</w:t>
      </w:r>
    </w:p>
    <w:p>
      <w:pPr>
        <w:jc w:val="center"/>
        <w:rPr>
          <w:rFonts w:asciiTheme="minorEastAsia" w:hAnsiTheme="minorEastAsia"/>
          <w:sz w:val="28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/>
          <w:b/>
          <w:bCs/>
          <w:sz w:val="28"/>
          <w:szCs w:val="32"/>
        </w:rPr>
        <w:t>规划</w:t>
      </w:r>
      <w:r>
        <w:rPr>
          <w:rFonts w:hint="eastAsia" w:asciiTheme="minorEastAsia" w:hAnsiTheme="minorEastAsia"/>
          <w:b/>
          <w:bCs/>
          <w:sz w:val="28"/>
          <w:szCs w:val="32"/>
        </w:rPr>
        <w:t>调整</w:t>
      </w:r>
      <w:r>
        <w:rPr>
          <w:rFonts w:asciiTheme="minorEastAsia" w:hAnsiTheme="minorEastAsia"/>
          <w:b/>
          <w:bCs/>
          <w:sz w:val="28"/>
          <w:szCs w:val="32"/>
        </w:rPr>
        <w:t>范围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本次规划范围涉及汕尾市城区老城A片区、老城B片区、老城西片区和品清西片区四个片区，包括LC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AC、LC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BA、LC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BD、LC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BF、PQX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J、LCX</w:t>
      </w:r>
      <w:r>
        <w:rPr>
          <w:rFonts w:ascii="仿宋_GB2312" w:hAnsi="仿宋_GB2312" w:eastAsia="仿宋_GB2312" w:cs="仿宋_GB2312"/>
          <w:sz w:val="28"/>
          <w:szCs w:val="32"/>
        </w:rPr>
        <w:t>-</w:t>
      </w:r>
      <w:r>
        <w:rPr>
          <w:rFonts w:hint="eastAsia" w:ascii="仿宋_GB2312" w:hAnsi="仿宋_GB2312" w:eastAsia="仿宋_GB2312" w:cs="仿宋_GB2312"/>
          <w:sz w:val="28"/>
          <w:szCs w:val="32"/>
        </w:rPr>
        <w:t>H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SW-PQH-K七</w:t>
      </w:r>
      <w:r>
        <w:rPr>
          <w:rFonts w:hint="eastAsia" w:ascii="仿宋_GB2312" w:hAnsi="仿宋_GB2312" w:eastAsia="仿宋_GB2312" w:cs="仿宋_GB2312"/>
          <w:sz w:val="28"/>
          <w:szCs w:val="32"/>
        </w:rPr>
        <w:t>个管理单元。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/>
          <w:b/>
          <w:bCs/>
          <w:sz w:val="28"/>
          <w:szCs w:val="32"/>
        </w:rPr>
        <w:t>规划</w:t>
      </w:r>
      <w:r>
        <w:rPr>
          <w:rFonts w:hint="eastAsia" w:asciiTheme="minorEastAsia" w:hAnsiTheme="minorEastAsia"/>
          <w:b/>
          <w:bCs/>
          <w:sz w:val="28"/>
          <w:szCs w:val="32"/>
        </w:rPr>
        <w:t>调整目的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规划区位于汕尾市老城区，为新老城区交界区域，是服务新城区发展、带动老城区升级的重要区域。通过规划调整，优化城市功能布局，整合各类资源要素，提升老城区发展支撑能力，激活老城区发展新动力，增强老城区城市发展能级，助力汕尾市城区奋力打造“首善之城、善美之区”的目标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规划调整必要性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解决新旧片区控规矛盾，增强城市管控的严谨性；解决控规控制与现状建设的不匹配问题，强化城市建设管理；盘活旧区土地资源，激活土地价值，衔接新区城市高质量发展。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规划调整结果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在《汕尾市城市总体规划（2</w:t>
      </w:r>
      <w:r>
        <w:rPr>
          <w:rFonts w:ascii="仿宋_GB2312" w:hAnsi="仿宋_GB2312" w:eastAsia="仿宋_GB2312" w:cs="仿宋_GB2312"/>
          <w:sz w:val="28"/>
          <w:szCs w:val="32"/>
        </w:rPr>
        <w:t>010-2020</w:t>
      </w:r>
      <w:r>
        <w:rPr>
          <w:rFonts w:hint="eastAsia" w:ascii="仿宋_GB2312" w:hAnsi="仿宋_GB2312" w:eastAsia="仿宋_GB2312" w:cs="仿宋_GB2312"/>
          <w:sz w:val="28"/>
          <w:szCs w:val="32"/>
        </w:rPr>
        <w:t>）》确定的道路交通、公共服务设施、市政设施及公共绿地布局条件下，本次控规调整对道路交通、公共服务设施、市政设施及公共环境产生的影响处于可控范围内。建议将本次控规调整确定的规划方案纳入正在编制的《汕尾市国土空间总体规划（2020-2035年）》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55AA"/>
    <w:multiLevelType w:val="multilevel"/>
    <w:tmpl w:val="38DE55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WJiMDk1ZDgyZTA5NzQwOTNjMDQ3ZGRhNjQ2NTEifQ=="/>
  </w:docVars>
  <w:rsids>
    <w:rsidRoot w:val="2DF666F3"/>
    <w:rsid w:val="00084B6E"/>
    <w:rsid w:val="000A2D45"/>
    <w:rsid w:val="00273D8C"/>
    <w:rsid w:val="003900C6"/>
    <w:rsid w:val="005C530D"/>
    <w:rsid w:val="00773BBD"/>
    <w:rsid w:val="00857FCF"/>
    <w:rsid w:val="009A5731"/>
    <w:rsid w:val="00CA341C"/>
    <w:rsid w:val="23E15108"/>
    <w:rsid w:val="2D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535</Characters>
  <Lines>3</Lines>
  <Paragraphs>1</Paragraphs>
  <TotalTime>27</TotalTime>
  <ScaleCrop>false</ScaleCrop>
  <LinksUpToDate>false</LinksUpToDate>
  <CharactersWithSpaces>535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2022-04-28T03:59:00Z</dcterms:created>
  <dc:creator>隐宅酱</dc:creator>
  <cp:lastModifiedBy>隐宅酱</cp:lastModifiedBy>
  <cp:lastPrinted>2022-04-28T04:00:00Z</cp:lastPrinted>
  <dcterms:modified xsi:type="dcterms:W3CDTF">2022-12-28T02:52:52Z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64550698712140B8905ED6EB609BA267</vt:lpwstr>
  </property>
</Properties>
</file>