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color w:val="auto"/>
          <w:highlight w:val="none"/>
        </w:rPr>
      </w:pPr>
      <w:r>
        <w:rPr>
          <w:rFonts w:hint="eastAsia"/>
          <w:color w:val="auto"/>
          <w:highlight w:val="none"/>
        </w:rPr>
        <w:t>汕尾市社会保险基金定期竞争性</w:t>
      </w:r>
    </w:p>
    <w:p>
      <w:pPr>
        <w:pStyle w:val="3"/>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黑体" w:hAnsi="黑体" w:eastAsia="黑体" w:cs="黑体"/>
          <w:b w:val="0"/>
          <w:bCs w:val="0"/>
          <w:color w:val="auto"/>
          <w:sz w:val="44"/>
          <w:szCs w:val="44"/>
          <w:highlight w:val="none"/>
        </w:rPr>
      </w:pPr>
      <w:r>
        <w:rPr>
          <w:rFonts w:hint="eastAsia"/>
          <w:color w:val="auto"/>
          <w:highlight w:val="none"/>
        </w:rPr>
        <w:t>存放管</w:t>
      </w:r>
      <w:bookmarkStart w:id="0" w:name="_GoBack"/>
      <w:bookmarkEnd w:id="0"/>
      <w:r>
        <w:rPr>
          <w:rFonts w:hint="eastAsia"/>
          <w:color w:val="auto"/>
          <w:highlight w:val="none"/>
        </w:rPr>
        <w:t>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为保障社会保险基金</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以下简称社保基金</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在银行存放的安全性和保值增值，充分发挥社保基金的导向作用，采取竞争性方式选择社保基金定期存放银行，激励商业银行对</w:t>
      </w:r>
      <w:r>
        <w:rPr>
          <w:rFonts w:hint="eastAsia" w:ascii="仿宋_GB2312" w:hAnsi="仿宋_GB2312" w:eastAsia="仿宋_GB2312" w:cs="仿宋_GB2312"/>
          <w:color w:val="auto"/>
          <w:sz w:val="32"/>
          <w:szCs w:val="32"/>
          <w:highlight w:val="none"/>
          <w:lang w:eastAsia="zh-CN"/>
        </w:rPr>
        <w:t>汕尾市</w:t>
      </w:r>
      <w:r>
        <w:rPr>
          <w:rFonts w:hint="eastAsia" w:ascii="仿宋_GB2312" w:hAnsi="仿宋_GB2312" w:eastAsia="仿宋_GB2312" w:cs="仿宋_GB2312"/>
          <w:color w:val="auto"/>
          <w:sz w:val="32"/>
          <w:szCs w:val="32"/>
          <w:highlight w:val="none"/>
        </w:rPr>
        <w:t>实体经济发展和社会建设的支持力度，根据《中华人民共和国社会保险法》《中华人民共和国预算法》《社会保险基金财务制度》和《关于加强和规范社会保障基金财政专户管理有关问题的通知》</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财社[2012]3号</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汕尾市</w:t>
      </w:r>
      <w:r>
        <w:rPr>
          <w:rFonts w:hint="eastAsia" w:ascii="仿宋_GB2312" w:hAnsi="仿宋_GB2312" w:eastAsia="仿宋_GB2312" w:cs="仿宋_GB2312"/>
          <w:color w:val="auto"/>
          <w:sz w:val="32"/>
          <w:szCs w:val="32"/>
          <w:highlight w:val="none"/>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第一条 </w:t>
      </w:r>
      <w:r>
        <w:rPr>
          <w:rFonts w:hint="eastAsia" w:ascii="仿宋_GB2312" w:hAnsi="仿宋_GB2312" w:eastAsia="仿宋_GB2312" w:cs="仿宋_GB2312"/>
          <w:color w:val="auto"/>
          <w:sz w:val="32"/>
          <w:szCs w:val="32"/>
          <w:highlight w:val="none"/>
        </w:rPr>
        <w:t>本办法所称社保基金，是指根据国家、省和</w:t>
      </w:r>
      <w:r>
        <w:rPr>
          <w:rFonts w:hint="eastAsia" w:ascii="仿宋_GB2312" w:hAnsi="仿宋_GB2312" w:eastAsia="仿宋_GB2312" w:cs="仿宋_GB2312"/>
          <w:color w:val="auto"/>
          <w:sz w:val="32"/>
          <w:szCs w:val="32"/>
          <w:highlight w:val="none"/>
          <w:lang w:val="en-US" w:eastAsia="zh-CN"/>
        </w:rPr>
        <w:t>汕尾</w:t>
      </w:r>
      <w:r>
        <w:rPr>
          <w:rFonts w:hint="eastAsia" w:ascii="仿宋_GB2312" w:hAnsi="仿宋_GB2312" w:eastAsia="仿宋_GB2312" w:cs="仿宋_GB2312"/>
          <w:color w:val="auto"/>
          <w:sz w:val="32"/>
          <w:szCs w:val="32"/>
          <w:highlight w:val="none"/>
        </w:rPr>
        <w:t>市社会保险相关法律法规建立的基金，包括基本养老保险基金、基本医疗保险基金、工伤保险基金、失业保险基金等。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本办法所称社保基金定期存款参存银行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以下简称参存银行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，是指根据本办法</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《汕尾市银行业金融机构</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cs="仿宋_GB2312"/>
          <w:color w:val="auto"/>
          <w:sz w:val="32"/>
          <w:szCs w:val="32"/>
          <w:highlight w:val="none"/>
          <w:lang w:val="en-US" w:eastAsia="zh-CN"/>
        </w:rPr>
        <w:t>各项激励指标和权重进行评价，</w:t>
      </w:r>
      <w:r>
        <w:rPr>
          <w:rFonts w:hint="eastAsia" w:ascii="仿宋_GB2312" w:hAnsi="仿宋_GB2312" w:eastAsia="仿宋_GB2312" w:cs="仿宋_GB2312"/>
          <w:color w:val="auto"/>
          <w:sz w:val="32"/>
          <w:szCs w:val="32"/>
          <w:highlight w:val="none"/>
        </w:rPr>
        <w:t>取得社保基金定期存款存放资格的商业银行。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二</w:t>
      </w:r>
      <w:r>
        <w:rPr>
          <w:rFonts w:hint="eastAsia" w:ascii="仿宋_GB2312" w:hAnsi="仿宋_GB2312" w:eastAsia="仿宋_GB2312" w:cs="仿宋_GB2312"/>
          <w:b/>
          <w:bCs w:val="0"/>
          <w:color w:val="auto"/>
          <w:sz w:val="32"/>
          <w:szCs w:val="32"/>
          <w:highlight w:val="none"/>
        </w:rPr>
        <w:t xml:space="preserve">条 </w:t>
      </w:r>
      <w:r>
        <w:rPr>
          <w:rFonts w:hint="eastAsia" w:ascii="仿宋_GB2312" w:hAnsi="仿宋_GB2312" w:eastAsia="仿宋_GB2312" w:cs="仿宋_GB2312"/>
          <w:color w:val="auto"/>
          <w:sz w:val="32"/>
          <w:szCs w:val="32"/>
          <w:highlight w:val="none"/>
        </w:rPr>
        <w:t>社保基金定期存款应遵循以下原则：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依法合规。社保基金定期存款的管理应当符合法律法规和政策规定，增强市委市政府对金融领域的调控能力。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公正透明。社保基金定期存款参存银行选择应当公开、公平、公正，程序规范，结果透明，兼顾效率。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安全优先。社保基金定期存款的存放应当以确保资金安全为前提，充分评估社保基金定期存款参存银行经营状况，防止出现资金安全风险事件。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科学评估。综合考虑资金安全性、流动性、支持经济发展、资金收益等因素，客观评价银行对</w:t>
      </w:r>
      <w:r>
        <w:rPr>
          <w:rFonts w:hint="eastAsia" w:ascii="仿宋_GB2312" w:hAnsi="仿宋_GB2312" w:eastAsia="仿宋_GB2312" w:cs="仿宋_GB2312"/>
          <w:color w:val="auto"/>
          <w:sz w:val="32"/>
          <w:szCs w:val="32"/>
          <w:highlight w:val="none"/>
          <w:lang w:val="en-US" w:eastAsia="zh-CN"/>
        </w:rPr>
        <w:t>汕尾</w:t>
      </w:r>
      <w:r>
        <w:rPr>
          <w:rFonts w:hint="eastAsia" w:ascii="仿宋_GB2312" w:hAnsi="仿宋_GB2312" w:eastAsia="仿宋_GB2312" w:cs="仿宋_GB2312"/>
          <w:color w:val="auto"/>
          <w:sz w:val="32"/>
          <w:szCs w:val="32"/>
          <w:highlight w:val="none"/>
        </w:rPr>
        <w:t>市实体经济的贡献情况。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权责统一。实施社保基金定期存款的单位应当履行社保基金定期存款管理的主体责任，组织好社保基金定期存款管理工作，保证社保基金定期存款的相关管理工作平稳有序。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汕尾市银行业金融机构评价工作领导小组（以下简称“</w:t>
      </w:r>
      <w:r>
        <w:rPr>
          <w:rFonts w:hint="eastAsia" w:cs="仿宋_GB2312"/>
          <w:b w:val="0"/>
          <w:bCs w:val="0"/>
          <w:color w:val="auto"/>
          <w:sz w:val="32"/>
          <w:szCs w:val="32"/>
          <w:highlight w:val="none"/>
          <w:lang w:val="en-US" w:eastAsia="zh-CN"/>
        </w:rPr>
        <w:t>领导小组</w:t>
      </w:r>
      <w:r>
        <w:rPr>
          <w:rFonts w:hint="eastAsia" w:ascii="仿宋_GB2312" w:hAnsi="仿宋_GB2312" w:eastAsia="仿宋_GB2312" w:cs="仿宋_GB2312"/>
          <w:b w:val="0"/>
          <w:bCs w:val="0"/>
          <w:color w:val="auto"/>
          <w:sz w:val="32"/>
          <w:szCs w:val="32"/>
          <w:highlight w:val="none"/>
          <w:lang w:val="en-US" w:eastAsia="zh-CN"/>
        </w:rPr>
        <w:t>”）同时作为</w:t>
      </w:r>
      <w:r>
        <w:rPr>
          <w:rFonts w:hint="eastAsia" w:ascii="仿宋_GB2312" w:hAnsi="仿宋_GB2312" w:eastAsia="仿宋_GB2312" w:cs="仿宋_GB2312"/>
          <w:b w:val="0"/>
          <w:bCs w:val="0"/>
          <w:color w:val="auto"/>
          <w:sz w:val="32"/>
          <w:szCs w:val="32"/>
          <w:highlight w:val="none"/>
        </w:rPr>
        <w:t>市社会保险基金定期竞争性存放管理</w:t>
      </w:r>
      <w:r>
        <w:rPr>
          <w:rFonts w:hint="eastAsia" w:ascii="仿宋_GB2312" w:hAnsi="仿宋_GB2312" w:eastAsia="仿宋_GB2312" w:cs="仿宋_GB2312"/>
          <w:b w:val="0"/>
          <w:bCs w:val="0"/>
          <w:color w:val="auto"/>
          <w:sz w:val="32"/>
          <w:szCs w:val="32"/>
          <w:highlight w:val="none"/>
          <w:lang w:val="en-US" w:eastAsia="zh-CN"/>
        </w:rPr>
        <w:t>的</w:t>
      </w:r>
      <w:r>
        <w:rPr>
          <w:rFonts w:hint="eastAsia" w:cs="仿宋_GB2312"/>
          <w:b w:val="0"/>
          <w:bCs w:val="0"/>
          <w:color w:val="auto"/>
          <w:sz w:val="32"/>
          <w:szCs w:val="32"/>
          <w:highlight w:val="none"/>
          <w:lang w:val="en-US" w:eastAsia="zh-CN"/>
        </w:rPr>
        <w:t>协调</w:t>
      </w:r>
      <w:r>
        <w:rPr>
          <w:rFonts w:hint="eastAsia" w:ascii="仿宋_GB2312" w:hAnsi="仿宋_GB2312" w:eastAsia="仿宋_GB2312" w:cs="仿宋_GB2312"/>
          <w:b w:val="0"/>
          <w:bCs w:val="0"/>
          <w:color w:val="auto"/>
          <w:sz w:val="32"/>
          <w:szCs w:val="32"/>
          <w:highlight w:val="none"/>
          <w:lang w:val="en-US" w:eastAsia="zh-CN"/>
        </w:rPr>
        <w:t>机构，负责协调指导开展</w:t>
      </w:r>
      <w:r>
        <w:rPr>
          <w:rFonts w:hint="eastAsia" w:ascii="仿宋_GB2312" w:hAnsi="仿宋_GB2312" w:eastAsia="仿宋_GB2312" w:cs="仿宋_GB2312"/>
          <w:b w:val="0"/>
          <w:bCs w:val="0"/>
          <w:color w:val="auto"/>
          <w:sz w:val="32"/>
          <w:szCs w:val="32"/>
          <w:highlight w:val="none"/>
        </w:rPr>
        <w:t>社会保险基金</w:t>
      </w:r>
      <w:r>
        <w:rPr>
          <w:rFonts w:hint="eastAsia" w:cs="仿宋_GB2312"/>
          <w:b w:val="0"/>
          <w:bCs w:val="0"/>
          <w:color w:val="auto"/>
          <w:sz w:val="32"/>
          <w:szCs w:val="32"/>
          <w:highlight w:val="none"/>
          <w:lang w:val="en-US" w:eastAsia="zh-CN"/>
        </w:rPr>
        <w:t>定期竞争性</w:t>
      </w:r>
      <w:r>
        <w:rPr>
          <w:rFonts w:hint="eastAsia" w:ascii="仿宋_GB2312" w:hAnsi="仿宋_GB2312" w:eastAsia="仿宋_GB2312" w:cs="仿宋_GB2312"/>
          <w:b w:val="0"/>
          <w:bCs w:val="0"/>
          <w:color w:val="auto"/>
          <w:sz w:val="32"/>
          <w:szCs w:val="32"/>
          <w:highlight w:val="none"/>
        </w:rPr>
        <w:t>存放</w:t>
      </w:r>
      <w:r>
        <w:rPr>
          <w:rFonts w:hint="eastAsia" w:ascii="仿宋_GB2312" w:hAnsi="仿宋_GB2312" w:eastAsia="仿宋_GB2312" w:cs="仿宋_GB2312"/>
          <w:b w:val="0"/>
          <w:bCs w:val="0"/>
          <w:color w:val="auto"/>
          <w:sz w:val="32"/>
          <w:szCs w:val="32"/>
          <w:highlight w:val="none"/>
          <w:lang w:val="en-US" w:eastAsia="zh-CN"/>
        </w:rPr>
        <w:t>管理工作。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市金融局在社保基金定期存款参存银行管理中的主要职责是：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负责牵头</w:t>
      </w:r>
      <w:r>
        <w:rPr>
          <w:rFonts w:hint="eastAsia" w:ascii="仿宋_GB2312" w:hAnsi="仿宋_GB2312" w:eastAsia="仿宋_GB2312" w:cs="仿宋_GB2312"/>
          <w:color w:val="auto"/>
          <w:sz w:val="32"/>
          <w:szCs w:val="32"/>
          <w:highlight w:val="none"/>
          <w:lang w:val="en-US" w:eastAsia="zh-CN"/>
        </w:rPr>
        <w:t>收集、统计</w:t>
      </w:r>
      <w:r>
        <w:rPr>
          <w:rFonts w:hint="eastAsia" w:ascii="仿宋_GB2312" w:hAnsi="仿宋_GB2312" w:eastAsia="仿宋_GB2312" w:cs="仿宋_GB2312"/>
          <w:color w:val="auto"/>
          <w:sz w:val="32"/>
          <w:szCs w:val="32"/>
          <w:highlight w:val="none"/>
        </w:rPr>
        <w:t>市财政局、</w:t>
      </w:r>
      <w:r>
        <w:rPr>
          <w:rFonts w:hint="eastAsia" w:ascii="仿宋_GB2312" w:hAnsi="仿宋_GB2312" w:cs="仿宋_GB2312"/>
          <w:color w:val="auto"/>
          <w:sz w:val="32"/>
          <w:szCs w:val="32"/>
          <w:highlight w:val="none"/>
          <w:lang w:val="en-US" w:eastAsia="zh-CN"/>
        </w:rPr>
        <w:t>市税务局、</w:t>
      </w:r>
      <w:r>
        <w:rPr>
          <w:rFonts w:hint="eastAsia" w:ascii="仿宋_GB2312" w:hAnsi="仿宋_GB2312" w:eastAsia="仿宋_GB2312" w:cs="仿宋_GB2312"/>
          <w:color w:val="auto"/>
          <w:sz w:val="32"/>
          <w:szCs w:val="32"/>
          <w:highlight w:val="none"/>
        </w:rPr>
        <w:t>市农业农村局、市</w:t>
      </w:r>
      <w:r>
        <w:rPr>
          <w:rFonts w:hint="eastAsia" w:ascii="仿宋_GB2312" w:hAnsi="仿宋_GB2312" w:eastAsia="仿宋_GB2312" w:cs="仿宋_GB2312"/>
          <w:color w:val="auto"/>
          <w:sz w:val="32"/>
          <w:szCs w:val="32"/>
          <w:highlight w:val="none"/>
          <w:lang w:val="en-US" w:eastAsia="zh-CN"/>
        </w:rPr>
        <w:t>政数</w:t>
      </w:r>
      <w:r>
        <w:rPr>
          <w:rFonts w:hint="eastAsia" w:ascii="仿宋_GB2312" w:hAnsi="仿宋_GB2312" w:eastAsia="仿宋_GB2312" w:cs="仿宋_GB2312"/>
          <w:color w:val="auto"/>
          <w:sz w:val="32"/>
          <w:szCs w:val="32"/>
          <w:highlight w:val="none"/>
        </w:rPr>
        <w:t>局、人行汕尾</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中心支行、汕尾银保监分局</w:t>
      </w:r>
      <w:r>
        <w:rPr>
          <w:rFonts w:hint="eastAsia" w:ascii="仿宋_GB2312" w:hAnsi="仿宋_GB2312" w:eastAsia="仿宋_GB2312" w:cs="仿宋_GB2312"/>
          <w:color w:val="auto"/>
          <w:sz w:val="32"/>
          <w:szCs w:val="32"/>
          <w:highlight w:val="none"/>
          <w:lang w:val="en-US" w:eastAsia="zh-CN"/>
        </w:rPr>
        <w:t>等部门的</w:t>
      </w:r>
      <w:r>
        <w:rPr>
          <w:rFonts w:hint="eastAsia" w:ascii="仿宋_GB2312" w:hAnsi="仿宋_GB2312" w:eastAsia="仿宋_GB2312" w:cs="仿宋_GB2312"/>
          <w:color w:val="auto"/>
          <w:sz w:val="32"/>
          <w:szCs w:val="32"/>
          <w:highlight w:val="none"/>
        </w:rPr>
        <w:t>相关数据</w:t>
      </w:r>
      <w:r>
        <w:rPr>
          <w:rFonts w:hint="eastAsia" w:ascii="仿宋_GB2312" w:hAnsi="仿宋_GB2312" w:eastAsia="仿宋_GB2312" w:cs="仿宋_GB2312"/>
          <w:color w:val="auto"/>
          <w:sz w:val="32"/>
          <w:szCs w:val="32"/>
          <w:highlight w:val="none"/>
          <w:lang w:val="en-US" w:eastAsia="zh-CN"/>
        </w:rPr>
        <w:t>和</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lang w:val="en-US" w:eastAsia="zh-CN"/>
        </w:rPr>
        <w:t>银行的利率报价。</w:t>
      </w:r>
      <w:r>
        <w:rPr>
          <w:rFonts w:hint="eastAsia" w:ascii="仿宋_GB2312" w:hAnsi="仿宋_GB2312" w:eastAsia="仿宋_GB2312" w:cs="仿宋_GB2312"/>
          <w:color w:val="auto"/>
          <w:sz w:val="32"/>
          <w:szCs w:val="32"/>
          <w:highlight w:val="none"/>
          <w:shd w:val="clear" w:color="auto" w:fill="auto"/>
        </w:rPr>
        <w:t>每年</w:t>
      </w:r>
      <w:r>
        <w:rPr>
          <w:rFonts w:hint="eastAsia" w:ascii="仿宋_GB2312" w:hAnsi="仿宋_GB2312" w:eastAsia="仿宋_GB2312" w:cs="仿宋_GB2312"/>
          <w:color w:val="auto"/>
          <w:sz w:val="32"/>
          <w:szCs w:val="32"/>
          <w:highlight w:val="none"/>
          <w:shd w:val="clear" w:color="auto" w:fill="auto"/>
          <w:lang w:val="en-US" w:eastAsia="zh-CN"/>
        </w:rPr>
        <w:t>联合市财政局</w:t>
      </w:r>
      <w:r>
        <w:rPr>
          <w:rFonts w:hint="eastAsia" w:ascii="仿宋_GB2312" w:hAnsi="仿宋_GB2312" w:eastAsia="仿宋_GB2312" w:cs="仿宋_GB2312"/>
          <w:color w:val="auto"/>
          <w:sz w:val="32"/>
          <w:szCs w:val="32"/>
          <w:highlight w:val="none"/>
          <w:shd w:val="clear" w:color="auto" w:fill="auto"/>
        </w:rPr>
        <w:t>组织</w:t>
      </w:r>
      <w:r>
        <w:rPr>
          <w:rFonts w:hint="eastAsia" w:cs="仿宋_GB2312"/>
          <w:color w:val="auto"/>
          <w:sz w:val="32"/>
          <w:szCs w:val="32"/>
          <w:highlight w:val="none"/>
          <w:shd w:val="clear" w:color="auto" w:fill="auto"/>
          <w:lang w:val="en-US" w:eastAsia="zh-CN"/>
        </w:rPr>
        <w:t>开展</w:t>
      </w:r>
      <w:r>
        <w:rPr>
          <w:rFonts w:hint="eastAsia" w:ascii="仿宋_GB2312" w:hAnsi="仿宋_GB2312" w:eastAsia="仿宋_GB2312" w:cs="仿宋_GB2312"/>
          <w:color w:val="auto"/>
          <w:sz w:val="32"/>
          <w:szCs w:val="32"/>
          <w:highlight w:val="none"/>
          <w:shd w:val="clear" w:color="auto" w:fill="auto"/>
        </w:rPr>
        <w:t>社保基金定期存款</w:t>
      </w:r>
      <w:r>
        <w:rPr>
          <w:rFonts w:hint="eastAsia" w:ascii="仿宋_GB2312" w:hAnsi="仿宋_GB2312" w:eastAsia="仿宋_GB2312" w:cs="仿宋_GB2312"/>
          <w:color w:val="auto"/>
          <w:sz w:val="32"/>
          <w:szCs w:val="32"/>
          <w:highlight w:val="none"/>
          <w:shd w:val="clear" w:color="auto" w:fill="auto"/>
          <w:lang w:val="en-US"/>
        </w:rPr>
        <w:t>参</w:t>
      </w:r>
      <w:r>
        <w:rPr>
          <w:rFonts w:hint="eastAsia" w:ascii="仿宋_GB2312" w:hAnsi="仿宋_GB2312" w:eastAsia="仿宋_GB2312" w:cs="仿宋_GB2312"/>
          <w:color w:val="auto"/>
          <w:sz w:val="32"/>
          <w:szCs w:val="32"/>
          <w:highlight w:val="none"/>
          <w:shd w:val="clear" w:color="auto" w:fill="auto"/>
        </w:rPr>
        <w:t>存</w:t>
      </w:r>
      <w:r>
        <w:rPr>
          <w:rFonts w:hint="eastAsia" w:cs="仿宋_GB2312"/>
          <w:color w:val="auto"/>
          <w:sz w:val="32"/>
          <w:szCs w:val="32"/>
          <w:highlight w:val="none"/>
          <w:shd w:val="clear" w:color="auto" w:fill="auto"/>
          <w:lang w:val="en-US" w:eastAsia="zh-CN"/>
        </w:rPr>
        <w:t>银行</w:t>
      </w:r>
      <w:r>
        <w:rPr>
          <w:rFonts w:hint="eastAsia" w:ascii="仿宋_GB2312" w:hAnsi="仿宋_GB2312" w:eastAsia="仿宋_GB2312" w:cs="仿宋_GB2312"/>
          <w:color w:val="auto"/>
          <w:sz w:val="32"/>
          <w:szCs w:val="32"/>
          <w:highlight w:val="none"/>
          <w:shd w:val="clear" w:color="auto" w:fill="auto"/>
        </w:rPr>
        <w:t>资格</w:t>
      </w:r>
      <w:r>
        <w:rPr>
          <w:rFonts w:hint="eastAsia" w:ascii="仿宋_GB2312" w:hAnsi="仿宋_GB2312" w:eastAsia="仿宋_GB2312" w:cs="仿宋_GB2312"/>
          <w:color w:val="auto"/>
          <w:sz w:val="32"/>
          <w:szCs w:val="32"/>
          <w:highlight w:val="none"/>
          <w:shd w:val="clear" w:color="auto" w:fill="auto"/>
          <w:lang w:val="en-US"/>
        </w:rPr>
        <w:t>评</w:t>
      </w:r>
      <w:r>
        <w:rPr>
          <w:rFonts w:hint="eastAsia" w:ascii="仿宋_GB2312" w:hAnsi="仿宋_GB2312" w:eastAsia="仿宋_GB2312" w:cs="仿宋_GB2312"/>
          <w:color w:val="auto"/>
          <w:sz w:val="32"/>
          <w:szCs w:val="32"/>
          <w:highlight w:val="none"/>
          <w:shd w:val="clear" w:color="auto" w:fill="auto"/>
        </w:rPr>
        <w:t>定</w:t>
      </w:r>
      <w:r>
        <w:rPr>
          <w:rFonts w:hint="eastAsia" w:ascii="仿宋_GB2312" w:hAnsi="仿宋_GB2312" w:eastAsia="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。同</w:t>
      </w:r>
      <w:r>
        <w:rPr>
          <w:rFonts w:hint="eastAsia" w:ascii="仿宋_GB2312" w:hAnsi="仿宋_GB2312" w:eastAsia="仿宋_GB2312" w:cs="仿宋_GB2312"/>
          <w:color w:val="auto"/>
          <w:sz w:val="32"/>
          <w:szCs w:val="32"/>
          <w:highlight w:val="none"/>
        </w:rPr>
        <w:t>时负责全面掌握</w:t>
      </w:r>
      <w:r>
        <w:rPr>
          <w:rFonts w:hint="eastAsia"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rPr>
        <w:t>服务党委政府中心工作，</w:t>
      </w:r>
      <w:r>
        <w:rPr>
          <w:rFonts w:hint="eastAsia"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响应政府开展</w:t>
      </w:r>
      <w:r>
        <w:rPr>
          <w:rFonts w:hint="eastAsia" w:cs="仿宋_GB2312"/>
          <w:color w:val="auto"/>
          <w:sz w:val="32"/>
          <w:szCs w:val="32"/>
          <w:highlight w:val="none"/>
          <w:lang w:val="en-US" w:eastAsia="zh-CN"/>
        </w:rPr>
        <w:t>融资专项</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highlight w:val="none"/>
        </w:rPr>
        <w:t>乡村振兴、金融</w:t>
      </w:r>
      <w:r>
        <w:rPr>
          <w:rFonts w:hint="eastAsia" w:cs="仿宋_GB2312"/>
          <w:color w:val="auto"/>
          <w:sz w:val="32"/>
          <w:szCs w:val="32"/>
          <w:highlight w:val="none"/>
          <w:lang w:val="en-US" w:eastAsia="zh-CN"/>
        </w:rPr>
        <w:t>改革</w:t>
      </w:r>
      <w:r>
        <w:rPr>
          <w:rFonts w:hint="eastAsia"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普惠金融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等方面的有效做法，</w:t>
      </w:r>
      <w:r>
        <w:rPr>
          <w:rFonts w:hint="eastAsia" w:ascii="仿宋_GB2312" w:hAnsi="仿宋_GB2312" w:eastAsia="仿宋_GB2312" w:cs="仿宋_GB2312"/>
          <w:color w:val="auto"/>
          <w:sz w:val="32"/>
          <w:szCs w:val="32"/>
          <w:highlight w:val="none"/>
          <w:lang w:val="en-US" w:eastAsia="zh-CN"/>
        </w:rPr>
        <w:t>按各部门所确定的分数进行统计，</w:t>
      </w:r>
      <w:r>
        <w:rPr>
          <w:rFonts w:hint="eastAsia" w:ascii="仿宋_GB2312" w:hAnsi="仿宋_GB2312" w:eastAsia="仿宋_GB2312" w:cs="仿宋_GB2312"/>
          <w:color w:val="auto"/>
          <w:sz w:val="32"/>
          <w:szCs w:val="32"/>
          <w:highlight w:val="none"/>
        </w:rPr>
        <w:t>对综合性情况作出客观公正的评价。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市财政局在社保基金定期存款参存银行管理中的主要职责是：</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shd w:val="clear" w:color="auto" w:fill="auto"/>
          <w:lang w:val="en-US" w:eastAsia="zh-CN"/>
        </w:rPr>
        <w:t>每年</w:t>
      </w:r>
      <w:r>
        <w:rPr>
          <w:rFonts w:hint="eastAsia" w:ascii="仿宋_GB2312" w:hAnsi="仿宋_GB2312" w:eastAsia="仿宋_GB2312" w:cs="仿宋_GB2312"/>
          <w:color w:val="auto"/>
          <w:sz w:val="32"/>
          <w:szCs w:val="32"/>
          <w:highlight w:val="none"/>
          <w:shd w:val="clear" w:color="auto" w:fill="auto"/>
          <w:lang w:val="en-US" w:eastAsia="zh-CN"/>
        </w:rPr>
        <w:t>联合市金融局</w:t>
      </w:r>
      <w:r>
        <w:rPr>
          <w:rFonts w:hint="eastAsia" w:cs="仿宋_GB2312"/>
          <w:color w:val="auto"/>
          <w:sz w:val="32"/>
          <w:szCs w:val="32"/>
          <w:highlight w:val="none"/>
          <w:shd w:val="clear" w:color="auto" w:fill="auto"/>
          <w:lang w:val="en-US" w:eastAsia="zh-CN"/>
        </w:rPr>
        <w:t>开展</w:t>
      </w:r>
      <w:r>
        <w:rPr>
          <w:rFonts w:hint="eastAsia" w:ascii="仿宋_GB2312" w:hAnsi="仿宋_GB2312" w:eastAsia="仿宋_GB2312" w:cs="仿宋_GB2312"/>
          <w:color w:val="auto"/>
          <w:sz w:val="32"/>
          <w:szCs w:val="32"/>
          <w:highlight w:val="none"/>
          <w:shd w:val="clear" w:color="auto" w:fill="auto"/>
        </w:rPr>
        <w:t>社保基金定期存款</w:t>
      </w:r>
      <w:r>
        <w:rPr>
          <w:rFonts w:hint="eastAsia" w:ascii="仿宋_GB2312" w:hAnsi="仿宋_GB2312" w:eastAsia="仿宋_GB2312" w:cs="仿宋_GB2312"/>
          <w:color w:val="auto"/>
          <w:sz w:val="32"/>
          <w:szCs w:val="32"/>
          <w:highlight w:val="none"/>
          <w:shd w:val="clear" w:color="auto" w:fill="auto"/>
          <w:lang w:val="en-US"/>
        </w:rPr>
        <w:t>参</w:t>
      </w:r>
      <w:r>
        <w:rPr>
          <w:rFonts w:hint="eastAsia" w:ascii="仿宋_GB2312" w:hAnsi="仿宋_GB2312" w:eastAsia="仿宋_GB2312" w:cs="仿宋_GB2312"/>
          <w:color w:val="auto"/>
          <w:sz w:val="32"/>
          <w:szCs w:val="32"/>
          <w:highlight w:val="none"/>
          <w:shd w:val="clear" w:color="auto" w:fill="auto"/>
        </w:rPr>
        <w:t>存</w:t>
      </w:r>
      <w:r>
        <w:rPr>
          <w:rFonts w:hint="eastAsia" w:cs="仿宋_GB2312"/>
          <w:color w:val="auto"/>
          <w:sz w:val="32"/>
          <w:szCs w:val="32"/>
          <w:highlight w:val="none"/>
          <w:shd w:val="clear" w:color="auto" w:fill="auto"/>
          <w:lang w:val="en-US" w:eastAsia="zh-CN"/>
        </w:rPr>
        <w:t>银行</w:t>
      </w:r>
      <w:r>
        <w:rPr>
          <w:rFonts w:hint="eastAsia" w:ascii="仿宋_GB2312" w:hAnsi="仿宋_GB2312" w:eastAsia="仿宋_GB2312" w:cs="仿宋_GB2312"/>
          <w:color w:val="auto"/>
          <w:sz w:val="32"/>
          <w:szCs w:val="32"/>
          <w:highlight w:val="none"/>
          <w:shd w:val="clear" w:color="auto" w:fill="auto"/>
        </w:rPr>
        <w:t>资格</w:t>
      </w:r>
      <w:r>
        <w:rPr>
          <w:rFonts w:hint="eastAsia" w:ascii="仿宋_GB2312" w:hAnsi="仿宋_GB2312" w:eastAsia="仿宋_GB2312" w:cs="仿宋_GB2312"/>
          <w:color w:val="auto"/>
          <w:sz w:val="32"/>
          <w:szCs w:val="32"/>
          <w:highlight w:val="none"/>
          <w:shd w:val="clear" w:color="auto" w:fill="auto"/>
          <w:lang w:val="en-US"/>
        </w:rPr>
        <w:t>评</w:t>
      </w:r>
      <w:r>
        <w:rPr>
          <w:rFonts w:hint="eastAsia" w:ascii="仿宋_GB2312" w:hAnsi="仿宋_GB2312" w:eastAsia="仿宋_GB2312" w:cs="仿宋_GB2312"/>
          <w:color w:val="auto"/>
          <w:sz w:val="32"/>
          <w:szCs w:val="32"/>
          <w:highlight w:val="none"/>
          <w:shd w:val="clear" w:color="auto" w:fill="auto"/>
        </w:rPr>
        <w:t>定</w:t>
      </w:r>
      <w:r>
        <w:rPr>
          <w:rFonts w:hint="eastAsia" w:ascii="仿宋_GB2312" w:hAnsi="仿宋_GB2312" w:eastAsia="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按照《汕尾市社保基金定期存款</w:t>
      </w:r>
      <w:r>
        <w:rPr>
          <w:rFonts w:hint="eastAsia" w:cs="仿宋_GB2312"/>
          <w:color w:val="auto"/>
          <w:sz w:val="32"/>
          <w:szCs w:val="32"/>
          <w:highlight w:val="none"/>
          <w:shd w:val="clear" w:color="auto" w:fill="auto"/>
          <w:lang w:eastAsia="zh-CN"/>
        </w:rPr>
        <w:t>参存银行</w:t>
      </w:r>
      <w:r>
        <w:rPr>
          <w:rFonts w:hint="eastAsia" w:ascii="仿宋_GB2312" w:hAnsi="仿宋_GB2312" w:eastAsia="仿宋_GB2312" w:cs="仿宋_GB2312"/>
          <w:color w:val="auto"/>
          <w:sz w:val="32"/>
          <w:szCs w:val="32"/>
          <w:highlight w:val="none"/>
          <w:shd w:val="clear" w:color="auto" w:fill="auto"/>
          <w:lang w:eastAsia="zh-CN"/>
        </w:rPr>
        <w:t>评价</w:t>
      </w:r>
      <w:r>
        <w:rPr>
          <w:rFonts w:hint="eastAsia" w:ascii="仿宋_GB2312" w:hAnsi="仿宋_GB2312" w:eastAsia="仿宋_GB2312" w:cs="仿宋_GB2312"/>
          <w:color w:val="auto"/>
          <w:sz w:val="32"/>
          <w:szCs w:val="32"/>
          <w:highlight w:val="none"/>
          <w:shd w:val="clear" w:color="auto" w:fill="auto"/>
        </w:rPr>
        <w:t>激励指标》对各参存银行进行评分</w:t>
      </w:r>
      <w:r>
        <w:rPr>
          <w:rFonts w:hint="eastAsia" w:cs="仿宋_GB2312"/>
          <w:color w:val="auto"/>
          <w:sz w:val="32"/>
          <w:szCs w:val="32"/>
          <w:highlight w:val="none"/>
          <w:shd w:val="clear" w:color="auto" w:fill="auto"/>
          <w:lang w:eastAsia="zh-CN"/>
        </w:rPr>
        <w:t>，</w:t>
      </w:r>
      <w:r>
        <w:rPr>
          <w:rFonts w:hint="eastAsia" w:cs="仿宋_GB2312"/>
          <w:color w:val="auto"/>
          <w:sz w:val="32"/>
          <w:szCs w:val="32"/>
          <w:highlight w:val="none"/>
          <w:shd w:val="clear" w:color="auto" w:fill="auto"/>
          <w:lang w:val="en-US" w:eastAsia="zh-CN"/>
        </w:rPr>
        <w:t>并根据评分结果</w:t>
      </w:r>
      <w:r>
        <w:rPr>
          <w:rFonts w:hint="eastAsia" w:ascii="仿宋_GB2312" w:hAnsi="仿宋_GB2312" w:cs="仿宋_GB2312"/>
          <w:color w:val="auto"/>
          <w:sz w:val="32"/>
          <w:szCs w:val="32"/>
          <w:highlight w:val="none"/>
          <w:shd w:val="clear" w:color="auto" w:fill="auto"/>
          <w:lang w:val="en-US" w:eastAsia="zh-CN"/>
        </w:rPr>
        <w:t>开展</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color w:val="auto"/>
          <w:sz w:val="32"/>
          <w:szCs w:val="32"/>
          <w:highlight w:val="none"/>
          <w:shd w:val="clear" w:color="auto" w:fill="auto"/>
        </w:rPr>
        <w:t>定期存款资金分存</w:t>
      </w:r>
      <w:r>
        <w:rPr>
          <w:rFonts w:hint="eastAsia" w:ascii="仿宋_GB2312" w:hAnsi="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rPr>
        <w:t>测算确定</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银行承诺利率上浮的下限，与获得分存资格的银行办理存款手续，确定社保基金存款规模，提出社保基金分存计划，对资金进行调度和存放，并将资金存放结果</w:t>
      </w:r>
      <w:r>
        <w:rPr>
          <w:rFonts w:hint="eastAsia" w:ascii="仿宋_GB2312" w:hAnsi="仿宋_GB2312" w:eastAsia="仿宋_GB2312" w:cs="仿宋_GB2312"/>
          <w:color w:val="auto"/>
          <w:sz w:val="32"/>
          <w:szCs w:val="32"/>
          <w:highlight w:val="none"/>
          <w:lang w:val="en-US" w:eastAsia="zh-CN"/>
        </w:rPr>
        <w:t>报送</w:t>
      </w:r>
      <w:r>
        <w:rPr>
          <w:rFonts w:hint="eastAsia" w:cs="仿宋_GB2312"/>
          <w:color w:val="auto"/>
          <w:sz w:val="32"/>
          <w:szCs w:val="32"/>
          <w:highlight w:val="none"/>
          <w:lang w:val="en-US" w:eastAsia="zh-CN"/>
        </w:rPr>
        <w:t>领导小组</w:t>
      </w:r>
      <w:r>
        <w:rPr>
          <w:rFonts w:hint="eastAsia" w:cs="仿宋_GB2312"/>
          <w:b w:val="0"/>
          <w:bCs w:val="0"/>
          <w:color w:val="auto"/>
          <w:sz w:val="32"/>
          <w:szCs w:val="32"/>
          <w:highlight w:val="none"/>
          <w:lang w:val="en-US" w:eastAsia="zh-CN"/>
        </w:rPr>
        <w:t>备案</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反馈市金融局。</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银行发生重大风险事件且该行社保</w:t>
      </w:r>
      <w:r>
        <w:rPr>
          <w:rFonts w:hint="eastAsia" w:ascii="仿宋_GB2312" w:hAnsi="仿宋_GB2312" w:cs="仿宋_GB2312"/>
          <w:color w:val="auto"/>
          <w:sz w:val="32"/>
          <w:szCs w:val="32"/>
          <w:highlight w:val="none"/>
          <w:lang w:val="en-US" w:eastAsia="zh-CN"/>
        </w:rPr>
        <w:t>基金</w:t>
      </w:r>
      <w:r>
        <w:rPr>
          <w:rFonts w:hint="eastAsia" w:ascii="仿宋_GB2312" w:hAnsi="仿宋_GB2312" w:eastAsia="仿宋_GB2312" w:cs="仿宋_GB2312"/>
          <w:color w:val="auto"/>
          <w:sz w:val="32"/>
          <w:szCs w:val="32"/>
          <w:highlight w:val="none"/>
        </w:rPr>
        <w:t>定期存款未到期的，市财政局有权要求</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银行提供相应质押品，否则取消参存资格并直接收回该银行的社保资金存款，保证社保资金存放的安全。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商业银行申请成为参存银行应当符合以下基本条件：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一</w:t>
      </w:r>
      <w:r>
        <w:rPr>
          <w:rFonts w:hint="eastAsia"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注册地在</w:t>
      </w:r>
      <w:r>
        <w:rPr>
          <w:rFonts w:hint="eastAsia" w:ascii="仿宋_GB2312" w:hAnsi="仿宋_GB2312" w:eastAsia="仿宋_GB2312" w:cs="仿宋_GB2312"/>
          <w:color w:val="auto"/>
          <w:sz w:val="32"/>
          <w:szCs w:val="32"/>
          <w:highlight w:val="none"/>
          <w:shd w:val="clear" w:color="auto" w:fill="auto"/>
          <w:lang w:eastAsia="zh-CN"/>
        </w:rPr>
        <w:t>汕尾市</w:t>
      </w:r>
      <w:r>
        <w:rPr>
          <w:rFonts w:hint="eastAsia" w:ascii="仿宋_GB2312" w:hAnsi="仿宋_GB2312" w:eastAsia="仿宋_GB2312" w:cs="仿宋_GB2312"/>
          <w:color w:val="auto"/>
          <w:sz w:val="32"/>
          <w:szCs w:val="32"/>
          <w:highlight w:val="none"/>
          <w:shd w:val="clear" w:color="auto" w:fill="auto"/>
        </w:rPr>
        <w:t>设置分行级以上经营机构的商业银行。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符合法律法规关于社保基金存放银行的有关规定；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达到银行监管部门安全监管指标要求；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依法开展经营活动、内部管理机制健全、具有较强的风险控制能力。近3年内未发生金融风险及重大违约事件、无重大违法违规记录，信誉良好。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cs="仿宋_GB2312"/>
          <w:color w:val="auto"/>
          <w:sz w:val="32"/>
          <w:szCs w:val="32"/>
          <w:highlight w:val="none"/>
          <w:lang w:val="en-US" w:eastAsia="zh-CN"/>
        </w:rPr>
        <w:t>市金融局会同市财政局根据本办法第六条的规定对各参评银行进行资格审查，并将审查结果报领导小组备案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评价指标按照《汕尾市银行业金融机构</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w:t>
      </w:r>
      <w:r>
        <w:rPr>
          <w:rFonts w:hint="eastAsia" w:ascii="仿宋_GB2312" w:hAnsi="仿宋_GB2312" w:eastAsia="仿宋_GB2312" w:cs="仿宋_GB2312"/>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rPr>
        <w:t>和报价利率</w:t>
      </w:r>
      <w:r>
        <w:rPr>
          <w:rFonts w:hint="eastAsia"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rPr>
        <w:t>大类指标构成，主要评价指标权重</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rPr>
        <w:t>《汕尾市银行业金融</w:t>
      </w:r>
      <w:r>
        <w:rPr>
          <w:rFonts w:hint="eastAsia" w:ascii="仿宋_GB2312" w:hAnsi="仿宋_GB2312" w:eastAsia="仿宋_GB2312" w:cs="仿宋_GB2312"/>
          <w:color w:val="auto"/>
          <w:sz w:val="32"/>
          <w:szCs w:val="32"/>
          <w:highlight w:val="none"/>
          <w:lang w:val="en-US" w:eastAsia="zh-CN"/>
        </w:rPr>
        <w:t>机构评价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》的评分结果（权重为0.7）和利率报价（权重为0.3）确定。为确保社保</w:t>
      </w:r>
      <w:r>
        <w:rPr>
          <w:rFonts w:hint="eastAsia" w:ascii="仿宋_GB2312" w:hAnsi="仿宋_GB2312" w:cs="仿宋_GB2312"/>
          <w:color w:val="auto"/>
          <w:sz w:val="32"/>
          <w:szCs w:val="32"/>
          <w:highlight w:val="none"/>
          <w:lang w:val="en-US" w:eastAsia="zh-CN"/>
        </w:rPr>
        <w:t>基</w:t>
      </w:r>
      <w:r>
        <w:rPr>
          <w:rFonts w:hint="eastAsia" w:ascii="仿宋_GB2312" w:hAnsi="仿宋_GB2312" w:eastAsia="仿宋_GB2312" w:cs="仿宋_GB2312"/>
          <w:color w:val="auto"/>
          <w:sz w:val="32"/>
          <w:szCs w:val="32"/>
          <w:highlight w:val="none"/>
        </w:rPr>
        <w:t>金定期存款保值增值，在符合银行业自律的基础上，体现存款存放的竞争性和市场化，参与竞争的银行报价利率越高</w:t>
      </w:r>
      <w:r>
        <w:rPr>
          <w:rFonts w:hint="eastAsia" w:cs="仿宋_GB2312"/>
          <w:color w:val="auto"/>
          <w:sz w:val="32"/>
          <w:szCs w:val="32"/>
          <w:highlight w:val="none"/>
          <w:lang w:eastAsia="zh-CN"/>
        </w:rPr>
        <w:t>（</w:t>
      </w:r>
      <w:r>
        <w:rPr>
          <w:rFonts w:hint="eastAsia"/>
          <w:highlight w:val="none"/>
          <w:lang w:val="en-US" w:eastAsia="zh-CN"/>
        </w:rPr>
        <w:t>上浮利率必须符合全国市场利率定价自律机制的约束性要求</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，分值越高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市金融局</w:t>
      </w:r>
      <w:r>
        <w:rPr>
          <w:rFonts w:hint="eastAsia" w:ascii="仿宋_GB2312" w:hAnsi="仿宋_GB2312" w:eastAsia="仿宋_GB2312" w:cs="仿宋_GB2312"/>
          <w:color w:val="auto"/>
          <w:sz w:val="32"/>
          <w:szCs w:val="32"/>
          <w:highlight w:val="none"/>
        </w:rPr>
        <w:t>和市财政局应当在</w:t>
      </w:r>
      <w:r>
        <w:rPr>
          <w:rFonts w:hint="eastAsia" w:cs="仿宋_GB2312"/>
          <w:color w:val="auto"/>
          <w:sz w:val="32"/>
          <w:szCs w:val="32"/>
          <w:highlight w:val="none"/>
          <w:lang w:val="en-US" w:eastAsia="zh-CN"/>
        </w:rPr>
        <w:t>每年度</w:t>
      </w:r>
      <w:r>
        <w:rPr>
          <w:rFonts w:hint="eastAsia" w:ascii="仿宋_GB2312" w:hAnsi="仿宋_GB2312" w:eastAsia="仿宋_GB2312" w:cs="仿宋_GB2312"/>
          <w:color w:val="auto"/>
          <w:sz w:val="32"/>
          <w:szCs w:val="32"/>
          <w:highlight w:val="none"/>
        </w:rPr>
        <w:t>评定</w:t>
      </w:r>
      <w:r>
        <w:rPr>
          <w:rFonts w:hint="eastAsia"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结束后5个工作日内将评</w:t>
      </w:r>
      <w:r>
        <w:rPr>
          <w:rFonts w:hint="eastAsia" w:cs="仿宋_GB2312"/>
          <w:color w:val="auto"/>
          <w:sz w:val="32"/>
          <w:szCs w:val="32"/>
          <w:highlight w:val="none"/>
          <w:lang w:val="en-US" w:eastAsia="zh-CN"/>
        </w:rPr>
        <w:t>价结果报领导小组并予以通报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取得参存</w:t>
      </w:r>
      <w:r>
        <w:rPr>
          <w:rFonts w:hint="eastAsia" w:ascii="仿宋_GB2312" w:hAnsi="仿宋_GB2312" w:eastAsia="仿宋_GB2312" w:cs="仿宋_GB2312"/>
          <w:b w:val="0"/>
          <w:bCs w:val="0"/>
          <w:color w:val="auto"/>
          <w:sz w:val="32"/>
          <w:szCs w:val="32"/>
          <w:highlight w:val="none"/>
        </w:rPr>
        <w:t>资</w:t>
      </w:r>
      <w:r>
        <w:rPr>
          <w:rFonts w:hint="eastAsia" w:ascii="仿宋_GB2312" w:hAnsi="仿宋_GB2312" w:eastAsia="仿宋_GB2312" w:cs="仿宋_GB2312"/>
          <w:color w:val="auto"/>
          <w:sz w:val="32"/>
          <w:szCs w:val="32"/>
          <w:highlight w:val="none"/>
        </w:rPr>
        <w:t>格</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银行应当与市财政局签订社会保险基金存放银行服务协议，明确双方的权利和义务等内容。服务协议有效期限按社保基金定期存款期限确定。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市财政局根据《汕尾市社保基金定期存款</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激励指标》，对取得参存资格</w:t>
      </w:r>
      <w:r>
        <w:rPr>
          <w:rFonts w:hint="eastAsia"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银行进行量分，并按照分数</w:t>
      </w:r>
      <w:r>
        <w:rPr>
          <w:rFonts w:hint="eastAsia" w:cs="仿宋_GB2312"/>
          <w:color w:val="auto"/>
          <w:sz w:val="32"/>
          <w:szCs w:val="32"/>
          <w:highlight w:val="none"/>
          <w:lang w:val="en-US" w:eastAsia="zh-CN"/>
        </w:rPr>
        <w:t>确定</w:t>
      </w:r>
      <w:r>
        <w:rPr>
          <w:rFonts w:hint="eastAsia" w:ascii="仿宋_GB2312" w:hAnsi="仿宋_GB2312" w:eastAsia="仿宋_GB2312" w:cs="仿宋_GB2312"/>
          <w:color w:val="auto"/>
          <w:sz w:val="32"/>
          <w:szCs w:val="32"/>
          <w:highlight w:val="none"/>
        </w:rPr>
        <w:t>分存资金额度。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单个参存银行得分</w:t>
      </w:r>
      <w:r>
        <w:rPr>
          <w:rFonts w:hint="eastAsia" w:ascii="仿宋_GB2312" w:hAnsi="仿宋_GB2312" w:eastAsia="仿宋_GB2312" w:cs="仿宋_GB2312"/>
          <w:b/>
          <w:bCs w:val="0"/>
          <w:color w:val="auto"/>
          <w:sz w:val="32"/>
          <w:szCs w:val="32"/>
          <w:highlight w:val="none"/>
        </w:rPr>
        <w:t>核算公式为：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color w:val="auto"/>
          <w:sz w:val="32"/>
          <w:szCs w:val="32"/>
          <w:highlight w:val="none"/>
        </w:rPr>
        <w:pict>
          <v:shape id="_x0000_s1035" o:spid="_x0000_s1035" o:spt="75" type="#_x0000_t75" style="position:absolute;left:0pt;margin-left:2.3pt;margin-top:5.65pt;height:97.15pt;width:423.8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 ShapeID="_x0000_s1035" DrawAspect="Content" ObjectID="_1468075725" r:id="rId10">
            <o:LockedField>false</o:LockedField>
          </o:OLEObject>
        </w:pict>
      </w:r>
      <w:r>
        <w:rPr>
          <w:rFonts w:hint="eastAsia" w:ascii="仿宋_GB2312" w:hAnsi="仿宋_GB2312" w:eastAsia="仿宋_GB2312" w:cs="仿宋_GB2312"/>
          <w:b/>
          <w:bCs/>
          <w:color w:val="auto"/>
          <w:sz w:val="32"/>
          <w:szCs w:val="32"/>
          <w:highlight w:val="none"/>
        </w:rPr>
        <w:t>单个参存银行分存额</w:t>
      </w:r>
      <w:r>
        <w:rPr>
          <w:rFonts w:hint="eastAsia" w:ascii="仿宋_GB2312" w:hAnsi="仿宋_GB2312" w:eastAsia="仿宋_GB2312" w:cs="仿宋_GB2312"/>
          <w:b/>
          <w:bCs/>
          <w:color w:val="auto"/>
          <w:sz w:val="32"/>
          <w:szCs w:val="32"/>
          <w:highlight w:val="none"/>
          <w:lang w:val="en-US" w:eastAsia="zh-CN"/>
        </w:rPr>
        <w:t>度</w:t>
      </w:r>
      <w:r>
        <w:rPr>
          <w:rFonts w:hint="eastAsia" w:ascii="仿宋_GB2312" w:hAnsi="仿宋_GB2312" w:eastAsia="仿宋_GB2312" w:cs="仿宋_GB2312"/>
          <w:b/>
          <w:bCs/>
          <w:color w:val="auto"/>
          <w:sz w:val="32"/>
          <w:szCs w:val="32"/>
          <w:highlight w:val="none"/>
        </w:rPr>
        <w:t>核</w:t>
      </w:r>
      <w:r>
        <w:rPr>
          <w:rFonts w:hint="eastAsia" w:ascii="仿宋_GB2312" w:hAnsi="仿宋_GB2312" w:eastAsia="仿宋_GB2312" w:cs="仿宋_GB2312"/>
          <w:b/>
          <w:bCs w:val="0"/>
          <w:color w:val="auto"/>
          <w:sz w:val="32"/>
          <w:szCs w:val="32"/>
          <w:highlight w:val="none"/>
        </w:rPr>
        <w:t>算公式为：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pict>
          <v:shape id="_x0000_s1036" o:spid="_x0000_s1036" o:spt="75" type="#_x0000_t75" style="position:absolute;left:0pt;margin-left:8.2pt;margin-top:12.2pt;height:45.9pt;width:411.85pt;mso-wrap-distance-bottom:0pt;mso-wrap-distance-top:0pt;z-index:251660288;mso-width-relative:page;mso-height-relative:page;" o:ole="t" filled="f" o:preferrelative="t" stroked="f" coordsize="21600,21600">
            <v:path/>
            <v:fill on="f" focussize="0,0"/>
            <v:stroke on="f"/>
            <v:imagedata r:id="rId13" o:title=""/>
            <o:lock v:ext="edit" aspectratio="f"/>
            <w10:wrap type="topAndBottom"/>
          </v:shape>
          <o:OLEObject Type="Embed" ProgID="" ShapeID="_x0000_s1036" DrawAspect="Content" ObjectID="_1468075726" r:id="rId12">
            <o:LockedField>false</o:LockedField>
          </o:OLEObject>
        </w:pict>
      </w: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根据国家政策要求或风险管理需要，为保证资金安全,</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rPr>
        <w:t>需按一定的比例提供债券作为质押。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参存银行的主要职责是：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确保社保基金存放安全、完整；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自觉接受相关部门监督管理；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严格执行服务协议有关约定；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配合完成社保基金管理的其他有关工作。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为保证资金安全，对各参存银行分存资金实行总量控制</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行单期分存额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不得超过当期可分存总额的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ascii="仿宋_GB2312" w:hAnsi="仿宋_GB2312" w:cs="仿宋_GB2312"/>
          <w:highlight w:val="none"/>
          <w:lang w:val="en-US" w:eastAsia="zh-CN"/>
        </w:rPr>
        <w:t>（同一财政专户存款余额超过30%的不分存）</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行分存的存款余额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不得超过该行在汕尾辖区一般性存款（含同业存款）余额的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cs="仿宋_GB2312"/>
          <w:sz w:val="32"/>
          <w:szCs w:val="32"/>
          <w:highlight w:val="none"/>
          <w:lang w:val="en-US" w:eastAsia="zh-CN"/>
        </w:rPr>
        <w:t>（无法拆分的账户除外）</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行分存的</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sz w:val="32"/>
          <w:szCs w:val="32"/>
          <w:highlight w:val="none"/>
          <w:lang w:val="en-US" w:eastAsia="zh-CN"/>
        </w:rPr>
        <w:t>定期存款余额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不得超过我市社保基金定期存款余额的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highlight w:val="none"/>
          <w:lang w:val="en-US" w:eastAsia="zh-CN"/>
        </w:rPr>
      </w:pPr>
      <w:r>
        <w:rPr>
          <w:rFonts w:hint="eastAsia" w:ascii="仿宋_GB2312" w:hAnsi="仿宋_GB2312" w:cs="仿宋_GB2312"/>
          <w:sz w:val="32"/>
          <w:szCs w:val="32"/>
          <w:highlight w:val="none"/>
          <w:lang w:val="en-US" w:eastAsia="zh-CN"/>
        </w:rPr>
        <w:t>（四）</w:t>
      </w:r>
      <w:r>
        <w:rPr>
          <w:rFonts w:hint="eastAsia" w:ascii="仿宋_GB2312" w:hAnsi="仿宋_GB2312" w:cs="仿宋_GB2312"/>
          <w:highlight w:val="none"/>
          <w:lang w:val="en-US" w:eastAsia="zh-CN"/>
        </w:rPr>
        <w:t>单家</w:t>
      </w:r>
      <w:r>
        <w:rPr>
          <w:rFonts w:hint="eastAsia" w:cs="仿宋_GB2312"/>
          <w:sz w:val="32"/>
          <w:szCs w:val="32"/>
          <w:highlight w:val="none"/>
          <w:lang w:val="en-US" w:eastAsia="zh-CN"/>
        </w:rPr>
        <w:t>参存</w:t>
      </w:r>
      <w:r>
        <w:rPr>
          <w:rFonts w:hint="eastAsia" w:ascii="仿宋_GB2312" w:hAnsi="仿宋_GB2312" w:cs="仿宋_GB2312"/>
          <w:highlight w:val="none"/>
          <w:lang w:val="en-US" w:eastAsia="zh-CN"/>
        </w:rPr>
        <w:t>银行分存额超出比例部分，按评分排名顺延至下一家</w:t>
      </w:r>
      <w:r>
        <w:rPr>
          <w:rFonts w:hint="eastAsia" w:cs="仿宋_GB2312"/>
          <w:sz w:val="32"/>
          <w:szCs w:val="32"/>
          <w:highlight w:val="none"/>
          <w:lang w:val="en-US" w:eastAsia="zh-CN"/>
        </w:rPr>
        <w:t>参存</w:t>
      </w:r>
      <w:r>
        <w:rPr>
          <w:rFonts w:hint="eastAsia" w:ascii="仿宋_GB2312" w:hAnsi="仿宋_GB2312" w:cs="仿宋_GB2312"/>
          <w:highlight w:val="none"/>
          <w:lang w:val="en-US" w:eastAsia="zh-CN"/>
        </w:rPr>
        <w:t>银行分存。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color w:val="auto"/>
          <w:sz w:val="32"/>
          <w:szCs w:val="32"/>
          <w:highlight w:val="none"/>
        </w:rPr>
        <w:t>定期存款到期收回后，重新按本办法进行资金分配。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参存银行有下列行为之一，情节严重的，由市金融局商市财政局取消参存资格，</w:t>
      </w:r>
      <w:r>
        <w:rPr>
          <w:rFonts w:hint="eastAsia"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年内不得参与参存银行资格评定：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未及时汇划到期本息两次以上</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含两次</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，或一次但涉及金额较大的；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在参存银行资格评定过程中存在弄虚作假、隐瞒事实等行为的；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未按协议履行相应义务，产生严重后果的；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未按存款报价利率办理存款计息且不改正的；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其他对社保基金安全产生重大影响的行为。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参存资格撤销后，在该行所办理的社保基金定期存款到期后办理支取。如遇严重影响资金安全的情况，社保基金定期存款全部提前支取。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市财政局联合市金融局通过评定的方式选定参存银行</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评定</w:t>
      </w:r>
      <w:r>
        <w:rPr>
          <w:rFonts w:hint="eastAsia" w:ascii="仿宋_GB2312" w:hAnsi="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每年进行</w:t>
      </w:r>
      <w:r>
        <w:rPr>
          <w:rFonts w:hint="eastAsia"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次，</w:t>
      </w:r>
      <w:r>
        <w:rPr>
          <w:rFonts w:hint="eastAsia" w:ascii="仿宋_GB2312" w:hAnsi="仿宋_GB2312"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rPr>
        <w:t>资格有效期</w:t>
      </w:r>
      <w:r>
        <w:rPr>
          <w:rFonts w:hint="eastAsia" w:ascii="仿宋_GB2312" w:hAnsi="仿宋_GB2312" w:eastAsia="仿宋_GB2312" w:cs="仿宋_GB2312"/>
          <w:color w:val="auto"/>
          <w:sz w:val="32"/>
          <w:szCs w:val="32"/>
          <w:highlight w:val="none"/>
          <w:lang w:val="en-US" w:eastAsia="zh-CN"/>
        </w:rPr>
        <w:t>为</w:t>
      </w:r>
      <w:r>
        <w:rPr>
          <w:rFonts w:hint="eastAsia"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cs="仿宋_GB2312"/>
          <w:color w:val="auto"/>
          <w:sz w:val="32"/>
          <w:szCs w:val="32"/>
          <w:highlight w:val="none"/>
          <w:lang w:val="en-US" w:eastAsia="zh-CN"/>
        </w:rPr>
        <w:t>2020年度到期的社保基金定期存放，采用2020年上半年</w:t>
      </w:r>
      <w:r>
        <w:rPr>
          <w:rFonts w:hint="eastAsia" w:ascii="仿宋_GB2312" w:hAnsi="仿宋_GB2312" w:eastAsia="仿宋_GB2312" w:cs="仿宋_GB2312"/>
          <w:color w:val="auto"/>
          <w:sz w:val="32"/>
          <w:szCs w:val="32"/>
          <w:highlight w:val="none"/>
        </w:rPr>
        <w:t>汕尾市社保基金定期存款</w:t>
      </w:r>
      <w:r>
        <w:rPr>
          <w:rFonts w:hint="eastAsia"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w:t>
      </w:r>
      <w:r>
        <w:rPr>
          <w:rFonts w:hint="eastAsia" w:cs="仿宋_GB2312"/>
          <w:color w:val="auto"/>
          <w:sz w:val="32"/>
          <w:szCs w:val="32"/>
          <w:highlight w:val="none"/>
          <w:lang w:val="en-US" w:eastAsia="zh-CN"/>
        </w:rPr>
        <w:t>的得分确定。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cs="仿宋_GB2312"/>
          <w:b/>
          <w:bCs/>
          <w:color w:val="auto"/>
          <w:sz w:val="32"/>
          <w:szCs w:val="32"/>
          <w:highlight w:val="none"/>
          <w:lang w:val="en-US" w:eastAsia="zh-CN"/>
        </w:rPr>
        <w:t>第二十条</w:t>
      </w:r>
      <w:r>
        <w:rPr>
          <w:rFonts w:hint="eastAsia" w:cs="仿宋_GB2312"/>
          <w:color w:val="auto"/>
          <w:sz w:val="32"/>
          <w:szCs w:val="32"/>
          <w:highlight w:val="none"/>
          <w:lang w:val="en-US" w:eastAsia="zh-CN"/>
        </w:rPr>
        <w:t xml:space="preserve"> 领导小组</w:t>
      </w:r>
      <w:r>
        <w:rPr>
          <w:rFonts w:hint="eastAsia" w:ascii="仿宋_GB2312" w:hAnsi="仿宋_GB2312" w:eastAsia="仿宋_GB2312" w:cs="仿宋_GB2312"/>
          <w:color w:val="auto"/>
          <w:sz w:val="32"/>
          <w:szCs w:val="32"/>
          <w:highlight w:val="none"/>
        </w:rPr>
        <w:t>依法对社保基金定期存款参存银行管理工作进行监督。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本办法未尽事宜及需要调整的事项，报</w:t>
      </w:r>
      <w:r>
        <w:rPr>
          <w:rFonts w:hint="eastAsia" w:cs="仿宋_GB2312"/>
          <w:color w:val="auto"/>
          <w:sz w:val="32"/>
          <w:szCs w:val="32"/>
          <w:highlight w:val="none"/>
          <w:lang w:val="en-US" w:eastAsia="zh-CN"/>
        </w:rPr>
        <w:t>领导小组研究通过</w:t>
      </w:r>
      <w:r>
        <w:rPr>
          <w:rFonts w:hint="eastAsia" w:ascii="仿宋_GB2312" w:hAnsi="仿宋_GB2312" w:eastAsia="仿宋_GB2312" w:cs="仿宋_GB2312"/>
          <w:color w:val="auto"/>
          <w:sz w:val="32"/>
          <w:szCs w:val="32"/>
          <w:highlight w:val="none"/>
          <w:lang w:val="en-US" w:eastAsia="zh-CN"/>
        </w:rPr>
        <w:t>后实施。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各县（市、区）可根据当地实际情况，参照本办法执行。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w:t>
      </w:r>
      <w:r>
        <w:rPr>
          <w:rFonts w:hint="eastAsia"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本办法由市金融局会同市财政局解释。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第二十</w:t>
      </w:r>
      <w:r>
        <w:rPr>
          <w:rFonts w:hint="eastAsia"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lang w:val="en-US" w:eastAsia="zh-CN"/>
        </w:rPr>
        <w:t>自</w:t>
      </w:r>
      <w:r>
        <w:rPr>
          <w:rFonts w:hint="eastAsia" w:cs="仿宋_GB2312"/>
          <w:color w:val="auto"/>
          <w:sz w:val="32"/>
          <w:szCs w:val="32"/>
          <w:highlight w:val="none"/>
          <w:lang w:val="en-US" w:eastAsia="zh-CN"/>
        </w:rPr>
        <w:t>印发</w:t>
      </w:r>
      <w:r>
        <w:rPr>
          <w:rFonts w:hint="eastAsia" w:ascii="仿宋_GB2312" w:hAnsi="仿宋_GB2312" w:eastAsia="仿宋_GB2312" w:cs="仿宋_GB2312"/>
          <w:color w:val="auto"/>
          <w:sz w:val="32"/>
          <w:szCs w:val="32"/>
          <w:highlight w:val="none"/>
          <w:lang w:val="en-US" w:eastAsia="zh-CN"/>
        </w:rPr>
        <w:t>之</w:t>
      </w:r>
      <w:r>
        <w:rPr>
          <w:rFonts w:hint="eastAsia" w:ascii="仿宋_GB2312" w:hAnsi="仿宋_GB2312" w:eastAsia="仿宋_GB2312" w:cs="仿宋_GB2312"/>
          <w:color w:val="auto"/>
          <w:sz w:val="32"/>
          <w:szCs w:val="32"/>
          <w:highlight w:val="none"/>
        </w:rPr>
        <w:t>日起实施，有效期</w:t>
      </w:r>
      <w:r>
        <w:rPr>
          <w:rFonts w:hint="eastAsia"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ascii="黑体" w:hAnsi="黑体" w:eastAsia="黑体" w:cs="方正小标宋简体"/>
          <w:color w:val="auto"/>
          <w:sz w:val="44"/>
          <w:szCs w:val="44"/>
          <w:highlight w:val="none"/>
        </w:rPr>
      </w:pPr>
      <w:r>
        <w:rPr>
          <w:rFonts w:hint="eastAsia" w:ascii="仿宋_GB2312" w:hAnsi="仿宋_GB2312" w:eastAsia="仿宋_GB2312" w:cs="仿宋_GB2312"/>
          <w:color w:val="auto"/>
          <w:sz w:val="32"/>
          <w:szCs w:val="32"/>
          <w:highlight w:val="none"/>
        </w:rPr>
        <w:t>附件：《汕尾市社保基金定期存款</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1905"/>
        <w:tab w:val="left" w:pos="2490"/>
        <w:tab w:val="left" w:pos="2790"/>
        <w:tab w:val="left" w:pos="5940"/>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A8"/>
    <w:rsid w:val="000804C3"/>
    <w:rsid w:val="001C4622"/>
    <w:rsid w:val="00213EA8"/>
    <w:rsid w:val="007E470A"/>
    <w:rsid w:val="00A04BBF"/>
    <w:rsid w:val="00A46218"/>
    <w:rsid w:val="00B72C6A"/>
    <w:rsid w:val="00DA67FE"/>
    <w:rsid w:val="00E279B0"/>
    <w:rsid w:val="00E50608"/>
    <w:rsid w:val="023910EE"/>
    <w:rsid w:val="02510F26"/>
    <w:rsid w:val="026B70AC"/>
    <w:rsid w:val="045F270E"/>
    <w:rsid w:val="04B46A1B"/>
    <w:rsid w:val="050A3284"/>
    <w:rsid w:val="060B3223"/>
    <w:rsid w:val="06206AFC"/>
    <w:rsid w:val="06706FF2"/>
    <w:rsid w:val="068A68AC"/>
    <w:rsid w:val="094857EA"/>
    <w:rsid w:val="0966787A"/>
    <w:rsid w:val="09A5452B"/>
    <w:rsid w:val="09B561AE"/>
    <w:rsid w:val="09C3389C"/>
    <w:rsid w:val="0A083179"/>
    <w:rsid w:val="0AE52E15"/>
    <w:rsid w:val="0B821D8F"/>
    <w:rsid w:val="0B89020D"/>
    <w:rsid w:val="0C2B251C"/>
    <w:rsid w:val="0D193963"/>
    <w:rsid w:val="0D4B4F0A"/>
    <w:rsid w:val="0D4B5D66"/>
    <w:rsid w:val="0D4F1C98"/>
    <w:rsid w:val="0D5F3AA2"/>
    <w:rsid w:val="0DB028B0"/>
    <w:rsid w:val="0DF71A34"/>
    <w:rsid w:val="0E395B2E"/>
    <w:rsid w:val="0F79644C"/>
    <w:rsid w:val="106C6AAA"/>
    <w:rsid w:val="113B023C"/>
    <w:rsid w:val="12CB5BF4"/>
    <w:rsid w:val="12EF3DB6"/>
    <w:rsid w:val="13BC57C4"/>
    <w:rsid w:val="1410125F"/>
    <w:rsid w:val="14B37185"/>
    <w:rsid w:val="14F464BD"/>
    <w:rsid w:val="154948DF"/>
    <w:rsid w:val="16355A42"/>
    <w:rsid w:val="16580171"/>
    <w:rsid w:val="167C1668"/>
    <w:rsid w:val="169D0FEF"/>
    <w:rsid w:val="18194DD9"/>
    <w:rsid w:val="186B10C6"/>
    <w:rsid w:val="188E6EF4"/>
    <w:rsid w:val="18AA2911"/>
    <w:rsid w:val="18AA6029"/>
    <w:rsid w:val="194C1263"/>
    <w:rsid w:val="1A360C62"/>
    <w:rsid w:val="1B1801FC"/>
    <w:rsid w:val="1B7F6D13"/>
    <w:rsid w:val="1BD70887"/>
    <w:rsid w:val="1C0F00D0"/>
    <w:rsid w:val="1C7E1B1E"/>
    <w:rsid w:val="1C830081"/>
    <w:rsid w:val="1CA304BC"/>
    <w:rsid w:val="1D8205F3"/>
    <w:rsid w:val="1D82632E"/>
    <w:rsid w:val="1E7D4C0D"/>
    <w:rsid w:val="1E951E30"/>
    <w:rsid w:val="1FFB1A5F"/>
    <w:rsid w:val="20730F2A"/>
    <w:rsid w:val="20974500"/>
    <w:rsid w:val="20A11CE9"/>
    <w:rsid w:val="21730D67"/>
    <w:rsid w:val="21DE1685"/>
    <w:rsid w:val="228D5CB4"/>
    <w:rsid w:val="22987537"/>
    <w:rsid w:val="242C1A4C"/>
    <w:rsid w:val="24B5168A"/>
    <w:rsid w:val="24B960A9"/>
    <w:rsid w:val="24C12B65"/>
    <w:rsid w:val="24FB1A28"/>
    <w:rsid w:val="25E3116D"/>
    <w:rsid w:val="26094365"/>
    <w:rsid w:val="268B73FB"/>
    <w:rsid w:val="28AB2F8F"/>
    <w:rsid w:val="290660B5"/>
    <w:rsid w:val="2A0969D7"/>
    <w:rsid w:val="2C2F3786"/>
    <w:rsid w:val="2C6E4ACA"/>
    <w:rsid w:val="2D6109A0"/>
    <w:rsid w:val="2D8218DC"/>
    <w:rsid w:val="2DD02B03"/>
    <w:rsid w:val="2E33629D"/>
    <w:rsid w:val="2E655DF6"/>
    <w:rsid w:val="2E8D77AF"/>
    <w:rsid w:val="2F7265C2"/>
    <w:rsid w:val="30EE04A7"/>
    <w:rsid w:val="3155393A"/>
    <w:rsid w:val="31881AC8"/>
    <w:rsid w:val="31F22A44"/>
    <w:rsid w:val="326555EF"/>
    <w:rsid w:val="32B54084"/>
    <w:rsid w:val="32D1208F"/>
    <w:rsid w:val="333128B6"/>
    <w:rsid w:val="33AF37DF"/>
    <w:rsid w:val="34A64605"/>
    <w:rsid w:val="34BE2330"/>
    <w:rsid w:val="34F72174"/>
    <w:rsid w:val="362648CD"/>
    <w:rsid w:val="37424B66"/>
    <w:rsid w:val="385F46B4"/>
    <w:rsid w:val="39121804"/>
    <w:rsid w:val="393A7C8F"/>
    <w:rsid w:val="39D748FE"/>
    <w:rsid w:val="39EA5ADE"/>
    <w:rsid w:val="3A0756D5"/>
    <w:rsid w:val="3A934D8B"/>
    <w:rsid w:val="3AB35D73"/>
    <w:rsid w:val="3AB905BB"/>
    <w:rsid w:val="3C014265"/>
    <w:rsid w:val="3CFB3155"/>
    <w:rsid w:val="3D077F71"/>
    <w:rsid w:val="3D684874"/>
    <w:rsid w:val="3D847FC4"/>
    <w:rsid w:val="3EE328AF"/>
    <w:rsid w:val="3F2457B2"/>
    <w:rsid w:val="40255561"/>
    <w:rsid w:val="40EF1A0B"/>
    <w:rsid w:val="41D84B55"/>
    <w:rsid w:val="4207595D"/>
    <w:rsid w:val="422C6900"/>
    <w:rsid w:val="42DD529A"/>
    <w:rsid w:val="43BB37A2"/>
    <w:rsid w:val="43BE5AEA"/>
    <w:rsid w:val="444548BF"/>
    <w:rsid w:val="44E37F1D"/>
    <w:rsid w:val="46203AE6"/>
    <w:rsid w:val="46F72B0A"/>
    <w:rsid w:val="46FA617D"/>
    <w:rsid w:val="46FB41A9"/>
    <w:rsid w:val="47473570"/>
    <w:rsid w:val="48036716"/>
    <w:rsid w:val="484C7B70"/>
    <w:rsid w:val="48BD1F08"/>
    <w:rsid w:val="48D02D7B"/>
    <w:rsid w:val="49D7168A"/>
    <w:rsid w:val="4A8F516A"/>
    <w:rsid w:val="4BD42CAF"/>
    <w:rsid w:val="4CAD257D"/>
    <w:rsid w:val="4D2F1CDE"/>
    <w:rsid w:val="4D571DF4"/>
    <w:rsid w:val="4DEF565A"/>
    <w:rsid w:val="4DF36A11"/>
    <w:rsid w:val="4E036C17"/>
    <w:rsid w:val="4F352897"/>
    <w:rsid w:val="4F7059EA"/>
    <w:rsid w:val="50720AD1"/>
    <w:rsid w:val="52D43175"/>
    <w:rsid w:val="52E16ACC"/>
    <w:rsid w:val="53180639"/>
    <w:rsid w:val="53746BAE"/>
    <w:rsid w:val="53AD4546"/>
    <w:rsid w:val="53C10433"/>
    <w:rsid w:val="55BC2F53"/>
    <w:rsid w:val="55E662A0"/>
    <w:rsid w:val="56265AAE"/>
    <w:rsid w:val="5638695C"/>
    <w:rsid w:val="56776DF5"/>
    <w:rsid w:val="56BA6754"/>
    <w:rsid w:val="5732125D"/>
    <w:rsid w:val="57A51A01"/>
    <w:rsid w:val="57C84AD6"/>
    <w:rsid w:val="57C90C9F"/>
    <w:rsid w:val="58676AB8"/>
    <w:rsid w:val="595278D5"/>
    <w:rsid w:val="59A55EC3"/>
    <w:rsid w:val="59C620CF"/>
    <w:rsid w:val="5A555A36"/>
    <w:rsid w:val="5A986C9C"/>
    <w:rsid w:val="5AAD74C7"/>
    <w:rsid w:val="5AC72EDB"/>
    <w:rsid w:val="5B2768D3"/>
    <w:rsid w:val="5BF503EF"/>
    <w:rsid w:val="5C6D232A"/>
    <w:rsid w:val="5CA361DC"/>
    <w:rsid w:val="5D204F9E"/>
    <w:rsid w:val="5E4A4FE1"/>
    <w:rsid w:val="5E915C61"/>
    <w:rsid w:val="5F030FEF"/>
    <w:rsid w:val="5F5529B2"/>
    <w:rsid w:val="5F5E545E"/>
    <w:rsid w:val="5FDB1902"/>
    <w:rsid w:val="60372A61"/>
    <w:rsid w:val="616345BE"/>
    <w:rsid w:val="6229101A"/>
    <w:rsid w:val="634F380E"/>
    <w:rsid w:val="63ED72F9"/>
    <w:rsid w:val="641E21A9"/>
    <w:rsid w:val="64331783"/>
    <w:rsid w:val="643B0BFE"/>
    <w:rsid w:val="646A5770"/>
    <w:rsid w:val="646B6F59"/>
    <w:rsid w:val="64C87C93"/>
    <w:rsid w:val="64FB484C"/>
    <w:rsid w:val="653E14E3"/>
    <w:rsid w:val="656254FA"/>
    <w:rsid w:val="66BD64C3"/>
    <w:rsid w:val="66D37A91"/>
    <w:rsid w:val="673E524C"/>
    <w:rsid w:val="684D4AA6"/>
    <w:rsid w:val="69575EB5"/>
    <w:rsid w:val="6AEE088A"/>
    <w:rsid w:val="6C1D5B6D"/>
    <w:rsid w:val="6C540A39"/>
    <w:rsid w:val="6CFA1145"/>
    <w:rsid w:val="6DA62497"/>
    <w:rsid w:val="6DBE2AF1"/>
    <w:rsid w:val="6DE24DCA"/>
    <w:rsid w:val="6E2172EA"/>
    <w:rsid w:val="6E3C670D"/>
    <w:rsid w:val="6F9B7B47"/>
    <w:rsid w:val="703A3462"/>
    <w:rsid w:val="714C3C08"/>
    <w:rsid w:val="71FF23DB"/>
    <w:rsid w:val="72CB3E02"/>
    <w:rsid w:val="73336BC9"/>
    <w:rsid w:val="73E03426"/>
    <w:rsid w:val="74A452A3"/>
    <w:rsid w:val="7560448A"/>
    <w:rsid w:val="75A13387"/>
    <w:rsid w:val="76204AA9"/>
    <w:rsid w:val="76C46E99"/>
    <w:rsid w:val="76FD3F2C"/>
    <w:rsid w:val="77A87E27"/>
    <w:rsid w:val="77FF3C05"/>
    <w:rsid w:val="783029D7"/>
    <w:rsid w:val="78D809AE"/>
    <w:rsid w:val="78D86235"/>
    <w:rsid w:val="78DA3A62"/>
    <w:rsid w:val="78EB5D33"/>
    <w:rsid w:val="791960D2"/>
    <w:rsid w:val="79401D77"/>
    <w:rsid w:val="79576D98"/>
    <w:rsid w:val="7A4175B0"/>
    <w:rsid w:val="7A933F57"/>
    <w:rsid w:val="7A9A751A"/>
    <w:rsid w:val="7C7D7132"/>
    <w:rsid w:val="7D0D143B"/>
    <w:rsid w:val="7D4937BE"/>
    <w:rsid w:val="7D950040"/>
    <w:rsid w:val="7E1B1785"/>
    <w:rsid w:val="7E1F318D"/>
    <w:rsid w:val="7E41624D"/>
    <w:rsid w:val="7F61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qFormat/>
    <w:uiPriority w:val="9"/>
    <w:pPr>
      <w:keepNext/>
      <w:keepLines/>
      <w:spacing w:beforeLines="0" w:beforeAutospacing="0" w:afterLines="0" w:afterAutospacing="0" w:line="70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outlineLvl w:val="1"/>
    </w:pPr>
    <w:rPr>
      <w:rFonts w:ascii="黑体" w:hAnsi="黑体" w:eastAsia="黑体"/>
    </w:rPr>
  </w:style>
  <w:style w:type="paragraph" w:styleId="5">
    <w:name w:val="heading 3"/>
    <w:basedOn w:val="1"/>
    <w:next w:val="1"/>
    <w:link w:val="16"/>
    <w:unhideWhenUsed/>
    <w:qFormat/>
    <w:uiPriority w:val="9"/>
    <w:pPr>
      <w:keepNext/>
      <w:keepLines/>
      <w:spacing w:beforeLines="0" w:beforeAutospacing="0" w:afterLines="0" w:afterAutospacing="0" w:line="600" w:lineRule="exact"/>
      <w:outlineLvl w:val="2"/>
    </w:pPr>
    <w:rPr>
      <w:rFonts w:ascii="楷体" w:hAnsi="楷体" w:eastAsia="华文楷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6">
    <w:name w:val="annotation text"/>
    <w:basedOn w:val="1"/>
    <w:semiHidden/>
    <w:unhideWhenUsed/>
    <w:qFormat/>
    <w:uiPriority w:val="99"/>
    <w:pPr>
      <w:jc w:val="left"/>
    </w:pPr>
  </w:style>
  <w:style w:type="paragraph" w:styleId="7">
    <w:name w:val="Balloon Text"/>
    <w:basedOn w:val="1"/>
    <w:link w:val="15"/>
    <w:semiHidden/>
    <w:unhideWhenUsed/>
    <w:qFormat/>
    <w:uiPriority w:val="99"/>
    <w:pPr>
      <w:spacing w:line="240" w:lineRule="auto"/>
    </w:pPr>
    <w:rPr>
      <w:sz w:val="18"/>
      <w:szCs w:val="18"/>
    </w:rPr>
  </w:style>
  <w:style w:type="paragraph" w:styleId="8">
    <w:name w:val="footer"/>
    <w:basedOn w:val="1"/>
    <w:link w:val="14"/>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paragraph" w:styleId="10">
    <w:name w:val="Normal (Web)"/>
    <w:basedOn w:val="1"/>
    <w:qFormat/>
    <w:uiPriority w:val="0"/>
    <w:rPr>
      <w:rFonts w:ascii="Calibri" w:hAnsi="Calibri" w:eastAsia="宋体" w:cs="Times New Roman"/>
      <w:sz w:val="24"/>
      <w:szCs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批注框文本 Char"/>
    <w:basedOn w:val="12"/>
    <w:link w:val="7"/>
    <w:semiHidden/>
    <w:qFormat/>
    <w:uiPriority w:val="99"/>
    <w:rPr>
      <w:rFonts w:eastAsia="仿宋_GB2312"/>
      <w:sz w:val="18"/>
      <w:szCs w:val="18"/>
    </w:rPr>
  </w:style>
  <w:style w:type="character" w:customStyle="1" w:styleId="16">
    <w:name w:val="标题 3 Char"/>
    <w:link w:val="5"/>
    <w:qFormat/>
    <w:uiPriority w:val="0"/>
    <w:rPr>
      <w:rFonts w:ascii="楷体" w:hAnsi="楷体" w:eastAsia="华文楷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6548</Words>
  <Characters>6617</Characters>
  <Lines>14</Lines>
  <Paragraphs>4</Paragraphs>
  <TotalTime>14</TotalTime>
  <ScaleCrop>false</ScaleCrop>
  <LinksUpToDate>false</LinksUpToDate>
  <CharactersWithSpaces>6641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2020-06-11T13:32:00Z</dcterms:created>
  <dc:creator>刘泽波</dc:creator>
  <cp:lastModifiedBy>叶楚澎</cp:lastModifiedBy>
  <cp:lastPrinted>2020-12-02T08:56:00Z</cp:lastPrinted>
  <dcterms:modified xsi:type="dcterms:W3CDTF">2020-12-11T00:34:03Z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