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BA8DC" w14:textId="77777777" w:rsidR="003D6523" w:rsidRDefault="003D6523">
      <w:pPr>
        <w:pStyle w:val="a3"/>
        <w:jc w:val="center"/>
        <w:rPr>
          <w:rFonts w:ascii="Times New Roman" w:hAnsi="Times New Roman" w:cs="Times New Roman"/>
          <w:sz w:val="44"/>
          <w:szCs w:val="44"/>
        </w:rPr>
      </w:pPr>
    </w:p>
    <w:p w14:paraId="3809C5FB" w14:textId="77777777" w:rsidR="003D6523" w:rsidRDefault="00AE35D7">
      <w:pPr>
        <w:pStyle w:val="a3"/>
        <w:jc w:val="center"/>
        <w:rPr>
          <w:rFonts w:ascii="Times New Roman" w:hAnsi="Times New Roman" w:cs="Times New Roman"/>
          <w:sz w:val="44"/>
          <w:szCs w:val="44"/>
        </w:rPr>
      </w:pPr>
      <w:r>
        <w:rPr>
          <w:rFonts w:ascii="Times New Roman" w:hAnsi="Times New Roman" w:cs="Times New Roman"/>
          <w:sz w:val="44"/>
          <w:szCs w:val="44"/>
        </w:rPr>
        <w:t>残疾人教育条例</w:t>
      </w:r>
    </w:p>
    <w:p w14:paraId="69FD01A7" w14:textId="77777777" w:rsidR="003D6523" w:rsidRDefault="003D6523">
      <w:pPr>
        <w:pStyle w:val="a3"/>
        <w:jc w:val="center"/>
        <w:rPr>
          <w:rFonts w:ascii="Times New Roman" w:hAnsi="Times New Roman" w:cs="Times New Roman"/>
          <w:sz w:val="32"/>
          <w:szCs w:val="32"/>
        </w:rPr>
      </w:pPr>
    </w:p>
    <w:p w14:paraId="2A354AD9" w14:textId="68FB33DE" w:rsidR="003D6523" w:rsidRDefault="006040D2">
      <w:pPr>
        <w:pStyle w:val="a3"/>
        <w:ind w:firstLineChars="200" w:firstLine="640"/>
        <w:rPr>
          <w:rFonts w:ascii="方正楷体_GBK" w:eastAsia="方正楷体_GBK" w:hAnsi="方正楷体_GBK" w:cs="方正楷体_GBK"/>
          <w:sz w:val="32"/>
          <w:szCs w:val="32"/>
        </w:rPr>
      </w:pPr>
      <w:r w:rsidRPr="006040D2">
        <w:rPr>
          <w:rFonts w:ascii="楷体_GB2312" w:eastAsia="楷体_GB2312" w:hAnsi="楷体_GB2312" w:cs="楷体_GB2312" w:hint="eastAsia"/>
          <w:sz w:val="32"/>
          <w:szCs w:val="32"/>
        </w:rPr>
        <w:t>(1994年8月23日中华人民共和国国务院令第161号发布　根据2011年1月8日《国务院关于废止和修改部分行政法规的决定》修订　2017年1月11日国务院第161次常务会议修订通过)</w:t>
      </w:r>
    </w:p>
    <w:p w14:paraId="59851EE1" w14:textId="77777777" w:rsidR="003D6523" w:rsidRDefault="00AE35D7">
      <w:pPr>
        <w:pStyle w:val="2"/>
      </w:pPr>
      <w:r>
        <w:rPr>
          <w:rFonts w:ascii="Times New Roman" w:hAnsi="Times New Roman" w:cs="Times New Roman"/>
        </w:rPr>
        <w:t>第一章　总则</w:t>
      </w:r>
    </w:p>
    <w:p w14:paraId="62FE727B"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第一条　</w:t>
      </w:r>
      <w:r>
        <w:rPr>
          <w:rFonts w:ascii="Times New Roman" w:eastAsia="仿宋_GB2312" w:hAnsi="Times New Roman" w:cs="Times New Roman"/>
          <w:sz w:val="32"/>
          <w:szCs w:val="32"/>
        </w:rPr>
        <w:t>为了保障残疾人受教育的权利，发展残疾人教育事业，根据《中华人民共和国教育法》和《中华人民共和国残疾人保障法</w:t>
      </w:r>
      <w:proofErr w:type="gramStart"/>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，制定本条例。</w:t>
      </w:r>
    </w:p>
    <w:p w14:paraId="567AC33B"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第二条　</w:t>
      </w:r>
      <w:r>
        <w:rPr>
          <w:rFonts w:ascii="Times New Roman" w:eastAsia="仿宋_GB2312" w:hAnsi="Times New Roman" w:cs="Times New Roman"/>
          <w:sz w:val="32"/>
          <w:szCs w:val="32"/>
        </w:rPr>
        <w:t>国家保障残疾人享有平等接受教育的权利，禁止任何基于残疾的教育歧视。</w:t>
      </w:r>
    </w:p>
    <w:p w14:paraId="3EA09383"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残疾人教育应当贯彻国家的教育方针，并根据残疾人的身心特性和需要，全面提高其素质，为残疾人平等地参与社会生活创造条件。</w:t>
      </w:r>
    </w:p>
    <w:p w14:paraId="3147E3B4"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第三条　</w:t>
      </w:r>
      <w:r>
        <w:rPr>
          <w:rFonts w:ascii="Times New Roman" w:eastAsia="仿宋_GB2312" w:hAnsi="Times New Roman" w:cs="Times New Roman"/>
          <w:sz w:val="32"/>
          <w:szCs w:val="32"/>
        </w:rPr>
        <w:t>残疾人教育是国家教育事业的组成部分。</w:t>
      </w:r>
    </w:p>
    <w:p w14:paraId="2DF74570"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发展残疾人教育事业，实行普及与提高相结合、以普及为重点的方针，保障义务教育，着重发展职业教育，积极开展学前教</w:t>
      </w:r>
      <w:r>
        <w:rPr>
          <w:rFonts w:ascii="Times New Roman" w:eastAsia="仿宋_GB2312" w:hAnsi="Times New Roman" w:cs="Times New Roman"/>
          <w:sz w:val="32"/>
          <w:szCs w:val="32"/>
        </w:rPr>
        <w:lastRenderedPageBreak/>
        <w:t>育，逐步发展高级中等以上教育。</w:t>
      </w:r>
    </w:p>
    <w:p w14:paraId="022F9363"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残疾人教</w:t>
      </w:r>
      <w:r>
        <w:rPr>
          <w:rFonts w:ascii="Times New Roman" w:eastAsia="仿宋_GB2312" w:hAnsi="Times New Roman" w:cs="Times New Roman"/>
          <w:sz w:val="32"/>
          <w:szCs w:val="32"/>
        </w:rPr>
        <w:t>育应当提高教育质量，积极推进融合教育，根据残疾人的残疾类别和接受能力，采取普通教育方式或者特殊教育方式，优先采取普通教育方式。</w:t>
      </w:r>
    </w:p>
    <w:p w14:paraId="7635EB31"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第四条　</w:t>
      </w:r>
      <w:r>
        <w:rPr>
          <w:rFonts w:ascii="Times New Roman" w:eastAsia="仿宋_GB2312" w:hAnsi="Times New Roman" w:cs="Times New Roman"/>
          <w:sz w:val="32"/>
          <w:szCs w:val="32"/>
        </w:rPr>
        <w:t>县级以上人民政府应当加强对残疾人教育事业的领导，将残疾人教育纳入教育事业发展规划，统筹安排实施，合理配置资源，保障残疾人教育经费投入，改善办学条件。</w:t>
      </w:r>
    </w:p>
    <w:p w14:paraId="0D8CB9C8"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第五条　</w:t>
      </w:r>
      <w:r>
        <w:rPr>
          <w:rFonts w:ascii="Times New Roman" w:eastAsia="仿宋_GB2312" w:hAnsi="Times New Roman" w:cs="Times New Roman"/>
          <w:sz w:val="32"/>
          <w:szCs w:val="32"/>
        </w:rPr>
        <w:t>国务院教育行政部门主管全国的残疾人教育工作，统筹规划、协调管理全国的残疾人教育事业；国务院其他有关部门在国务院规定的职责范围内负责有关的残疾人教育工作。</w:t>
      </w:r>
    </w:p>
    <w:p w14:paraId="6ABFE553"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县级以上地方人民政府教育行政部门主管本行政区域内的残疾人教育工作；县级以上地方人民政府其他有关部门在各自的职责范围内负责有关的残疾人教育工作。</w:t>
      </w:r>
    </w:p>
    <w:p w14:paraId="5ECD9FC8"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第六条　</w:t>
      </w:r>
      <w:r>
        <w:rPr>
          <w:rFonts w:ascii="Times New Roman" w:eastAsia="仿宋_GB2312" w:hAnsi="Times New Roman" w:cs="Times New Roman"/>
          <w:sz w:val="32"/>
          <w:szCs w:val="32"/>
        </w:rPr>
        <w:t>中国残疾人联合会及其地方组织应当积极促进和开展残疾人教育工作，协助相关部门实施残疾人教育，为残疾人接受教育提供支持和帮助。</w:t>
      </w:r>
    </w:p>
    <w:p w14:paraId="11779473"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第七条　</w:t>
      </w:r>
      <w:r>
        <w:rPr>
          <w:rFonts w:ascii="Times New Roman" w:eastAsia="仿宋_GB2312" w:hAnsi="Times New Roman" w:cs="Times New Roman"/>
          <w:sz w:val="32"/>
          <w:szCs w:val="32"/>
        </w:rPr>
        <w:t>学前教育机构、各级各类学校及其他教育机构应当依照本条例以及国家有关法律、法规的规定，实施残疾人教育；对符合法律、法规规定条件的残疾人申请入学，不得拒绝招收。</w:t>
      </w:r>
    </w:p>
    <w:p w14:paraId="3386BC9F"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第八条　</w:t>
      </w:r>
      <w:r>
        <w:rPr>
          <w:rFonts w:ascii="Times New Roman" w:eastAsia="仿宋_GB2312" w:hAnsi="Times New Roman" w:cs="Times New Roman"/>
          <w:sz w:val="32"/>
          <w:szCs w:val="32"/>
        </w:rPr>
        <w:t>残疾人家庭应当帮助残疾人接受教育。</w:t>
      </w:r>
    </w:p>
    <w:p w14:paraId="52FEE61E"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残疾儿童、少年的父母或者其他监护人应当尊重和保障残疾儿童、少年接受教育的权利，积极开展家庭教育，使残疾儿童、少年及时接受康复训练和教育，并协助、参与有关教育机构的教育教学活动，为残疾儿童、少年接受教育提供支持。</w:t>
      </w:r>
    </w:p>
    <w:p w14:paraId="17CEFC3F"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第九条　</w:t>
      </w:r>
      <w:r>
        <w:rPr>
          <w:rFonts w:ascii="Times New Roman" w:eastAsia="仿宋_GB2312" w:hAnsi="Times New Roman" w:cs="Times New Roman"/>
          <w:sz w:val="32"/>
          <w:szCs w:val="32"/>
        </w:rPr>
        <w:t>社会各界应当关心和支持残疾人教育事业。残疾人所在社区、相关社会组织和企事业单位，应当支持和</w:t>
      </w:r>
      <w:r>
        <w:rPr>
          <w:rFonts w:ascii="Times New Roman" w:eastAsia="仿宋_GB2312" w:hAnsi="Times New Roman" w:cs="Times New Roman"/>
          <w:sz w:val="32"/>
          <w:szCs w:val="32"/>
        </w:rPr>
        <w:t>帮助残疾人平等接受教育、融入社会。</w:t>
      </w:r>
    </w:p>
    <w:p w14:paraId="7AAFAD36"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第十条　</w:t>
      </w:r>
      <w:r>
        <w:rPr>
          <w:rFonts w:ascii="Times New Roman" w:eastAsia="仿宋_GB2312" w:hAnsi="Times New Roman" w:cs="Times New Roman"/>
          <w:sz w:val="32"/>
          <w:szCs w:val="32"/>
        </w:rPr>
        <w:t>国家对为残疾人教育事业</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突出贡献的组织和个人，按照有关规定给予表彰、奖励。</w:t>
      </w:r>
    </w:p>
    <w:p w14:paraId="4094F6E4"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第十一条　</w:t>
      </w:r>
      <w:r>
        <w:rPr>
          <w:rFonts w:ascii="Times New Roman" w:eastAsia="仿宋_GB2312" w:hAnsi="Times New Roman" w:cs="Times New Roman"/>
          <w:sz w:val="32"/>
          <w:szCs w:val="32"/>
        </w:rPr>
        <w:t>县级以上人民政府负责教育督导的机构应当将残疾人教育实施情况纳入督导范围，并可以就执行残疾人教育法律法规情况、残疾人教育教学质量以及经费管理和使用情况等实施专项督导。</w:t>
      </w:r>
    </w:p>
    <w:p w14:paraId="2DD04F7D" w14:textId="77777777" w:rsidR="003D6523" w:rsidRDefault="00AE35D7">
      <w:pPr>
        <w:pStyle w:val="2"/>
      </w:pPr>
      <w:r>
        <w:t>第二章　义务教育</w:t>
      </w:r>
    </w:p>
    <w:p w14:paraId="2B862CE7"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第十二条　</w:t>
      </w:r>
      <w:r>
        <w:rPr>
          <w:rFonts w:ascii="Times New Roman" w:eastAsia="仿宋_GB2312" w:hAnsi="Times New Roman" w:cs="Times New Roman"/>
          <w:sz w:val="32"/>
          <w:szCs w:val="32"/>
        </w:rPr>
        <w:t>各级人民政府应当依法履行职责，保障适龄残疾儿童、少年接受义务教育的权利。</w:t>
      </w:r>
    </w:p>
    <w:p w14:paraId="55756020"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县级以上人民政府对实施义务教育的工作进行监督、指导、检查，应当包括对残疾儿童、少年实施义务教育工作的监督、指导、</w:t>
      </w:r>
      <w:r>
        <w:rPr>
          <w:rFonts w:ascii="Times New Roman" w:eastAsia="仿宋_GB2312" w:hAnsi="Times New Roman" w:cs="Times New Roman"/>
          <w:sz w:val="32"/>
          <w:szCs w:val="32"/>
        </w:rPr>
        <w:t>检查。</w:t>
      </w:r>
    </w:p>
    <w:p w14:paraId="12F58D09"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 xml:space="preserve">第十三条　</w:t>
      </w:r>
      <w:r>
        <w:rPr>
          <w:rFonts w:ascii="Times New Roman" w:eastAsia="仿宋_GB2312" w:hAnsi="Times New Roman" w:cs="Times New Roman"/>
          <w:sz w:val="32"/>
          <w:szCs w:val="32"/>
        </w:rPr>
        <w:t>适龄残疾儿童、少年的父母或者其他监护人，应当依法保证其残疾子女或者被监护人入学接受并完成义务教育。</w:t>
      </w:r>
    </w:p>
    <w:p w14:paraId="71304AD6"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第十四条　</w:t>
      </w:r>
      <w:r>
        <w:rPr>
          <w:rFonts w:ascii="Times New Roman" w:eastAsia="仿宋_GB2312" w:hAnsi="Times New Roman" w:cs="Times New Roman"/>
          <w:sz w:val="32"/>
          <w:szCs w:val="32"/>
        </w:rPr>
        <w:t>残疾儿童、少年接受义务教育的入学年龄和年限，应当与当地儿童、少年接受义务教育的入学年龄和年限相同；必要时，其入学年龄和在校年龄可以适当提高。</w:t>
      </w:r>
    </w:p>
    <w:p w14:paraId="64B3F943"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第十五条　</w:t>
      </w:r>
      <w:r>
        <w:rPr>
          <w:rFonts w:ascii="Times New Roman" w:eastAsia="仿宋_GB2312" w:hAnsi="Times New Roman" w:cs="Times New Roman"/>
          <w:sz w:val="32"/>
          <w:szCs w:val="32"/>
        </w:rPr>
        <w:t>县级人民政府教育行政部门应当会同卫生行政部门、民政部门、残疾人联合会，根据新生儿疾病筛查和学龄前儿童残疾筛查、残疾人统计等信息，对义务教育适龄残疾儿童、少年进行入学前登记，全面掌握本行政区域内义务教育适龄残疾儿童、少年的数量和残疾情</w:t>
      </w:r>
      <w:r>
        <w:rPr>
          <w:rFonts w:ascii="Times New Roman" w:eastAsia="仿宋_GB2312" w:hAnsi="Times New Roman" w:cs="Times New Roman"/>
          <w:sz w:val="32"/>
          <w:szCs w:val="32"/>
        </w:rPr>
        <w:t>况。</w:t>
      </w:r>
    </w:p>
    <w:p w14:paraId="676E738D"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第十六条　</w:t>
      </w:r>
      <w:r>
        <w:rPr>
          <w:rFonts w:ascii="Times New Roman" w:eastAsia="仿宋_GB2312" w:hAnsi="Times New Roman" w:cs="Times New Roman"/>
          <w:sz w:val="32"/>
          <w:szCs w:val="32"/>
        </w:rPr>
        <w:t>县级人民政府应当根据本行政区域内残疾儿童、少年的数量、类别和分布情况，统筹规划，优先在部分普通学校中建立特殊教育资源教室，配备必要的设备和专门从事残疾人教育的教师及专业人员，指定其招收残疾儿童、少年接受义务教育；并支持其他普通学校根据需要建立特殊教育资源教室，或者安排具备相应资源、条件的学校为招收残疾学生的其他普通学校提供必要的支持。</w:t>
      </w:r>
    </w:p>
    <w:p w14:paraId="1353DDDD"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县级人民政府应当为实施义务教育的特殊教育学校配备必要的残疾人教育教学、康复评估和康复训练等仪器设备，并加强九年一贯制义务教育特殊教育学校建设。</w:t>
      </w:r>
    </w:p>
    <w:p w14:paraId="13732182"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 xml:space="preserve">第十七条　</w:t>
      </w:r>
      <w:r>
        <w:rPr>
          <w:rFonts w:ascii="Times New Roman" w:eastAsia="仿宋_GB2312" w:hAnsi="Times New Roman" w:cs="Times New Roman"/>
          <w:sz w:val="32"/>
          <w:szCs w:val="32"/>
        </w:rPr>
        <w:t>适龄</w:t>
      </w:r>
      <w:r>
        <w:rPr>
          <w:rFonts w:ascii="Times New Roman" w:eastAsia="仿宋_GB2312" w:hAnsi="Times New Roman" w:cs="Times New Roman"/>
          <w:sz w:val="32"/>
          <w:szCs w:val="32"/>
        </w:rPr>
        <w:t>残疾儿童、少年能够适应普通学校学习生活、接受普通教育的，依照《中华人民共和国义务教育法》的规定就近到普通学校入学接受义务教育。</w:t>
      </w:r>
    </w:p>
    <w:p w14:paraId="42D930DF"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适龄残疾儿童、少年能够接受普通教育，但是学习生活需要特别支持的，根据身体状况就近到县级人民政府教育行政部门在一定区域内指定的具备相应资源、条件的普通学校入学接受义务教育。</w:t>
      </w:r>
    </w:p>
    <w:p w14:paraId="2134C124"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适龄残疾儿童、少年不能接受普通教育的，由县级人民政府教育行政部门统筹安排进入特殊教育学校接受义务教育。</w:t>
      </w:r>
    </w:p>
    <w:p w14:paraId="7FE24BA7"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适龄残疾儿童、少年需要专人护理，不能到学校就读的，由县级人民政府教育行政部门统筹安排，通过提供送教上门或者远</w:t>
      </w:r>
      <w:r>
        <w:rPr>
          <w:rFonts w:ascii="Times New Roman" w:eastAsia="仿宋_GB2312" w:hAnsi="Times New Roman" w:cs="Times New Roman"/>
          <w:sz w:val="32"/>
          <w:szCs w:val="32"/>
        </w:rPr>
        <w:t>程教育等方式实施义务教育，并纳入学籍管理。</w:t>
      </w:r>
    </w:p>
    <w:p w14:paraId="277D541C"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第十八条　</w:t>
      </w:r>
      <w:r>
        <w:rPr>
          <w:rFonts w:ascii="Times New Roman" w:eastAsia="仿宋_GB2312" w:hAnsi="Times New Roman" w:cs="Times New Roman"/>
          <w:sz w:val="32"/>
          <w:szCs w:val="32"/>
        </w:rPr>
        <w:t>在特殊教育学校学习的残疾儿童、少年，经教育、康复训练，能够接受普通教育的，学校可以建议残疾儿童、少年的父母或者其他监护人将其转入或者升入普通学校接受义务教育。</w:t>
      </w:r>
    </w:p>
    <w:p w14:paraId="0E107531"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在普通学校学习的残疾儿童、少年，难以适应普通学校学习生活的，学校可以建议残疾儿童、少年的父母或者其他监护人将其转入指定的普通学校或者特殊教育学校接受义务教育。</w:t>
      </w:r>
    </w:p>
    <w:p w14:paraId="286C8310"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第十九条　</w:t>
      </w:r>
      <w:r>
        <w:rPr>
          <w:rFonts w:ascii="Times New Roman" w:eastAsia="仿宋_GB2312" w:hAnsi="Times New Roman" w:cs="Times New Roman"/>
          <w:sz w:val="32"/>
          <w:szCs w:val="32"/>
        </w:rPr>
        <w:t>适龄残疾儿童、少年接受教育的能力和适应学校</w:t>
      </w:r>
      <w:r>
        <w:rPr>
          <w:rFonts w:ascii="Times New Roman" w:eastAsia="仿宋_GB2312" w:hAnsi="Times New Roman" w:cs="Times New Roman"/>
          <w:sz w:val="32"/>
          <w:szCs w:val="32"/>
        </w:rPr>
        <w:lastRenderedPageBreak/>
        <w:t>学习生活的能力应当根据其残疾类别、残疾程度、补偿程度以及学校办学条件等因素判断。</w:t>
      </w:r>
    </w:p>
    <w:p w14:paraId="65ECC15F"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w:t>
      </w:r>
      <w:r>
        <w:rPr>
          <w:rFonts w:ascii="Times New Roman" w:eastAsia="黑体" w:hAnsi="Times New Roman" w:cs="Times New Roman"/>
          <w:sz w:val="32"/>
          <w:szCs w:val="32"/>
        </w:rPr>
        <w:t xml:space="preserve">十条　</w:t>
      </w:r>
      <w:r>
        <w:rPr>
          <w:rFonts w:ascii="Times New Roman" w:eastAsia="仿宋_GB2312" w:hAnsi="Times New Roman" w:cs="Times New Roman"/>
          <w:sz w:val="32"/>
          <w:szCs w:val="32"/>
        </w:rPr>
        <w:t>县级人民政府教育行政部门应当会同卫生行政部门、民政部门、残疾人联合会，建立由教育、心理、康复、社会工作等方面专家组成的残疾人教育专家委员会。</w:t>
      </w:r>
    </w:p>
    <w:p w14:paraId="46C33B11"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残疾人教育专家委员会可以接受教育行政部门的委托，对适龄残疾儿童、少年的身体状况、接受教育的能力和适应学校学习生活的能力进行评估，提出入学、转学建议；对残疾人义务教育问题提供咨询，提出建议。</w:t>
      </w:r>
    </w:p>
    <w:p w14:paraId="4ABDE80C"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依照前款规定</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的评估结果属于残疾儿童、少年的隐私，仅可被用于对残疾儿童、少年实施教育、康复。教育行政部门、残疾人教育专家委员会、学校及其工作人员对在工作中了解的残疾儿童、少</w:t>
      </w:r>
      <w:r>
        <w:rPr>
          <w:rFonts w:ascii="Times New Roman" w:eastAsia="仿宋_GB2312" w:hAnsi="Times New Roman" w:cs="Times New Roman"/>
          <w:sz w:val="32"/>
          <w:szCs w:val="32"/>
        </w:rPr>
        <w:t>年评估结果及其他个人信息负有保密义务。</w:t>
      </w:r>
    </w:p>
    <w:p w14:paraId="727BEB46"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第二十一条　</w:t>
      </w:r>
      <w:r>
        <w:rPr>
          <w:rFonts w:ascii="Times New Roman" w:eastAsia="仿宋_GB2312" w:hAnsi="Times New Roman" w:cs="Times New Roman"/>
          <w:sz w:val="32"/>
          <w:szCs w:val="32"/>
        </w:rPr>
        <w:t>残疾儿童、少年的父母或者其他监护人与学校就入学、转学安排发生争议的，可以申请县级人民政府教育行政部门处理。</w:t>
      </w:r>
    </w:p>
    <w:p w14:paraId="16FDD13F"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接到申请的县级人民政府教育行政部门应当委托残疾人教育专家委员会对残疾儿童、少年的身体状况、接受教育的能力和适应学校学习生活的能力进行评估并提出入学、转学建议，并根据残疾人教育专家委员会的评估结果和提出的入学、转学建议，</w:t>
      </w:r>
      <w:r>
        <w:rPr>
          <w:rFonts w:ascii="Times New Roman" w:eastAsia="仿宋_GB2312" w:hAnsi="Times New Roman" w:cs="Times New Roman"/>
          <w:sz w:val="32"/>
          <w:szCs w:val="32"/>
        </w:rPr>
        <w:lastRenderedPageBreak/>
        <w:t>综合考虑学校的办学条件和残疾儿童、少年及其父母或者其他监护人的意愿，对残疾儿童、少年的入学、转学安排</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决定。</w:t>
      </w:r>
    </w:p>
    <w:p w14:paraId="22511842"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第二十二条　</w:t>
      </w:r>
      <w:r>
        <w:rPr>
          <w:rFonts w:ascii="Times New Roman" w:eastAsia="仿宋_GB2312" w:hAnsi="Times New Roman" w:cs="Times New Roman"/>
          <w:sz w:val="32"/>
          <w:szCs w:val="32"/>
        </w:rPr>
        <w:t>招收残疾学</w:t>
      </w:r>
      <w:r>
        <w:rPr>
          <w:rFonts w:ascii="Times New Roman" w:eastAsia="仿宋_GB2312" w:hAnsi="Times New Roman" w:cs="Times New Roman"/>
          <w:sz w:val="32"/>
          <w:szCs w:val="32"/>
        </w:rPr>
        <w:t>生的普通学校应当将残疾学生合理编入班级；残疾学生较多的，可以设置专门的特殊教育班级。</w:t>
      </w:r>
    </w:p>
    <w:p w14:paraId="1C1C6290"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招收残疾学生的普通学校应当安排专门从事残疾人教育的教师或者经验丰富的教师承担随班就读或者特殊教育班级的教育教学工作，并适当缩减班级学生数额，为残疾学生入学后的学习、生活提供便利和条件，保障残疾学生平等参与教育教学和学校组织的各项活动。</w:t>
      </w:r>
    </w:p>
    <w:p w14:paraId="07FDE5D7"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第二十三条　</w:t>
      </w:r>
      <w:r>
        <w:rPr>
          <w:rFonts w:ascii="Times New Roman" w:eastAsia="仿宋_GB2312" w:hAnsi="Times New Roman" w:cs="Times New Roman"/>
          <w:sz w:val="32"/>
          <w:szCs w:val="32"/>
        </w:rPr>
        <w:t>在普通学校随班就读残疾学生的义务教育，可以适用普通义务教育的课程设置方案、课程标准和教材，但是对其学习要求可以有适度弹性。</w:t>
      </w:r>
    </w:p>
    <w:p w14:paraId="32670D12"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第二十四条　</w:t>
      </w:r>
      <w:r>
        <w:rPr>
          <w:rFonts w:ascii="Times New Roman" w:eastAsia="仿宋_GB2312" w:hAnsi="Times New Roman" w:cs="Times New Roman"/>
          <w:sz w:val="32"/>
          <w:szCs w:val="32"/>
        </w:rPr>
        <w:t>残疾儿童、少年特殊教育学校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班</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应当坚持思想教育、文化教育、劳动技能教育与身心补偿相结合，并根据学生残疾状况和补偿程度，实施分类教学；必要时，应当听取残疾学生父母或者其他监护人的意见，制定符合残疾学生身心特性和需要的个别化教育计划，实施个别教学。</w:t>
      </w:r>
    </w:p>
    <w:p w14:paraId="366D4C92"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第二十五条　</w:t>
      </w:r>
      <w:r>
        <w:rPr>
          <w:rFonts w:ascii="Times New Roman" w:eastAsia="仿宋_GB2312" w:hAnsi="Times New Roman" w:cs="Times New Roman"/>
          <w:sz w:val="32"/>
          <w:szCs w:val="32"/>
        </w:rPr>
        <w:t>残疾儿童、少年特殊教育学校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班</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的课程设置方案、课程标准和教材，应当适合残疾儿童、少年的身心特性和需要。</w:t>
      </w:r>
    </w:p>
    <w:p w14:paraId="1A1F5F7F"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残疾儿童、</w:t>
      </w:r>
      <w:r>
        <w:rPr>
          <w:rFonts w:ascii="Times New Roman" w:eastAsia="仿宋_GB2312" w:hAnsi="Times New Roman" w:cs="Times New Roman"/>
          <w:sz w:val="32"/>
          <w:szCs w:val="32"/>
        </w:rPr>
        <w:t>少年特殊教育学校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班</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的课程设置方案、课程标准由国务院教育行政部门制订；教材由省级以上人民政府教育行政部门按照国家有关规定审定。</w:t>
      </w:r>
    </w:p>
    <w:p w14:paraId="409F588A"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第二十六条　</w:t>
      </w:r>
      <w:r>
        <w:rPr>
          <w:rFonts w:ascii="Times New Roman" w:eastAsia="仿宋_GB2312" w:hAnsi="Times New Roman" w:cs="Times New Roman"/>
          <w:sz w:val="32"/>
          <w:szCs w:val="32"/>
        </w:rPr>
        <w:t>县级人民政府教育行政部门应当加强对本行政区域内的残疾儿童、少年实施义务教育工作的指导。</w:t>
      </w:r>
    </w:p>
    <w:p w14:paraId="3C1471F6"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县级以上地方人民政府教育行政部门应当统筹安排支持特殊教育学校建立特殊教育资源中心，在一定区域内提供特殊教育指导和支持服务。特殊教育资源中心可以受教育行政部门的委托承担以下工作：</w:t>
      </w:r>
    </w:p>
    <w:p w14:paraId="7764BD4F"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指导、评价区域内的随班就读工作；</w:t>
      </w:r>
    </w:p>
    <w:p w14:paraId="6EBF82D2"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为区域内承担随班就读教育教学任务的教师提供培训；</w:t>
      </w:r>
    </w:p>
    <w:p w14:paraId="440AADB2"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派</w:t>
      </w:r>
      <w:r>
        <w:rPr>
          <w:rFonts w:ascii="Times New Roman" w:eastAsia="仿宋_GB2312" w:hAnsi="Times New Roman" w:cs="Times New Roman"/>
          <w:sz w:val="32"/>
          <w:szCs w:val="32"/>
        </w:rPr>
        <w:t>出教师和相关专业服务人员支持随班就读，为接受送教上门和远程教育的残疾儿童、少年提供辅导和支持；</w:t>
      </w:r>
    </w:p>
    <w:p w14:paraId="68B665CB"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为残疾学生父母或者其他监护人提供咨询；</w:t>
      </w:r>
    </w:p>
    <w:p w14:paraId="386C1EAC"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其他特殊教育相关工作。</w:t>
      </w:r>
    </w:p>
    <w:p w14:paraId="26E184FA" w14:textId="77777777" w:rsidR="003D6523" w:rsidRDefault="00AE35D7">
      <w:pPr>
        <w:pStyle w:val="2"/>
      </w:pPr>
      <w:r>
        <w:t>第三章　职业教育</w:t>
      </w:r>
    </w:p>
    <w:p w14:paraId="34B73227"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第二十七条　</w:t>
      </w:r>
      <w:r>
        <w:rPr>
          <w:rFonts w:ascii="Times New Roman" w:eastAsia="仿宋_GB2312" w:hAnsi="Times New Roman" w:cs="Times New Roman"/>
          <w:sz w:val="32"/>
          <w:szCs w:val="32"/>
        </w:rPr>
        <w:t>残疾人职业教育应当大力发展中等职业教育，加快发展高等职业教育，积极开展以实用技术为主的中期、短期培训，以提高就业能力为主，培养技术技能人才，并加强对残疾</w:t>
      </w:r>
      <w:r>
        <w:rPr>
          <w:rFonts w:ascii="Times New Roman" w:eastAsia="仿宋_GB2312" w:hAnsi="Times New Roman" w:cs="Times New Roman"/>
          <w:sz w:val="32"/>
          <w:szCs w:val="32"/>
        </w:rPr>
        <w:lastRenderedPageBreak/>
        <w:t>学生的就业指导。</w:t>
      </w:r>
    </w:p>
    <w:p w14:paraId="730BD902"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第二十八条　</w:t>
      </w:r>
      <w:r>
        <w:rPr>
          <w:rFonts w:ascii="Times New Roman" w:eastAsia="仿宋_GB2312" w:hAnsi="Times New Roman" w:cs="Times New Roman"/>
          <w:sz w:val="32"/>
          <w:szCs w:val="32"/>
        </w:rPr>
        <w:t>残疾人职业教育由普通职业教育机构和特殊职业教育机构实施，以普通职业教育机构为主。</w:t>
      </w:r>
    </w:p>
    <w:p w14:paraId="28910F93"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县级以上地方人民政府应当根据需要，合理设置特殊</w:t>
      </w:r>
      <w:r>
        <w:rPr>
          <w:rFonts w:ascii="Times New Roman" w:eastAsia="仿宋_GB2312" w:hAnsi="Times New Roman" w:cs="Times New Roman"/>
          <w:sz w:val="32"/>
          <w:szCs w:val="32"/>
        </w:rPr>
        <w:t>职业教育机构，改善办学条件，扩大残疾人中等职业学校招生规模。</w:t>
      </w:r>
    </w:p>
    <w:p w14:paraId="600F38F7"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第二十九条　</w:t>
      </w:r>
      <w:r>
        <w:rPr>
          <w:rFonts w:ascii="Times New Roman" w:eastAsia="仿宋_GB2312" w:hAnsi="Times New Roman" w:cs="Times New Roman"/>
          <w:sz w:val="32"/>
          <w:szCs w:val="32"/>
        </w:rPr>
        <w:t>普通职业学校不得拒绝招收符合国家规定的录取标准的残疾人入学，普通职业培训机构应当积极招收残疾人入学。</w:t>
      </w:r>
    </w:p>
    <w:p w14:paraId="43094F45"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县级以上地方人民政府应当采取措施，鼓励和支持普通职业教育机构积极招收残疾学生。</w:t>
      </w:r>
    </w:p>
    <w:p w14:paraId="5732E75A"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第三十条　</w:t>
      </w:r>
      <w:r>
        <w:rPr>
          <w:rFonts w:ascii="Times New Roman" w:eastAsia="仿宋_GB2312" w:hAnsi="Times New Roman" w:cs="Times New Roman"/>
          <w:sz w:val="32"/>
          <w:szCs w:val="32"/>
        </w:rPr>
        <w:t>实施残疾人职业教育的学校和培训机构，应当根据社会需要和残疾人的身心特性合理设置专业，并与企业合作设立实习实训基地，或者根据教学需要和条件办好实习基地。</w:t>
      </w:r>
    </w:p>
    <w:p w14:paraId="56E24701" w14:textId="77777777" w:rsidR="003D6523" w:rsidRDefault="00AE35D7">
      <w:pPr>
        <w:pStyle w:val="2"/>
      </w:pPr>
      <w:r>
        <w:t>第四章　学前教育</w:t>
      </w:r>
    </w:p>
    <w:p w14:paraId="41CACD00"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第三十一条　</w:t>
      </w:r>
      <w:r>
        <w:rPr>
          <w:rFonts w:ascii="Times New Roman" w:eastAsia="仿宋_GB2312" w:hAnsi="Times New Roman" w:cs="Times New Roman"/>
          <w:sz w:val="32"/>
          <w:szCs w:val="32"/>
        </w:rPr>
        <w:t>各级人民政府应当积极采取措施，逐步提高残疾幼儿接受学前教育的比例</w:t>
      </w:r>
      <w:r>
        <w:rPr>
          <w:rFonts w:ascii="Times New Roman" w:eastAsia="仿宋_GB2312" w:hAnsi="Times New Roman" w:cs="Times New Roman"/>
          <w:sz w:val="32"/>
          <w:szCs w:val="32"/>
        </w:rPr>
        <w:t>。</w:t>
      </w:r>
    </w:p>
    <w:p w14:paraId="1C275876"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县级人民政府及其教育行政部门、民政部门等有关部门应当支持普通幼儿园创造条件招收残疾幼儿；支持特殊教育学校和具备办学条件的残疾儿童福利机构、残疾儿童康复机构等实施学前</w:t>
      </w:r>
      <w:r>
        <w:rPr>
          <w:rFonts w:ascii="Times New Roman" w:eastAsia="仿宋_GB2312" w:hAnsi="Times New Roman" w:cs="Times New Roman"/>
          <w:sz w:val="32"/>
          <w:szCs w:val="32"/>
        </w:rPr>
        <w:lastRenderedPageBreak/>
        <w:t>教育。</w:t>
      </w:r>
    </w:p>
    <w:p w14:paraId="2C796A14"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第三十二条　</w:t>
      </w:r>
      <w:r>
        <w:rPr>
          <w:rFonts w:ascii="Times New Roman" w:eastAsia="仿宋_GB2312" w:hAnsi="Times New Roman" w:cs="Times New Roman"/>
          <w:sz w:val="32"/>
          <w:szCs w:val="32"/>
        </w:rPr>
        <w:t>残疾幼儿的教育应当与保育、康复结合实施。</w:t>
      </w:r>
    </w:p>
    <w:p w14:paraId="48E7587B"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招收残疾幼儿的学前教育机构应当根据自身条件配备必要的康复设施、设备和专业康复人员，或者与其他具有康复设施、设备和专业康复人员的特殊教育机构、康复机构合作对残疾幼儿实施康复训练。</w:t>
      </w:r>
    </w:p>
    <w:p w14:paraId="6E3A5101"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第三十三条　</w:t>
      </w:r>
      <w:r>
        <w:rPr>
          <w:rFonts w:ascii="Times New Roman" w:eastAsia="仿宋_GB2312" w:hAnsi="Times New Roman" w:cs="Times New Roman"/>
          <w:sz w:val="32"/>
          <w:szCs w:val="32"/>
        </w:rPr>
        <w:t>卫生保健机构、残疾幼儿的学前教育机构、儿童福利机构和家庭，应当注重对残疾幼儿的早期发现、早期</w:t>
      </w:r>
      <w:r>
        <w:rPr>
          <w:rFonts w:ascii="Times New Roman" w:eastAsia="仿宋_GB2312" w:hAnsi="Times New Roman" w:cs="Times New Roman"/>
          <w:sz w:val="32"/>
          <w:szCs w:val="32"/>
        </w:rPr>
        <w:t>康复和早期教育。</w:t>
      </w:r>
    </w:p>
    <w:p w14:paraId="4E4289E6"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卫生保健机构、残疾幼儿的学前教育机构、残疾儿童康复机构应当就残疾幼儿的早期发现、早期康复和早期教育为残疾幼儿家庭提供咨询、指导。</w:t>
      </w:r>
    </w:p>
    <w:p w14:paraId="69B1242E" w14:textId="77777777" w:rsidR="003D6523" w:rsidRDefault="00AE35D7">
      <w:pPr>
        <w:pStyle w:val="2"/>
      </w:pPr>
      <w:r>
        <w:t>第五章　普通高级中等以上教育及继续教育</w:t>
      </w:r>
    </w:p>
    <w:p w14:paraId="4BC5DA91"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第三十四条　</w:t>
      </w:r>
      <w:r>
        <w:rPr>
          <w:rFonts w:ascii="Times New Roman" w:eastAsia="仿宋_GB2312" w:hAnsi="Times New Roman" w:cs="Times New Roman"/>
          <w:sz w:val="32"/>
          <w:szCs w:val="32"/>
        </w:rPr>
        <w:t>普通高级中等学校、高等学校、继续教育机构应当招收符合国家规定的录取标准的残疾考生入学，不得因其残疾而拒绝招收。</w:t>
      </w:r>
    </w:p>
    <w:p w14:paraId="005ECF10"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第三十五条　</w:t>
      </w:r>
      <w:r>
        <w:rPr>
          <w:rFonts w:ascii="Times New Roman" w:eastAsia="仿宋_GB2312" w:hAnsi="Times New Roman" w:cs="Times New Roman"/>
          <w:sz w:val="32"/>
          <w:szCs w:val="32"/>
        </w:rPr>
        <w:t>设区的市级以上地方人民政府可以根据实际情况举办实施高级中等以上教育的特殊教育学校，支持高等学校设置特殊教育学院或者相关专业，提高残疾人的受教育水平。</w:t>
      </w:r>
    </w:p>
    <w:p w14:paraId="503A38E2"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 xml:space="preserve">第三十六条　</w:t>
      </w:r>
      <w:r>
        <w:rPr>
          <w:rFonts w:ascii="Times New Roman" w:eastAsia="仿宋_GB2312" w:hAnsi="Times New Roman" w:cs="Times New Roman"/>
          <w:sz w:val="32"/>
          <w:szCs w:val="32"/>
        </w:rPr>
        <w:t>县级以上人民政府教育行政部门以及其他有关部门、学校应当充分利用现代信息技术，以远程教育等方式为残疾人接受成人高等教育、高等教育自学考试等提供便利和帮助，根据实际情况开设适合残疾人学习的专业、课程，采取灵活开放的教学和管理模式，支持残疾人顺利完成学业。</w:t>
      </w:r>
    </w:p>
    <w:p w14:paraId="64A5060D"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第三十七条　</w:t>
      </w:r>
      <w:r>
        <w:rPr>
          <w:rFonts w:ascii="Times New Roman" w:eastAsia="仿宋_GB2312" w:hAnsi="Times New Roman" w:cs="Times New Roman"/>
          <w:sz w:val="32"/>
          <w:szCs w:val="32"/>
        </w:rPr>
        <w:t>残疾人所在单位应当对本单位的残疾人开展文化知识教育和技术培训。</w:t>
      </w:r>
    </w:p>
    <w:p w14:paraId="29E601AE"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第三十八条　</w:t>
      </w:r>
      <w:r>
        <w:rPr>
          <w:rFonts w:ascii="Times New Roman" w:eastAsia="仿宋_GB2312" w:hAnsi="Times New Roman" w:cs="Times New Roman"/>
          <w:sz w:val="32"/>
          <w:szCs w:val="32"/>
        </w:rPr>
        <w:t>扫除文盲教育应当包括对年满</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周岁以上的未丧失学习能力的文盲、半文盲残疾人实施的扫盲教育。</w:t>
      </w:r>
    </w:p>
    <w:p w14:paraId="77DB4BB2"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第三十九条　</w:t>
      </w:r>
      <w:r>
        <w:rPr>
          <w:rFonts w:ascii="Times New Roman" w:eastAsia="仿宋_GB2312" w:hAnsi="Times New Roman" w:cs="Times New Roman"/>
          <w:sz w:val="32"/>
          <w:szCs w:val="32"/>
        </w:rPr>
        <w:t>国家、社会鼓励和帮助残疾人自学成才。</w:t>
      </w:r>
    </w:p>
    <w:p w14:paraId="32F3E38D" w14:textId="77777777" w:rsidR="003D6523" w:rsidRDefault="00AE35D7">
      <w:pPr>
        <w:pStyle w:val="2"/>
      </w:pPr>
      <w:r>
        <w:t>第六章　教师</w:t>
      </w:r>
    </w:p>
    <w:p w14:paraId="516D63AD"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第四十条　</w:t>
      </w:r>
      <w:r>
        <w:rPr>
          <w:rFonts w:ascii="Times New Roman" w:eastAsia="仿宋_GB2312" w:hAnsi="Times New Roman" w:cs="Times New Roman"/>
          <w:sz w:val="32"/>
          <w:szCs w:val="32"/>
        </w:rPr>
        <w:t>县级以上人民政府应当重视从事残疾人教育的教师培养、培训工作，并采取措施逐步提高他们的地位和待遇，改善他们的工作环境和条件，鼓励教师终身从事残疾人教育事业。</w:t>
      </w:r>
    </w:p>
    <w:p w14:paraId="6C95BA50"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县级以上人民政府可以采取免费教育、学费减免、助学贷款代偿等措施，鼓励具备条件的高等学校毕业生到特殊教育学校或者其他特殊教育机构任教。</w:t>
      </w:r>
    </w:p>
    <w:p w14:paraId="4719806E"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第四十一条　</w:t>
      </w:r>
      <w:r>
        <w:rPr>
          <w:rFonts w:ascii="Times New Roman" w:eastAsia="仿宋_GB2312" w:hAnsi="Times New Roman" w:cs="Times New Roman"/>
          <w:sz w:val="32"/>
          <w:szCs w:val="32"/>
        </w:rPr>
        <w:t>从事残疾人教育的教师，应当热爱残疾人教育</w:t>
      </w:r>
      <w:r>
        <w:rPr>
          <w:rFonts w:ascii="Times New Roman" w:eastAsia="仿宋_GB2312" w:hAnsi="Times New Roman" w:cs="Times New Roman"/>
          <w:sz w:val="32"/>
          <w:szCs w:val="32"/>
        </w:rPr>
        <w:lastRenderedPageBreak/>
        <w:t>事业，具有社会主义的人道主义精神，尊重和关爱残疾学生，并掌握残疾人教育的专业知识和技能。</w:t>
      </w:r>
    </w:p>
    <w:p w14:paraId="3860CF0F"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第四十二条　</w:t>
      </w:r>
      <w:r>
        <w:rPr>
          <w:rFonts w:ascii="Times New Roman" w:eastAsia="仿宋_GB2312" w:hAnsi="Times New Roman" w:cs="Times New Roman"/>
          <w:sz w:val="32"/>
          <w:szCs w:val="32"/>
        </w:rPr>
        <w:t>专门从事残疾人教育工作的教师</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以下称特殊教育教师</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应当符合下列条件：</w:t>
      </w:r>
    </w:p>
    <w:p w14:paraId="74F436C8"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依照《中华人民共和国教师法》的规定取得教师资格；</w:t>
      </w:r>
    </w:p>
    <w:p w14:paraId="57E689AC"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特殊教育专业毕业或者经省、自治区、直辖市人民政府教育行政部门组织的特殊教育专业培训并考核合格。</w:t>
      </w:r>
    </w:p>
    <w:p w14:paraId="423C5E6E"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从事听力残疾人教育的特殊教育教师应当达到国家规定的手语等级标准，从事视力残疾人教育的特殊教育教师应当达到国家规定的盲文等级标准。</w:t>
      </w:r>
    </w:p>
    <w:p w14:paraId="20FF7EB9"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第四十三条　</w:t>
      </w:r>
      <w:r>
        <w:rPr>
          <w:rFonts w:ascii="Times New Roman" w:eastAsia="仿宋_GB2312" w:hAnsi="Times New Roman" w:cs="Times New Roman"/>
          <w:sz w:val="32"/>
          <w:szCs w:val="32"/>
        </w:rPr>
        <w:t>省、自治区、直辖市人民政府可以根据残疾人教育发展的需求，结合当地实际为特殊教育学校和指定招收残疾学生的普通学校制定教职工编制标准。</w:t>
      </w:r>
    </w:p>
    <w:p w14:paraId="04AD541B"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县级以上地方人民政府教育行政部门应当会同其他有关部门，在核定的编制总额内，为特</w:t>
      </w:r>
      <w:r>
        <w:rPr>
          <w:rFonts w:ascii="Times New Roman" w:eastAsia="仿宋_GB2312" w:hAnsi="Times New Roman" w:cs="Times New Roman"/>
          <w:sz w:val="32"/>
          <w:szCs w:val="32"/>
        </w:rPr>
        <w:t>殊教育学校配备承担教学、康复等工作的特殊教育教师和相关专业人员；在指定招收残疾学生的普通学校设置特殊教育教师等专职岗位。</w:t>
      </w:r>
    </w:p>
    <w:p w14:paraId="08803B92"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第四十四条　</w:t>
      </w:r>
      <w:r>
        <w:rPr>
          <w:rFonts w:ascii="Times New Roman" w:eastAsia="仿宋_GB2312" w:hAnsi="Times New Roman" w:cs="Times New Roman"/>
          <w:sz w:val="32"/>
          <w:szCs w:val="32"/>
        </w:rPr>
        <w:t>国务院教育行政部门和省、自治区、直辖市人民政府应当根据残疾人教育发展的需要有计划地举办特殊教育师范院校，支持普通师范院校和综合性院校设置相关院系或者专</w:t>
      </w:r>
      <w:r>
        <w:rPr>
          <w:rFonts w:ascii="Times New Roman" w:eastAsia="仿宋_GB2312" w:hAnsi="Times New Roman" w:cs="Times New Roman"/>
          <w:sz w:val="32"/>
          <w:szCs w:val="32"/>
        </w:rPr>
        <w:lastRenderedPageBreak/>
        <w:t>业，培养特殊教育教师。</w:t>
      </w:r>
    </w:p>
    <w:p w14:paraId="3A7A0683"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普通师范院校和综合性院校的师范专业应当设置特殊教育课程，使学生掌握必要的特殊教育的基本知识和技能，以适应对随班就读的残疾学生的教育教学需要。</w:t>
      </w:r>
    </w:p>
    <w:p w14:paraId="7658AB73"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第四十五条　</w:t>
      </w:r>
      <w:r>
        <w:rPr>
          <w:rFonts w:ascii="Times New Roman" w:eastAsia="仿宋_GB2312" w:hAnsi="Times New Roman" w:cs="Times New Roman"/>
          <w:sz w:val="32"/>
          <w:szCs w:val="32"/>
        </w:rPr>
        <w:t>县级以上地方人民政府教育行政部门应当将特殊教育教师</w:t>
      </w:r>
      <w:r>
        <w:rPr>
          <w:rFonts w:ascii="Times New Roman" w:eastAsia="仿宋_GB2312" w:hAnsi="Times New Roman" w:cs="Times New Roman"/>
          <w:sz w:val="32"/>
          <w:szCs w:val="32"/>
        </w:rPr>
        <w:t>的培训纳入教师培训计划，以多种形式组织在职特殊教育教师进修提高专业水平；在普通教师培训中增加一定比例的特殊教育内容和相关知识，提高普通教师的特殊教育能力。</w:t>
      </w:r>
    </w:p>
    <w:p w14:paraId="42B64F24"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第四十六条　</w:t>
      </w:r>
      <w:r>
        <w:rPr>
          <w:rFonts w:ascii="Times New Roman" w:eastAsia="仿宋_GB2312" w:hAnsi="Times New Roman" w:cs="Times New Roman"/>
          <w:sz w:val="32"/>
          <w:szCs w:val="32"/>
        </w:rPr>
        <w:t>特殊教育教师和其他从事特殊教育的相关专业人员根据国家有关规定享受特殊岗位补助津贴及其他待遇；普通学校的教师承担残疾学生随班就读教学、管理工作的，应当将其承担的残疾学生教学、管理工作纳入其绩效考核内容，并作为核定工资待遇和职务评聘的重要依据。</w:t>
      </w:r>
    </w:p>
    <w:p w14:paraId="6706F55D"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县级以上人民政府教育行政部门、人力资源社会保障部门在职务评聘、培训进修、表彰奖励等方面，应当为特殊教育</w:t>
      </w:r>
      <w:r>
        <w:rPr>
          <w:rFonts w:ascii="Times New Roman" w:eastAsia="仿宋_GB2312" w:hAnsi="Times New Roman" w:cs="Times New Roman"/>
          <w:sz w:val="32"/>
          <w:szCs w:val="32"/>
        </w:rPr>
        <w:t>教师制定优惠政策、提供专门机会。</w:t>
      </w:r>
    </w:p>
    <w:p w14:paraId="10FFD019" w14:textId="77777777" w:rsidR="003D6523" w:rsidRDefault="00AE35D7">
      <w:pPr>
        <w:pStyle w:val="2"/>
      </w:pPr>
      <w:r>
        <w:t>第七章　条件保障</w:t>
      </w:r>
    </w:p>
    <w:p w14:paraId="40DF045B"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第四十七条　</w:t>
      </w:r>
      <w:r>
        <w:rPr>
          <w:rFonts w:ascii="Times New Roman" w:eastAsia="仿宋_GB2312" w:hAnsi="Times New Roman" w:cs="Times New Roman"/>
          <w:sz w:val="32"/>
          <w:szCs w:val="32"/>
        </w:rPr>
        <w:t>省、自治区、直辖市人民政府应当根据残疾人教育的特殊情况，依据国务院有关行政主管部门的指导性标准，</w:t>
      </w:r>
      <w:r>
        <w:rPr>
          <w:rFonts w:ascii="Times New Roman" w:eastAsia="仿宋_GB2312" w:hAnsi="Times New Roman" w:cs="Times New Roman"/>
          <w:sz w:val="32"/>
          <w:szCs w:val="32"/>
        </w:rPr>
        <w:lastRenderedPageBreak/>
        <w:t>制定本行政区域内特殊教育学校的建设标准、经费开支标准、教学仪器设备配备标准等。</w:t>
      </w:r>
    </w:p>
    <w:p w14:paraId="46B6F684"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义务教育阶段普通学校招收残疾学生，县级人民政府财政部门及教育行政部门应当按照特殊教育学校生均预算内公用经费标准足额拨付费用。</w:t>
      </w:r>
    </w:p>
    <w:p w14:paraId="741C0F86"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第四十八条　</w:t>
      </w:r>
      <w:r>
        <w:rPr>
          <w:rFonts w:ascii="Times New Roman" w:eastAsia="仿宋_GB2312" w:hAnsi="Times New Roman" w:cs="Times New Roman"/>
          <w:sz w:val="32"/>
          <w:szCs w:val="32"/>
        </w:rPr>
        <w:t>各级人民政府应当按照有关规定安排残疾人教育经费，并将所需经费纳入本级政府预算。</w:t>
      </w:r>
    </w:p>
    <w:p w14:paraId="738C8542"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县级以上人民政府根据需要可以设立专项补助款，用于发展残</w:t>
      </w:r>
      <w:r>
        <w:rPr>
          <w:rFonts w:ascii="Times New Roman" w:eastAsia="仿宋_GB2312" w:hAnsi="Times New Roman" w:cs="Times New Roman"/>
          <w:sz w:val="32"/>
          <w:szCs w:val="32"/>
        </w:rPr>
        <w:t>疾人教育。</w:t>
      </w:r>
    </w:p>
    <w:p w14:paraId="70E11F4C"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地方各级人民政府用于义务教育的财政拨款和征收的教育费附加，应当有一定比例用于发展残疾儿童、少年义务教育。</w:t>
      </w:r>
    </w:p>
    <w:p w14:paraId="077A9D3A"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地方各级人民政府可以按照有关规定将依法征收的残疾人就业保障金用于特殊教育学校开展各种残疾人职业教育。</w:t>
      </w:r>
    </w:p>
    <w:p w14:paraId="05EE5BDE"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第四十九条　</w:t>
      </w:r>
      <w:r>
        <w:rPr>
          <w:rFonts w:ascii="Times New Roman" w:eastAsia="仿宋_GB2312" w:hAnsi="Times New Roman" w:cs="Times New Roman"/>
          <w:sz w:val="32"/>
          <w:szCs w:val="32"/>
        </w:rPr>
        <w:t>县级以上地方人民政府应当根据残疾人教育发展的需要统筹规划、合理布局，设置特殊教育学校，并按照国家有关规定配备必要的残疾人教育教学、康复评估和康复训练等仪器设备。</w:t>
      </w:r>
    </w:p>
    <w:p w14:paraId="2447040E"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特殊教育学校的设置，由教育行政部门按照国家有关规定审批。</w:t>
      </w:r>
    </w:p>
    <w:p w14:paraId="53734D99"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第五十条　</w:t>
      </w:r>
      <w:r>
        <w:rPr>
          <w:rFonts w:ascii="Times New Roman" w:eastAsia="仿宋_GB2312" w:hAnsi="Times New Roman" w:cs="Times New Roman"/>
          <w:sz w:val="32"/>
          <w:szCs w:val="32"/>
        </w:rPr>
        <w:t>新建、改建、扩建各级各类学校应当符合《无障</w:t>
      </w:r>
      <w:r>
        <w:rPr>
          <w:rFonts w:ascii="Times New Roman" w:eastAsia="仿宋_GB2312" w:hAnsi="Times New Roman" w:cs="Times New Roman"/>
          <w:sz w:val="32"/>
          <w:szCs w:val="32"/>
        </w:rPr>
        <w:lastRenderedPageBreak/>
        <w:t>碍环境建设条例》的要求。</w:t>
      </w:r>
    </w:p>
    <w:p w14:paraId="0974CF7C"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县级以上地方人民政府及其教育行政部门应当逐步推进各级各类学校无障碍校园环境建设。</w:t>
      </w:r>
    </w:p>
    <w:p w14:paraId="614886E9"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第五十一条　</w:t>
      </w:r>
      <w:r>
        <w:rPr>
          <w:rFonts w:ascii="Times New Roman" w:eastAsia="仿宋_GB2312" w:hAnsi="Times New Roman" w:cs="Times New Roman"/>
          <w:sz w:val="32"/>
          <w:szCs w:val="32"/>
        </w:rPr>
        <w:t>招收残疾学生的学校对经济困难的残疾学生，应当按照国家有关规定减免学费和其他费用，并按照国家资助政策优先给予补助。</w:t>
      </w:r>
    </w:p>
    <w:p w14:paraId="366C81B2"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国家鼓励有条件的地方优先为经济困难的残疾学生提供免费的学前教育和高中教育，逐步实施残疾学生高中阶段免费教育。</w:t>
      </w:r>
    </w:p>
    <w:p w14:paraId="7BB85676"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第五十二条　</w:t>
      </w:r>
      <w:r>
        <w:rPr>
          <w:rFonts w:ascii="Times New Roman" w:eastAsia="仿宋_GB2312" w:hAnsi="Times New Roman" w:cs="Times New Roman"/>
          <w:sz w:val="32"/>
          <w:szCs w:val="32"/>
        </w:rPr>
        <w:t>残疾人参加国</w:t>
      </w:r>
      <w:proofErr w:type="gramStart"/>
      <w:r>
        <w:rPr>
          <w:rFonts w:ascii="Times New Roman" w:eastAsia="仿宋_GB2312" w:hAnsi="Times New Roman" w:cs="Times New Roman"/>
          <w:sz w:val="32"/>
          <w:szCs w:val="32"/>
        </w:rPr>
        <w:t>家教育</w:t>
      </w:r>
      <w:proofErr w:type="gramEnd"/>
      <w:r>
        <w:rPr>
          <w:rFonts w:ascii="Times New Roman" w:eastAsia="仿宋_GB2312" w:hAnsi="Times New Roman" w:cs="Times New Roman"/>
          <w:sz w:val="32"/>
          <w:szCs w:val="32"/>
        </w:rPr>
        <w:t>考试，需要提供必要支持条件和合理便利的，可以提出申请。教育考试机构、学校应当按照国家有关规定予以</w:t>
      </w:r>
      <w:r>
        <w:rPr>
          <w:rFonts w:ascii="Times New Roman" w:eastAsia="仿宋_GB2312" w:hAnsi="Times New Roman" w:cs="Times New Roman"/>
          <w:sz w:val="32"/>
          <w:szCs w:val="32"/>
        </w:rPr>
        <w:t>提供。</w:t>
      </w:r>
    </w:p>
    <w:p w14:paraId="69D9F409"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第五十三条　</w:t>
      </w:r>
      <w:r>
        <w:rPr>
          <w:rFonts w:ascii="Times New Roman" w:eastAsia="仿宋_GB2312" w:hAnsi="Times New Roman" w:cs="Times New Roman"/>
          <w:sz w:val="32"/>
          <w:szCs w:val="32"/>
        </w:rPr>
        <w:t>国家鼓励社会力量举办特殊教育机构或者捐资助学；鼓励和支持民办学校或者其他教育机构招收残疾学生。</w:t>
      </w:r>
    </w:p>
    <w:p w14:paraId="6973F12E"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县级以上地方人民政府及其有关部门对民办特殊教育机构、招收残疾学生的民办学校，应当按照国家有关规定予以支持。</w:t>
      </w:r>
    </w:p>
    <w:p w14:paraId="1FF871D7"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第五十四条　</w:t>
      </w:r>
      <w:r>
        <w:rPr>
          <w:rFonts w:ascii="Times New Roman" w:eastAsia="仿宋_GB2312" w:hAnsi="Times New Roman" w:cs="Times New Roman"/>
          <w:sz w:val="32"/>
          <w:szCs w:val="32"/>
        </w:rPr>
        <w:t>国家鼓励开展残疾人教育的科学研究，组织和扶持盲文、手语的研究和应用，支持特殊教育教材的编写和出版。</w:t>
      </w:r>
    </w:p>
    <w:p w14:paraId="19340FD0"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第五十五条　</w:t>
      </w:r>
      <w:r>
        <w:rPr>
          <w:rFonts w:ascii="Times New Roman" w:eastAsia="仿宋_GB2312" w:hAnsi="Times New Roman" w:cs="Times New Roman"/>
          <w:sz w:val="32"/>
          <w:szCs w:val="32"/>
        </w:rPr>
        <w:t>县级以上人民政府及其有关部门应当采取优惠政策和措施，支持研究、生产残疾人教育教学专用仪器设备、</w:t>
      </w:r>
      <w:r>
        <w:rPr>
          <w:rFonts w:ascii="Times New Roman" w:eastAsia="仿宋_GB2312" w:hAnsi="Times New Roman" w:cs="Times New Roman"/>
          <w:sz w:val="32"/>
          <w:szCs w:val="32"/>
        </w:rPr>
        <w:lastRenderedPageBreak/>
        <w:t>教具、学具、软件及其他辅助用品，扶持特殊教育机构兴办和发展福利企业和辅</w:t>
      </w:r>
      <w:r>
        <w:rPr>
          <w:rFonts w:ascii="Times New Roman" w:eastAsia="仿宋_GB2312" w:hAnsi="Times New Roman" w:cs="Times New Roman"/>
          <w:sz w:val="32"/>
          <w:szCs w:val="32"/>
        </w:rPr>
        <w:t>助性就业机构。</w:t>
      </w:r>
    </w:p>
    <w:p w14:paraId="7D4F55B5" w14:textId="77777777" w:rsidR="003D6523" w:rsidRDefault="00AE35D7">
      <w:pPr>
        <w:pStyle w:val="2"/>
      </w:pPr>
      <w:r>
        <w:t>第八章　法律责任</w:t>
      </w:r>
    </w:p>
    <w:p w14:paraId="6797F4F7"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第五十六条　</w:t>
      </w:r>
      <w:r>
        <w:rPr>
          <w:rFonts w:ascii="Times New Roman" w:eastAsia="仿宋_GB2312" w:hAnsi="Times New Roman" w:cs="Times New Roman"/>
          <w:sz w:val="32"/>
          <w:szCs w:val="32"/>
        </w:rPr>
        <w:t>地方各级人民政府及其有关部门违反本条例规定，未履行残疾人教育相关职责的，由上一级人民政府或者其有关部门责令限期改正；情节严重的，予以通报批评，并对直接负责的主管人员和其他直接责任人员依法给予处分。</w:t>
      </w:r>
    </w:p>
    <w:p w14:paraId="4B9D9D71"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第五十七条　</w:t>
      </w:r>
      <w:r>
        <w:rPr>
          <w:rFonts w:ascii="Times New Roman" w:eastAsia="仿宋_GB2312" w:hAnsi="Times New Roman" w:cs="Times New Roman"/>
          <w:sz w:val="32"/>
          <w:szCs w:val="32"/>
        </w:rPr>
        <w:t>学前教育机构、学校、其他教育机构及其工作人员违反本条例规定，有下列情形之一的，由其主管行政部门责令改正，对直接负责的主管人员和其他直接责任人员依法给予处分；构成违反治安管理行为的，由公安机关依法给予治安管理处罚；构成犯罪的，依法追究刑事责任：</w:t>
      </w:r>
    </w:p>
    <w:p w14:paraId="78ADDF99"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拒绝招收符合法律、法规规定条件的残疾学生入学的；</w:t>
      </w:r>
    </w:p>
    <w:p w14:paraId="4167F1D5"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歧视、侮辱、体罚残疾学生，或者放任对残疾学生的歧视言行，对残疾学生造成身心伤害的；</w:t>
      </w:r>
    </w:p>
    <w:p w14:paraId="4BB55EF5"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未按照国家有关规定对经济困难的残疾学生减免学费或者其他费用的。</w:t>
      </w:r>
    </w:p>
    <w:p w14:paraId="0808AA09" w14:textId="77777777" w:rsidR="003D6523" w:rsidRDefault="00AE35D7">
      <w:pPr>
        <w:pStyle w:val="2"/>
      </w:pPr>
      <w:r>
        <w:lastRenderedPageBreak/>
        <w:t>第九章　附则</w:t>
      </w:r>
    </w:p>
    <w:p w14:paraId="4F6FC441"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第五十八条　</w:t>
      </w:r>
      <w:r>
        <w:rPr>
          <w:rFonts w:ascii="Times New Roman" w:eastAsia="仿宋_GB2312" w:hAnsi="Times New Roman" w:cs="Times New Roman"/>
          <w:sz w:val="32"/>
          <w:szCs w:val="32"/>
        </w:rPr>
        <w:t>本条例下列用语的含义：</w:t>
      </w:r>
    </w:p>
    <w:p w14:paraId="0DC8D92B"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融</w:t>
      </w:r>
      <w:r>
        <w:rPr>
          <w:rFonts w:ascii="Times New Roman" w:eastAsia="仿宋_GB2312" w:hAnsi="Times New Roman" w:cs="Times New Roman"/>
          <w:sz w:val="32"/>
          <w:szCs w:val="32"/>
        </w:rPr>
        <w:t>合教育是指将对残疾学生的教育最大程度地融入普通教育。</w:t>
      </w:r>
    </w:p>
    <w:p w14:paraId="6D3FFB25" w14:textId="77777777" w:rsidR="003D6523" w:rsidRDefault="00AE35D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特殊教育资源教室是指在普通学校设置的装备有特殊教育和康复训练设施设备的专用教室。</w:t>
      </w:r>
    </w:p>
    <w:p w14:paraId="4A92A0F1" w14:textId="77777777" w:rsidR="003D6523" w:rsidRDefault="00AE35D7">
      <w:pPr>
        <w:pStyle w:val="a3"/>
        <w:ind w:firstLineChars="200" w:firstLine="640"/>
      </w:pPr>
      <w:r>
        <w:rPr>
          <w:rFonts w:ascii="Times New Roman" w:eastAsia="黑体" w:hAnsi="Times New Roman" w:cs="Times New Roman"/>
          <w:sz w:val="32"/>
          <w:szCs w:val="32"/>
        </w:rPr>
        <w:t xml:space="preserve">第五十九条　</w:t>
      </w:r>
      <w:r>
        <w:rPr>
          <w:rFonts w:ascii="Times New Roman" w:eastAsia="仿宋_GB2312" w:hAnsi="Times New Roman" w:cs="Times New Roman"/>
          <w:sz w:val="32"/>
          <w:szCs w:val="32"/>
        </w:rPr>
        <w:t>本条例自</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日起施行。</w:t>
      </w:r>
    </w:p>
    <w:sectPr w:rsidR="003D6523">
      <w:footerReference w:type="default" r:id="rId8"/>
      <w:pgSz w:w="11906" w:h="16838"/>
      <w:pgMar w:top="2098" w:right="1474" w:bottom="1984" w:left="1587"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EA79B" w14:textId="77777777" w:rsidR="00AE35D7" w:rsidRDefault="00AE35D7">
      <w:r>
        <w:separator/>
      </w:r>
    </w:p>
  </w:endnote>
  <w:endnote w:type="continuationSeparator" w:id="0">
    <w:p w14:paraId="1232D4D6" w14:textId="77777777" w:rsidR="00AE35D7" w:rsidRDefault="00AE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黑体_GBK">
    <w:altName w:val="微软雅黑"/>
    <w:charset w:val="86"/>
    <w:family w:val="auto"/>
    <w:pitch w:val="default"/>
    <w:sig w:usb0="00000001" w:usb1="080E0000" w:usb2="00000000" w:usb3="00000000" w:csb0="00040000" w:csb1="00000000"/>
  </w:font>
  <w:font w:name="方正楷体_GBK">
    <w:altName w:val="微软雅黑"/>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D3B78" w14:textId="77777777" w:rsidR="003D6523" w:rsidRDefault="00AE35D7">
    <w:pPr>
      <w:pStyle w:val="a5"/>
    </w:pPr>
    <w:r>
      <w:rPr>
        <w:noProof/>
      </w:rPr>
      <mc:AlternateContent>
        <mc:Choice Requires="wps">
          <w:drawing>
            <wp:anchor distT="0" distB="0" distL="114300" distR="114300" simplePos="0" relativeHeight="251658240" behindDoc="0" locked="0" layoutInCell="1" allowOverlap="1" wp14:anchorId="18416055" wp14:editId="1F19536E">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9A26AEE" w14:textId="77777777" w:rsidR="003D6523" w:rsidRDefault="00AE35D7">
                          <w:pPr>
                            <w:pStyle w:val="a5"/>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rFonts w:hint="eastAsia"/>
                              <w:sz w:val="24"/>
                            </w:rPr>
                            <w:t>- 1 -</w:t>
                          </w:r>
                          <w:r>
                            <w:rPr>
                              <w:rFonts w:hint="eastAsia"/>
                              <w:sz w:val="24"/>
                            </w:rPr>
                            <w:fldChar w:fldCharType="end"/>
                          </w:r>
                        </w:p>
                      </w:txbxContent>
                    </wps:txbx>
                    <wps:bodyPr vert="horz" wrap="none" lIns="0" tIns="0" rIns="0" bIns="0" anchor="t">
                      <a:spAutoFit/>
                    </wps:bodyPr>
                  </wps:wsp>
                </a:graphicData>
              </a:graphic>
            </wp:anchor>
          </w:drawing>
        </mc:Choice>
        <mc:Fallback>
          <w:pict>
            <v:shapetype w14:anchorId="18416055" id="_x0000_t202" coordsize="21600,21600" o:spt="202" path="m,l,21600r21600,l21600,xe">
              <v:stroke joinstyle="miter"/>
              <v:path gradientshapeok="t" o:connecttype="rect"/>
            </v:shapetype>
            <v:shape id="文本框 7"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019+iMUBAABfAwAADgAAAAAAAAAAAAAAAAAuAgAA&#10;ZHJzL2Uyb0RvYy54bWxQSwECLQAUAAYACAAAACEADErw7tYAAAAFAQAADwAAAAAAAAAAAAAAAAAf&#10;BAAAZHJzL2Rvd25yZXYueG1sUEsFBgAAAAAEAAQA8wAAACIFAAAAAA==&#10;" filled="f" stroked="f">
              <v:textbox style="mso-fit-shape-to-text:t" inset="0,0,0,0">
                <w:txbxContent>
                  <w:p w14:paraId="29A26AEE" w14:textId="77777777" w:rsidR="003D6523" w:rsidRDefault="00AE35D7">
                    <w:pPr>
                      <w:pStyle w:val="a5"/>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rFonts w:hint="eastAsia"/>
                        <w:sz w:val="24"/>
                      </w:rPr>
                      <w:t>- 1 -</w:t>
                    </w:r>
                    <w:r>
                      <w:rPr>
                        <w:rFonts w:hint="eastAsia"/>
                        <w:sz w:val="24"/>
                      </w:rPr>
                      <w:fldChar w:fldCharType="end"/>
                    </w:r>
                  </w:p>
                </w:txbxContent>
              </v:textbox>
              <w10:wrap anchorx="margin"/>
            </v:shape>
          </w:pict>
        </mc:Fallback>
      </mc:AlternateContent>
    </w:r>
    <w:sdt>
      <w:sdtPr>
        <w:id w:val="7337133"/>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9E724" w14:textId="77777777" w:rsidR="00AE35D7" w:rsidRDefault="00AE35D7">
      <w:r>
        <w:separator/>
      </w:r>
    </w:p>
  </w:footnote>
  <w:footnote w:type="continuationSeparator" w:id="0">
    <w:p w14:paraId="3EB556B5" w14:textId="77777777" w:rsidR="00AE35D7" w:rsidRDefault="00AE3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3D6523"/>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0D2"/>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AE35D7"/>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284357"/>
    <w:rsid w:val="026D2287"/>
    <w:rsid w:val="029A493F"/>
    <w:rsid w:val="02B836F8"/>
    <w:rsid w:val="02D3568D"/>
    <w:rsid w:val="03356D16"/>
    <w:rsid w:val="03985ADA"/>
    <w:rsid w:val="039F0CBD"/>
    <w:rsid w:val="04401145"/>
    <w:rsid w:val="051529ED"/>
    <w:rsid w:val="058213F7"/>
    <w:rsid w:val="06A0228E"/>
    <w:rsid w:val="06BD553B"/>
    <w:rsid w:val="07405EF4"/>
    <w:rsid w:val="0788080A"/>
    <w:rsid w:val="07E71367"/>
    <w:rsid w:val="08FF0C17"/>
    <w:rsid w:val="094845F0"/>
    <w:rsid w:val="0963250F"/>
    <w:rsid w:val="097F7BAD"/>
    <w:rsid w:val="09B60066"/>
    <w:rsid w:val="0A6920EC"/>
    <w:rsid w:val="0A8C2526"/>
    <w:rsid w:val="0AEB2A0D"/>
    <w:rsid w:val="0B3D0578"/>
    <w:rsid w:val="0B4E4B5A"/>
    <w:rsid w:val="0D3C4224"/>
    <w:rsid w:val="0D610029"/>
    <w:rsid w:val="0DFE10B9"/>
    <w:rsid w:val="107A4DEE"/>
    <w:rsid w:val="10A47D69"/>
    <w:rsid w:val="11366EEC"/>
    <w:rsid w:val="12146020"/>
    <w:rsid w:val="12C10B30"/>
    <w:rsid w:val="134A1994"/>
    <w:rsid w:val="136642BB"/>
    <w:rsid w:val="142327B5"/>
    <w:rsid w:val="14484CDF"/>
    <w:rsid w:val="155E2CB3"/>
    <w:rsid w:val="157124FD"/>
    <w:rsid w:val="15B17054"/>
    <w:rsid w:val="16173655"/>
    <w:rsid w:val="16E85B46"/>
    <w:rsid w:val="174517D7"/>
    <w:rsid w:val="18413C16"/>
    <w:rsid w:val="198A0A54"/>
    <w:rsid w:val="19DB6C33"/>
    <w:rsid w:val="1BAF2172"/>
    <w:rsid w:val="1C9212F7"/>
    <w:rsid w:val="2096095A"/>
    <w:rsid w:val="20D86240"/>
    <w:rsid w:val="21CE0F2E"/>
    <w:rsid w:val="22DD4281"/>
    <w:rsid w:val="253620CC"/>
    <w:rsid w:val="25981EEB"/>
    <w:rsid w:val="25BF3D61"/>
    <w:rsid w:val="25C11DA4"/>
    <w:rsid w:val="25F044FF"/>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5095248"/>
    <w:rsid w:val="355560D1"/>
    <w:rsid w:val="386D21AD"/>
    <w:rsid w:val="387E7233"/>
    <w:rsid w:val="39C71577"/>
    <w:rsid w:val="3A7915E5"/>
    <w:rsid w:val="3B1265AF"/>
    <w:rsid w:val="3BA0652C"/>
    <w:rsid w:val="3CA23060"/>
    <w:rsid w:val="3CDF39C7"/>
    <w:rsid w:val="3D762392"/>
    <w:rsid w:val="3DFC6899"/>
    <w:rsid w:val="3E3675FB"/>
    <w:rsid w:val="3EEC1919"/>
    <w:rsid w:val="3F800236"/>
    <w:rsid w:val="3F8C783C"/>
    <w:rsid w:val="40226A0B"/>
    <w:rsid w:val="4091458E"/>
    <w:rsid w:val="40DC5AC3"/>
    <w:rsid w:val="40F66CF8"/>
    <w:rsid w:val="40FE47B4"/>
    <w:rsid w:val="41B857FD"/>
    <w:rsid w:val="431B4937"/>
    <w:rsid w:val="434336CE"/>
    <w:rsid w:val="4361706F"/>
    <w:rsid w:val="43CA1521"/>
    <w:rsid w:val="43D46F84"/>
    <w:rsid w:val="444B0E8A"/>
    <w:rsid w:val="45866A2B"/>
    <w:rsid w:val="47A250A3"/>
    <w:rsid w:val="48AC4D69"/>
    <w:rsid w:val="494B3B16"/>
    <w:rsid w:val="49C224BB"/>
    <w:rsid w:val="4A4F5FBC"/>
    <w:rsid w:val="4A732A37"/>
    <w:rsid w:val="4DC87E21"/>
    <w:rsid w:val="4E6A2FDF"/>
    <w:rsid w:val="4EDF3D2B"/>
    <w:rsid w:val="4EED79F5"/>
    <w:rsid w:val="5080370D"/>
    <w:rsid w:val="512A1D93"/>
    <w:rsid w:val="5146198F"/>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C223266"/>
    <w:rsid w:val="5D101449"/>
    <w:rsid w:val="5DB22BFD"/>
    <w:rsid w:val="5DD739B2"/>
    <w:rsid w:val="5E900D37"/>
    <w:rsid w:val="5F5011B7"/>
    <w:rsid w:val="5F88093C"/>
    <w:rsid w:val="60492E1B"/>
    <w:rsid w:val="60FB7125"/>
    <w:rsid w:val="61152047"/>
    <w:rsid w:val="620467BA"/>
    <w:rsid w:val="622D2BEC"/>
    <w:rsid w:val="62F60DE0"/>
    <w:rsid w:val="63DD0DD3"/>
    <w:rsid w:val="641F5EE8"/>
    <w:rsid w:val="649C0E8F"/>
    <w:rsid w:val="65532802"/>
    <w:rsid w:val="65BF6566"/>
    <w:rsid w:val="665D25F4"/>
    <w:rsid w:val="66E50FB1"/>
    <w:rsid w:val="674048E2"/>
    <w:rsid w:val="67D71794"/>
    <w:rsid w:val="68715924"/>
    <w:rsid w:val="6A403C00"/>
    <w:rsid w:val="6B4C7D1B"/>
    <w:rsid w:val="6C267EB4"/>
    <w:rsid w:val="6D1363D3"/>
    <w:rsid w:val="6D15429C"/>
    <w:rsid w:val="6D614426"/>
    <w:rsid w:val="6DA577A5"/>
    <w:rsid w:val="6DB87D30"/>
    <w:rsid w:val="6E804287"/>
    <w:rsid w:val="6EB30283"/>
    <w:rsid w:val="6F605325"/>
    <w:rsid w:val="70817970"/>
    <w:rsid w:val="712B5699"/>
    <w:rsid w:val="72A30A90"/>
    <w:rsid w:val="72C042BE"/>
    <w:rsid w:val="736A61FA"/>
    <w:rsid w:val="73F475B6"/>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9D266E"/>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B777F"/>
  <w15:docId w15:val="{7537454F-E528-42F9-B4D9-0ECFAF77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jc w:val="center"/>
      <w:outlineLvl w:val="0"/>
    </w:pPr>
    <w:rPr>
      <w:rFonts w:eastAsia="黑体"/>
      <w:bCs/>
      <w:kern w:val="44"/>
      <w:sz w:val="32"/>
      <w:szCs w:val="44"/>
    </w:rPr>
  </w:style>
  <w:style w:type="paragraph" w:styleId="2">
    <w:name w:val="heading 2"/>
    <w:basedOn w:val="a"/>
    <w:next w:val="a"/>
    <w:link w:val="20"/>
    <w:uiPriority w:val="9"/>
    <w:unhideWhenUsed/>
    <w:qFormat/>
    <w:pPr>
      <w:keepNext/>
      <w:keepLines/>
      <w:spacing w:before="320" w:after="320" w:line="576" w:lineRule="auto"/>
      <w:jc w:val="center"/>
      <w:outlineLvl w:val="1"/>
    </w:pPr>
    <w:rPr>
      <w:rFonts w:asciiTheme="majorHAnsi" w:eastAsia="方正黑体_GBK" w:hAnsiTheme="majorHAnsi" w:cstheme="majorBidi"/>
      <w:bCs/>
      <w:sz w:val="32"/>
      <w:szCs w:val="32"/>
    </w:rPr>
  </w:style>
  <w:style w:type="paragraph" w:styleId="3">
    <w:name w:val="heading 3"/>
    <w:basedOn w:val="a"/>
    <w:next w:val="a"/>
    <w:link w:val="30"/>
    <w:uiPriority w:val="9"/>
    <w:unhideWhenUsed/>
    <w:qFormat/>
    <w:pPr>
      <w:keepNext/>
      <w:keepLines/>
      <w:spacing w:before="260" w:after="260" w:line="416" w:lineRule="auto"/>
      <w:jc w:val="center"/>
      <w:outlineLvl w:val="2"/>
    </w:pPr>
    <w:rPr>
      <w:rFonts w:eastAsia="方正楷体_GBK"/>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pPr>
      <w:keepNext/>
      <w:keepLines/>
      <w:spacing w:before="240" w:after="64" w:line="320" w:lineRule="auto"/>
      <w:outlineLvl w:val="6"/>
    </w:pPr>
    <w:rPr>
      <w:b/>
      <w:bCs/>
      <w:sz w:val="24"/>
      <w:szCs w:val="24"/>
    </w:rPr>
  </w:style>
  <w:style w:type="paragraph" w:styleId="8">
    <w:name w:val="heading 8"/>
    <w:basedOn w:val="a"/>
    <w:next w:val="a"/>
    <w:link w:val="80"/>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qFormat/>
    <w:rPr>
      <w:rFonts w:ascii="宋体" w:eastAsia="宋体" w:hAnsi="Courier New" w:cs="Courier New"/>
      <w:szCs w:val="21"/>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rPr>
      <w:sz w:val="24"/>
    </w:rPr>
  </w:style>
  <w:style w:type="character" w:customStyle="1" w:styleId="a4">
    <w:name w:val="纯文本 字符"/>
    <w:basedOn w:val="a0"/>
    <w:link w:val="a3"/>
    <w:uiPriority w:val="99"/>
    <w:qFormat/>
    <w:rPr>
      <w:rFonts w:ascii="宋体" w:eastAsia="宋体" w:hAnsi="Courier New" w:cs="Courier New"/>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9"/>
    <w:qFormat/>
    <w:rPr>
      <w:rFonts w:asciiTheme="minorHAnsi" w:eastAsia="黑体" w:hAnsiTheme="minorHAnsi"/>
      <w:bCs/>
      <w:kern w:val="44"/>
      <w:sz w:val="32"/>
      <w:szCs w:val="44"/>
    </w:rPr>
  </w:style>
  <w:style w:type="character" w:customStyle="1" w:styleId="20">
    <w:name w:val="标题 2 字符"/>
    <w:basedOn w:val="a0"/>
    <w:link w:val="2"/>
    <w:uiPriority w:val="9"/>
    <w:semiHidden/>
    <w:qFormat/>
    <w:rPr>
      <w:rFonts w:asciiTheme="majorHAnsi" w:eastAsia="方正黑体_GBK" w:hAnsiTheme="majorHAnsi" w:cstheme="majorBidi"/>
      <w:bCs/>
      <w:sz w:val="32"/>
      <w:szCs w:val="32"/>
    </w:rPr>
  </w:style>
  <w:style w:type="character" w:customStyle="1" w:styleId="30">
    <w:name w:val="标题 3 字符"/>
    <w:basedOn w:val="a0"/>
    <w:link w:val="3"/>
    <w:uiPriority w:val="9"/>
    <w:semiHidden/>
    <w:qFormat/>
    <w:rPr>
      <w:rFonts w:asciiTheme="minorHAnsi" w:eastAsia="方正楷体_GBK" w:hAnsiTheme="minorHAnsi"/>
      <w:b/>
      <w:bCs/>
      <w:sz w:val="32"/>
      <w:szCs w:val="32"/>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qFormat/>
    <w:rPr>
      <w:b/>
      <w:bCs/>
      <w:sz w:val="28"/>
      <w:szCs w:val="28"/>
    </w:rPr>
  </w:style>
  <w:style w:type="character" w:customStyle="1" w:styleId="60">
    <w:name w:val="标题 6 字符"/>
    <w:basedOn w:val="a0"/>
    <w:link w:val="6"/>
    <w:uiPriority w:val="9"/>
    <w:semiHidden/>
    <w:qFormat/>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qFormat/>
    <w:rPr>
      <w:b/>
      <w:bCs/>
      <w:sz w:val="24"/>
      <w:szCs w:val="24"/>
    </w:rPr>
  </w:style>
  <w:style w:type="character" w:customStyle="1" w:styleId="80">
    <w:name w:val="标题 8 字符"/>
    <w:basedOn w:val="a0"/>
    <w:link w:val="8"/>
    <w:uiPriority w:val="9"/>
    <w:semiHidden/>
    <w:qFormat/>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1078</Words>
  <Characters>6148</Characters>
  <Application>Microsoft Office Word</Application>
  <DocSecurity>0</DocSecurity>
  <Lines>51</Lines>
  <Paragraphs>14</Paragraphs>
  <ScaleCrop>false</ScaleCrop>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qmzp007 yu</cp:lastModifiedBy>
  <cp:revision>5</cp:revision>
  <dcterms:created xsi:type="dcterms:W3CDTF">2019-05-21T02:29:00Z</dcterms:created>
  <dcterms:modified xsi:type="dcterms:W3CDTF">2020-11-09T08:21:00Z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