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339" w:rsidRDefault="00212C6E">
      <w:pPr>
        <w:jc w:val="left"/>
        <w:rPr>
          <w:rFonts w:ascii="宋体" w:eastAsia="宋体" w:hAnsi="宋体" w:cs="宋体"/>
          <w:sz w:val="28"/>
          <w:szCs w:val="28"/>
        </w:rPr>
      </w:pPr>
      <w:bookmarkStart w:id="0" w:name="_GoBack"/>
      <w:bookmarkEnd w:id="0"/>
      <w:r>
        <w:rPr>
          <w:rFonts w:ascii="宋体" w:hAnsi="宋体" w:cs="宋体" w:hint="eastAsia"/>
          <w:sz w:val="28"/>
          <w:szCs w:val="28"/>
        </w:rPr>
        <w:t>附件</w:t>
      </w:r>
      <w:r>
        <w:rPr>
          <w:rFonts w:ascii="宋体" w:hAnsi="宋体" w:cs="宋体" w:hint="eastAsia"/>
          <w:sz w:val="28"/>
          <w:szCs w:val="28"/>
        </w:rPr>
        <w:t>：</w:t>
      </w:r>
    </w:p>
    <w:p w:rsidR="00F94339" w:rsidRDefault="00212C6E">
      <w:pPr>
        <w:jc w:val="center"/>
        <w:rPr>
          <w:rFonts w:ascii="宋体" w:eastAsia="宋体" w:hAnsi="宋体" w:cs="宋体"/>
          <w:b/>
          <w:bCs/>
          <w:sz w:val="44"/>
          <w:szCs w:val="44"/>
        </w:rPr>
      </w:pPr>
      <w:r>
        <w:rPr>
          <w:rFonts w:ascii="宋体" w:eastAsia="宋体" w:hAnsi="宋体" w:cs="宋体" w:hint="eastAsia"/>
          <w:b/>
          <w:bCs/>
          <w:sz w:val="44"/>
          <w:szCs w:val="44"/>
        </w:rPr>
        <w:t>202</w:t>
      </w:r>
      <w:r>
        <w:rPr>
          <w:rFonts w:ascii="宋体" w:hAnsi="宋体" w:cs="宋体" w:hint="eastAsia"/>
          <w:b/>
          <w:bCs/>
          <w:sz w:val="44"/>
          <w:szCs w:val="44"/>
        </w:rPr>
        <w:t>2</w:t>
      </w:r>
      <w:r>
        <w:rPr>
          <w:rFonts w:ascii="宋体" w:eastAsia="宋体" w:hAnsi="宋体" w:cs="宋体" w:hint="eastAsia"/>
          <w:b/>
          <w:bCs/>
          <w:sz w:val="44"/>
          <w:szCs w:val="44"/>
        </w:rPr>
        <w:t>年市农村经营管理体系改革</w:t>
      </w:r>
    </w:p>
    <w:p w:rsidR="00F94339" w:rsidRDefault="00212C6E">
      <w:pPr>
        <w:jc w:val="center"/>
        <w:rPr>
          <w:rFonts w:ascii="宋体" w:eastAsia="宋体" w:hAnsi="宋体" w:cs="宋体"/>
          <w:sz w:val="32"/>
          <w:szCs w:val="32"/>
        </w:rPr>
      </w:pPr>
      <w:r>
        <w:rPr>
          <w:rFonts w:ascii="宋体" w:eastAsia="宋体" w:hAnsi="宋体" w:cs="宋体" w:hint="eastAsia"/>
          <w:b/>
          <w:bCs/>
          <w:sz w:val="44"/>
          <w:szCs w:val="44"/>
        </w:rPr>
        <w:t>专项扶持资金</w:t>
      </w:r>
      <w:r>
        <w:rPr>
          <w:rFonts w:ascii="宋体" w:hAnsi="宋体" w:cs="宋体" w:hint="eastAsia"/>
          <w:b/>
          <w:bCs/>
          <w:sz w:val="44"/>
          <w:szCs w:val="44"/>
        </w:rPr>
        <w:t>支</w:t>
      </w:r>
      <w:r>
        <w:rPr>
          <w:rFonts w:ascii="宋体" w:eastAsia="宋体" w:hAnsi="宋体" w:cs="宋体" w:hint="eastAsia"/>
          <w:b/>
          <w:bCs/>
          <w:sz w:val="44"/>
          <w:szCs w:val="44"/>
        </w:rPr>
        <w:t>出分配方案</w:t>
      </w:r>
      <w:r>
        <w:rPr>
          <w:rFonts w:ascii="宋体" w:eastAsia="宋体" w:hAnsi="宋体" w:cs="宋体" w:hint="eastAsia"/>
          <w:sz w:val="32"/>
          <w:szCs w:val="32"/>
        </w:rPr>
        <w:t xml:space="preserve">                                 </w:t>
      </w:r>
    </w:p>
    <w:p w:rsidR="00F94339" w:rsidRDefault="00212C6E">
      <w:pPr>
        <w:jc w:val="center"/>
        <w:rPr>
          <w:rFonts w:ascii="宋体" w:eastAsia="宋体" w:hAnsi="宋体" w:cs="宋体"/>
          <w:sz w:val="32"/>
          <w:szCs w:val="32"/>
        </w:rPr>
      </w:pPr>
      <w:r>
        <w:rPr>
          <w:rFonts w:ascii="宋体" w:eastAsia="宋体" w:hAnsi="宋体" w:cs="宋体" w:hint="eastAsia"/>
          <w:sz w:val="28"/>
          <w:szCs w:val="28"/>
        </w:rPr>
        <w:t xml:space="preserve">                                                 </w:t>
      </w:r>
      <w:r>
        <w:rPr>
          <w:rFonts w:ascii="宋体" w:eastAsia="宋体" w:hAnsi="宋体" w:cs="宋体" w:hint="eastAsia"/>
          <w:sz w:val="28"/>
          <w:szCs w:val="28"/>
        </w:rPr>
        <w:t>单位：万元</w:t>
      </w:r>
    </w:p>
    <w:tbl>
      <w:tblPr>
        <w:tblStyle w:val="a4"/>
        <w:tblW w:w="9786" w:type="dxa"/>
        <w:jc w:val="center"/>
        <w:tblLayout w:type="fixed"/>
        <w:tblLook w:val="04A0" w:firstRow="1" w:lastRow="0" w:firstColumn="1" w:lastColumn="0" w:noHBand="0" w:noVBand="1"/>
      </w:tblPr>
      <w:tblGrid>
        <w:gridCol w:w="1451"/>
        <w:gridCol w:w="1501"/>
        <w:gridCol w:w="5924"/>
        <w:gridCol w:w="910"/>
      </w:tblGrid>
      <w:tr w:rsidR="00F94339">
        <w:trPr>
          <w:trHeight w:val="975"/>
          <w:jc w:val="center"/>
        </w:trPr>
        <w:tc>
          <w:tcPr>
            <w:tcW w:w="1451" w:type="dxa"/>
            <w:vAlign w:val="center"/>
          </w:tcPr>
          <w:p w:rsidR="00F94339" w:rsidRDefault="00212C6E">
            <w:pPr>
              <w:snapToGrid w:val="0"/>
              <w:spacing w:line="5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项</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目</w:t>
            </w:r>
          </w:p>
        </w:tc>
        <w:tc>
          <w:tcPr>
            <w:tcW w:w="1501" w:type="dxa"/>
            <w:vAlign w:val="center"/>
          </w:tcPr>
          <w:p w:rsidR="00F94339" w:rsidRDefault="00212C6E">
            <w:pPr>
              <w:snapToGrid w:val="0"/>
              <w:spacing w:line="5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项目单位</w:t>
            </w:r>
          </w:p>
        </w:tc>
        <w:tc>
          <w:tcPr>
            <w:tcW w:w="5924" w:type="dxa"/>
            <w:vAlign w:val="center"/>
          </w:tcPr>
          <w:p w:rsidR="00F94339" w:rsidRDefault="00212C6E">
            <w:pPr>
              <w:snapToGrid w:val="0"/>
              <w:spacing w:line="5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使用范围</w:t>
            </w:r>
          </w:p>
        </w:tc>
        <w:tc>
          <w:tcPr>
            <w:tcW w:w="910" w:type="dxa"/>
            <w:vAlign w:val="center"/>
          </w:tcPr>
          <w:p w:rsidR="00F94339" w:rsidRDefault="00212C6E">
            <w:pPr>
              <w:snapToGrid w:val="0"/>
              <w:spacing w:line="5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数额</w:t>
            </w:r>
          </w:p>
          <w:p w:rsidR="00F94339" w:rsidRDefault="00212C6E">
            <w:pPr>
              <w:snapToGrid w:val="0"/>
              <w:spacing w:line="5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计划</w:t>
            </w:r>
          </w:p>
        </w:tc>
      </w:tr>
      <w:tr w:rsidR="00F94339">
        <w:trPr>
          <w:trHeight w:val="4915"/>
          <w:jc w:val="center"/>
        </w:trPr>
        <w:tc>
          <w:tcPr>
            <w:tcW w:w="1451" w:type="dxa"/>
            <w:vAlign w:val="center"/>
          </w:tcPr>
          <w:p w:rsidR="00F94339" w:rsidRDefault="00212C6E">
            <w:pPr>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增持汕尾供销农产品配送有限公司股份</w:t>
            </w:r>
          </w:p>
        </w:tc>
        <w:tc>
          <w:tcPr>
            <w:tcW w:w="1501" w:type="dxa"/>
            <w:vAlign w:val="center"/>
          </w:tcPr>
          <w:p w:rsidR="00F94339" w:rsidRDefault="00212C6E">
            <w:pPr>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汕尾市新供销商贸有限公司</w:t>
            </w:r>
          </w:p>
        </w:tc>
        <w:tc>
          <w:tcPr>
            <w:tcW w:w="5924" w:type="dxa"/>
            <w:vAlign w:val="center"/>
          </w:tcPr>
          <w:p w:rsidR="00F94339" w:rsidRDefault="00212C6E">
            <w:pPr>
              <w:snapToGrid w:val="0"/>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依托汕尾市新供销商贸有限公司与</w:t>
            </w:r>
            <w:r>
              <w:rPr>
                <w:rFonts w:ascii="仿宋_GB2312" w:eastAsia="仿宋_GB2312" w:hAnsi="仿宋_GB2312" w:cs="仿宋_GB2312" w:hint="eastAsia"/>
                <w:sz w:val="28"/>
                <w:szCs w:val="28"/>
              </w:rPr>
              <w:t>广东供销农产品股份有限公司、</w:t>
            </w:r>
            <w:r>
              <w:rPr>
                <w:rFonts w:ascii="仿宋_GB2312" w:eastAsia="仿宋_GB2312" w:hAnsi="仿宋_GB2312" w:cs="仿宋_GB2312" w:hint="eastAsia"/>
                <w:sz w:val="28"/>
                <w:szCs w:val="28"/>
              </w:rPr>
              <w:t>汕尾新供销天润粮油有限公司</w:t>
            </w:r>
            <w:r>
              <w:rPr>
                <w:rFonts w:ascii="仿宋_GB2312" w:eastAsia="仿宋_GB2312" w:hAnsi="仿宋_GB2312" w:cs="仿宋_GB2312" w:hint="eastAsia"/>
                <w:sz w:val="28"/>
                <w:szCs w:val="28"/>
              </w:rPr>
              <w:t>、海丰供销社及社会资本合资共建</w:t>
            </w:r>
            <w:r>
              <w:rPr>
                <w:rFonts w:ascii="仿宋_GB2312" w:eastAsia="仿宋_GB2312" w:hAnsi="仿宋_GB2312" w:cs="仿宋_GB2312" w:hint="eastAsia"/>
                <w:sz w:val="28"/>
                <w:szCs w:val="28"/>
              </w:rPr>
              <w:t>汕尾供销农产品配送有限公司，作为汕尾对接</w:t>
            </w:r>
            <w:r>
              <w:rPr>
                <w:rFonts w:ascii="仿宋_GB2312" w:eastAsia="仿宋_GB2312" w:hAnsi="仿宋_GB2312" w:cs="仿宋_GB2312" w:hint="eastAsia"/>
                <w:sz w:val="28"/>
                <w:szCs w:val="28"/>
              </w:rPr>
              <w:t>广东供销放心农产品直供配送网络省级平台的区域配送中心。经</w:t>
            </w:r>
            <w:r>
              <w:rPr>
                <w:rFonts w:ascii="仿宋_GB2312" w:eastAsia="仿宋_GB2312" w:hAnsi="仿宋_GB2312" w:cs="仿宋_GB2312" w:hint="eastAsia"/>
                <w:sz w:val="28"/>
                <w:szCs w:val="28"/>
              </w:rPr>
              <w:t>汕尾供销农产品配送有限公司</w:t>
            </w:r>
            <w:r>
              <w:rPr>
                <w:rFonts w:ascii="仿宋_GB2312" w:eastAsia="仿宋_GB2312" w:hAnsi="仿宋_GB2312" w:cs="仿宋_GB2312" w:hint="eastAsia"/>
                <w:sz w:val="28"/>
                <w:szCs w:val="28"/>
              </w:rPr>
              <w:t>股东会研究决议，同意汕尾新供销天润粮油有限公司将占有公司注册资本（</w:t>
            </w:r>
            <w:r>
              <w:rPr>
                <w:rFonts w:ascii="仿宋_GB2312" w:eastAsia="仿宋_GB2312" w:hAnsi="仿宋_GB2312" w:cs="仿宋_GB2312" w:hint="eastAsia"/>
                <w:sz w:val="28"/>
                <w:szCs w:val="28"/>
              </w:rPr>
              <w:t>600</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的股权，共</w:t>
            </w:r>
            <w:r>
              <w:rPr>
                <w:rFonts w:ascii="仿宋_GB2312" w:eastAsia="仿宋_GB2312" w:hAnsi="仿宋_GB2312" w:cs="仿宋_GB2312" w:hint="eastAsia"/>
                <w:sz w:val="28"/>
                <w:szCs w:val="28"/>
              </w:rPr>
              <w:t>90</w:t>
            </w:r>
            <w:r>
              <w:rPr>
                <w:rFonts w:ascii="仿宋_GB2312" w:eastAsia="仿宋_GB2312" w:hAnsi="仿宋_GB2312" w:cs="仿宋_GB2312" w:hint="eastAsia"/>
                <w:sz w:val="28"/>
                <w:szCs w:val="28"/>
              </w:rPr>
              <w:t>万元认缴出资额转让给汕尾市新供销商贸有限公司。</w:t>
            </w:r>
          </w:p>
        </w:tc>
        <w:tc>
          <w:tcPr>
            <w:tcW w:w="910" w:type="dxa"/>
            <w:vAlign w:val="center"/>
          </w:tcPr>
          <w:p w:rsidR="00F94339" w:rsidRDefault="00212C6E">
            <w:pPr>
              <w:snapToGrid w:val="0"/>
              <w:spacing w:line="5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90</w:t>
            </w:r>
          </w:p>
        </w:tc>
      </w:tr>
      <w:tr w:rsidR="00F94339">
        <w:trPr>
          <w:trHeight w:val="5410"/>
          <w:jc w:val="center"/>
        </w:trPr>
        <w:tc>
          <w:tcPr>
            <w:tcW w:w="1451" w:type="dxa"/>
            <w:vAlign w:val="center"/>
          </w:tcPr>
          <w:p w:rsidR="00F94339" w:rsidRDefault="00212C6E">
            <w:pPr>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投资广东天海冷链物流有限公司</w:t>
            </w:r>
          </w:p>
        </w:tc>
        <w:tc>
          <w:tcPr>
            <w:tcW w:w="1501" w:type="dxa"/>
            <w:vAlign w:val="center"/>
          </w:tcPr>
          <w:p w:rsidR="00F94339" w:rsidRDefault="00212C6E">
            <w:pPr>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汕尾市新供销商贸有限公司</w:t>
            </w:r>
          </w:p>
        </w:tc>
        <w:tc>
          <w:tcPr>
            <w:tcW w:w="5924" w:type="dxa"/>
            <w:vAlign w:val="center"/>
          </w:tcPr>
          <w:p w:rsidR="00F94339" w:rsidRDefault="00212C6E">
            <w:pPr>
              <w:snapToGrid w:val="0"/>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广东天海冷链物流有限公司系省供销社直属企业广东新供销天业冷链集团有</w:t>
            </w:r>
            <w:r>
              <w:rPr>
                <w:rFonts w:ascii="仿宋_GB2312" w:eastAsia="仿宋_GB2312" w:hAnsi="仿宋_GB2312" w:cs="仿宋_GB2312" w:hint="eastAsia"/>
                <w:sz w:val="28"/>
                <w:szCs w:val="28"/>
              </w:rPr>
              <w:t>限公司的全资子公司，该公司成立于</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月，增资扩股后注册资金为</w:t>
            </w:r>
            <w:r>
              <w:rPr>
                <w:rFonts w:ascii="仿宋_GB2312" w:eastAsia="仿宋_GB2312" w:hAnsi="仿宋_GB2312" w:cs="仿宋_GB2312" w:hint="eastAsia"/>
                <w:sz w:val="28"/>
                <w:szCs w:val="28"/>
              </w:rPr>
              <w:t>3000</w:t>
            </w:r>
            <w:r>
              <w:rPr>
                <w:rFonts w:ascii="仿宋_GB2312" w:eastAsia="仿宋_GB2312" w:hAnsi="仿宋_GB2312" w:cs="仿宋_GB2312" w:hint="eastAsia"/>
                <w:sz w:val="28"/>
                <w:szCs w:val="28"/>
              </w:rPr>
              <w:t>万元。项目位于市城区马宫街道，占地面积约为</w:t>
            </w:r>
            <w:r>
              <w:rPr>
                <w:rFonts w:ascii="仿宋_GB2312" w:eastAsia="仿宋_GB2312" w:hAnsi="仿宋_GB2312" w:cs="仿宋_GB2312" w:hint="eastAsia"/>
                <w:sz w:val="28"/>
                <w:szCs w:val="28"/>
              </w:rPr>
              <w:t>34000</w:t>
            </w:r>
            <w:r>
              <w:rPr>
                <w:rFonts w:ascii="仿宋_GB2312" w:eastAsia="仿宋_GB2312" w:hAnsi="仿宋_GB2312" w:cs="仿宋_GB2312" w:hint="eastAsia"/>
                <w:sz w:val="28"/>
                <w:szCs w:val="28"/>
              </w:rPr>
              <w:t>平方米，设计库容约</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万吨，计划总投资额约为</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亿元，自去年</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月份动工以来，目前已完成冷库主体工程，</w:t>
            </w:r>
            <w:r>
              <w:rPr>
                <w:rFonts w:ascii="仿宋_GB2312" w:eastAsia="仿宋_GB2312" w:hAnsi="仿宋_GB2312" w:cs="仿宋_GB2312" w:hint="eastAsia"/>
                <w:sz w:val="28"/>
                <w:szCs w:val="28"/>
              </w:rPr>
              <w:t>预计于</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月份竣工</w:t>
            </w:r>
            <w:r>
              <w:rPr>
                <w:rFonts w:ascii="仿宋_GB2312" w:eastAsia="仿宋_GB2312" w:hAnsi="仿宋_GB2312" w:cs="仿宋_GB2312" w:hint="eastAsia"/>
                <w:sz w:val="28"/>
                <w:szCs w:val="28"/>
              </w:rPr>
              <w:t>。经广东新供销天业冷链集团有限公司同意，</w:t>
            </w:r>
            <w:r>
              <w:rPr>
                <w:rFonts w:ascii="仿宋_GB2312" w:eastAsia="仿宋_GB2312" w:hAnsi="仿宋_GB2312" w:cs="仿宋_GB2312" w:hint="eastAsia"/>
                <w:sz w:val="28"/>
                <w:szCs w:val="28"/>
              </w:rPr>
              <w:t>以新供销商贸公司为投资主体将</w:t>
            </w:r>
            <w:r>
              <w:rPr>
                <w:rFonts w:ascii="仿宋_GB2312" w:eastAsia="仿宋_GB2312" w:hAnsi="仿宋_GB2312" w:cs="仿宋_GB2312" w:hint="eastAsia"/>
                <w:sz w:val="28"/>
                <w:szCs w:val="28"/>
              </w:rPr>
              <w:t>300</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t>增资入股，占股</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w:t>
            </w:r>
          </w:p>
        </w:tc>
        <w:tc>
          <w:tcPr>
            <w:tcW w:w="910" w:type="dxa"/>
            <w:vAlign w:val="center"/>
          </w:tcPr>
          <w:p w:rsidR="00F94339" w:rsidRDefault="00212C6E">
            <w:pPr>
              <w:snapToGrid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300</w:t>
            </w:r>
          </w:p>
        </w:tc>
      </w:tr>
      <w:tr w:rsidR="00F94339">
        <w:trPr>
          <w:trHeight w:val="8685"/>
          <w:jc w:val="center"/>
        </w:trPr>
        <w:tc>
          <w:tcPr>
            <w:tcW w:w="1451" w:type="dxa"/>
            <w:vAlign w:val="center"/>
          </w:tcPr>
          <w:p w:rsidR="00F94339" w:rsidRDefault="00212C6E">
            <w:pPr>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投资打造农产品综合服务站</w:t>
            </w:r>
          </w:p>
        </w:tc>
        <w:tc>
          <w:tcPr>
            <w:tcW w:w="1501" w:type="dxa"/>
            <w:vAlign w:val="center"/>
          </w:tcPr>
          <w:p w:rsidR="00F94339" w:rsidRDefault="00212C6E">
            <w:pPr>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汕尾市新供销商贸有限公司</w:t>
            </w:r>
          </w:p>
        </w:tc>
        <w:tc>
          <w:tcPr>
            <w:tcW w:w="5924" w:type="dxa"/>
            <w:vAlign w:val="center"/>
          </w:tcPr>
          <w:p w:rsidR="00F94339" w:rsidRDefault="00212C6E">
            <w:pPr>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根据《广东省乡村振兴促进条例》文件精神以及省、市供销社工作部署安排，以新供销商贸公司为投资主体，联合省级、县级供销社和社会资本，以投资入股的形式，在全市各县（市、区）建设</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个供销合作社农产品综合服务站。主要围绕“米袋子”、“菜篮子”、“果盘子”等广东特色优势农产品，深度融合供销合作社系统基层组织网络优势及社有企业全资源要素，联通县镇村联农带农基层组织，积极对接省、市农资农技、农产品直供配送、冷链物流骨干网等经营服务网络，打造农资农技、订单农业、散集交易、田头冷链、合作金融等一站式综合服务阵地，为小农户提供公</w:t>
            </w:r>
            <w:r>
              <w:rPr>
                <w:rFonts w:ascii="仿宋_GB2312" w:eastAsia="仿宋_GB2312" w:hAnsi="仿宋_GB2312" w:cs="仿宋_GB2312" w:hint="eastAsia"/>
                <w:sz w:val="28"/>
                <w:szCs w:val="28"/>
              </w:rPr>
              <w:t>共型全产业链农业社会化服务，着力解决农户对于“生产、供销、信用”方面的切实需求。</w:t>
            </w:r>
          </w:p>
        </w:tc>
        <w:tc>
          <w:tcPr>
            <w:tcW w:w="910" w:type="dxa"/>
            <w:vAlign w:val="center"/>
          </w:tcPr>
          <w:p w:rsidR="00F94339" w:rsidRDefault="00212C6E">
            <w:pPr>
              <w:snapToGrid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105</w:t>
            </w:r>
          </w:p>
        </w:tc>
      </w:tr>
      <w:tr w:rsidR="00F94339">
        <w:trPr>
          <w:trHeight w:hRule="exact" w:val="2681"/>
          <w:jc w:val="center"/>
        </w:trPr>
        <w:tc>
          <w:tcPr>
            <w:tcW w:w="1451" w:type="dxa"/>
            <w:vAlign w:val="center"/>
          </w:tcPr>
          <w:p w:rsidR="00F94339" w:rsidRDefault="00212C6E">
            <w:pPr>
              <w:snapToGrid w:val="0"/>
              <w:spacing w:line="360" w:lineRule="auto"/>
              <w:rPr>
                <w:rFonts w:ascii="仿宋_GB2312" w:eastAsia="仿宋_GB2312" w:hAnsi="仿宋_GB2312" w:cs="仿宋_GB2312"/>
                <w:sz w:val="32"/>
                <w:szCs w:val="40"/>
              </w:rPr>
            </w:pPr>
            <w:r>
              <w:rPr>
                <w:rFonts w:ascii="仿宋_GB2312" w:eastAsia="仿宋_GB2312" w:hAnsi="仿宋_GB2312" w:cs="仿宋_GB2312" w:hint="eastAsia"/>
                <w:sz w:val="28"/>
                <w:szCs w:val="28"/>
              </w:rPr>
              <w:t>支持陆河县布金村供销社升级赋能</w:t>
            </w:r>
          </w:p>
        </w:tc>
        <w:tc>
          <w:tcPr>
            <w:tcW w:w="1501" w:type="dxa"/>
            <w:vAlign w:val="center"/>
          </w:tcPr>
          <w:p w:rsidR="00F94339" w:rsidRDefault="00212C6E">
            <w:pPr>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陆河县布金村供销有限公司</w:t>
            </w:r>
          </w:p>
        </w:tc>
        <w:tc>
          <w:tcPr>
            <w:tcW w:w="5924" w:type="dxa"/>
            <w:vAlign w:val="center"/>
          </w:tcPr>
          <w:p w:rsidR="00F94339" w:rsidRDefault="00212C6E">
            <w:pPr>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用于支持布金村供销社升级赋能，将其打造成集特色农产品购销、品牌推广、农村电商与数字化展示功能一体的农业社会化服务中心。</w:t>
            </w:r>
          </w:p>
        </w:tc>
        <w:tc>
          <w:tcPr>
            <w:tcW w:w="910" w:type="dxa"/>
            <w:vAlign w:val="center"/>
          </w:tcPr>
          <w:p w:rsidR="00F94339" w:rsidRDefault="00212C6E">
            <w:pPr>
              <w:snapToGrid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r>
      <w:tr w:rsidR="00F94339">
        <w:trPr>
          <w:trHeight w:val="1032"/>
          <w:jc w:val="center"/>
        </w:trPr>
        <w:tc>
          <w:tcPr>
            <w:tcW w:w="8876" w:type="dxa"/>
            <w:gridSpan w:val="3"/>
            <w:vAlign w:val="center"/>
          </w:tcPr>
          <w:p w:rsidR="00F94339" w:rsidRDefault="00212C6E">
            <w:pPr>
              <w:snapToGrid w:val="0"/>
              <w:spacing w:line="5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合计</w:t>
            </w:r>
          </w:p>
        </w:tc>
        <w:tc>
          <w:tcPr>
            <w:tcW w:w="910" w:type="dxa"/>
            <w:vAlign w:val="center"/>
          </w:tcPr>
          <w:p w:rsidR="00F94339" w:rsidRDefault="00212C6E">
            <w:pPr>
              <w:snapToGrid w:val="0"/>
              <w:spacing w:line="5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500</w:t>
            </w:r>
          </w:p>
        </w:tc>
      </w:tr>
    </w:tbl>
    <w:p w:rsidR="00F94339" w:rsidRDefault="00F94339"/>
    <w:sectPr w:rsidR="00F943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C6E" w:rsidRDefault="00212C6E" w:rsidP="00126E5C">
      <w:r>
        <w:separator/>
      </w:r>
    </w:p>
  </w:endnote>
  <w:endnote w:type="continuationSeparator" w:id="0">
    <w:p w:rsidR="00212C6E" w:rsidRDefault="00212C6E" w:rsidP="00126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C6E" w:rsidRDefault="00212C6E" w:rsidP="00126E5C">
      <w:r>
        <w:separator/>
      </w:r>
    </w:p>
  </w:footnote>
  <w:footnote w:type="continuationSeparator" w:id="0">
    <w:p w:rsidR="00212C6E" w:rsidRDefault="00212C6E" w:rsidP="00126E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hNzQ2Y2JjMzhiNzU1YjUxYjU3ZDE0M2MwMTdjMjgifQ=="/>
  </w:docVars>
  <w:rsids>
    <w:rsidRoot w:val="00F94339"/>
    <w:rsid w:val="00126E5C"/>
    <w:rsid w:val="00212C6E"/>
    <w:rsid w:val="00F94339"/>
    <w:rsid w:val="04EE2225"/>
    <w:rsid w:val="05B80F32"/>
    <w:rsid w:val="0AD9270C"/>
    <w:rsid w:val="0EEA5BFB"/>
    <w:rsid w:val="1111121D"/>
    <w:rsid w:val="184612D7"/>
    <w:rsid w:val="1CC655B2"/>
    <w:rsid w:val="1EE45788"/>
    <w:rsid w:val="2A593027"/>
    <w:rsid w:val="2AA53477"/>
    <w:rsid w:val="37EF12F0"/>
    <w:rsid w:val="3CEC6256"/>
    <w:rsid w:val="3D29427A"/>
    <w:rsid w:val="414803DC"/>
    <w:rsid w:val="43324EA1"/>
    <w:rsid w:val="4A1D7E41"/>
    <w:rsid w:val="4DED3D99"/>
    <w:rsid w:val="51DB5886"/>
    <w:rsid w:val="56927D2A"/>
    <w:rsid w:val="582D3A11"/>
    <w:rsid w:val="5AFD2486"/>
    <w:rsid w:val="5FB52C88"/>
    <w:rsid w:val="624966FD"/>
    <w:rsid w:val="628C6AB0"/>
    <w:rsid w:val="65416A57"/>
    <w:rsid w:val="67BE7737"/>
    <w:rsid w:val="6AEB2DF3"/>
    <w:rsid w:val="766814E1"/>
    <w:rsid w:val="788F01F0"/>
    <w:rsid w:val="7B2C37F5"/>
    <w:rsid w:val="7DC11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126E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26E5C"/>
    <w:rPr>
      <w:rFonts w:asciiTheme="minorHAnsi" w:eastAsiaTheme="minorEastAsia" w:hAnsiTheme="minorHAnsi" w:cstheme="minorBidi"/>
      <w:kern w:val="2"/>
      <w:sz w:val="18"/>
      <w:szCs w:val="18"/>
    </w:rPr>
  </w:style>
  <w:style w:type="paragraph" w:styleId="a6">
    <w:name w:val="footer"/>
    <w:basedOn w:val="a"/>
    <w:link w:val="Char0"/>
    <w:rsid w:val="00126E5C"/>
    <w:pPr>
      <w:tabs>
        <w:tab w:val="center" w:pos="4153"/>
        <w:tab w:val="right" w:pos="8306"/>
      </w:tabs>
      <w:snapToGrid w:val="0"/>
      <w:jc w:val="left"/>
    </w:pPr>
    <w:rPr>
      <w:sz w:val="18"/>
      <w:szCs w:val="18"/>
    </w:rPr>
  </w:style>
  <w:style w:type="character" w:customStyle="1" w:styleId="Char0">
    <w:name w:val="页脚 Char"/>
    <w:basedOn w:val="a0"/>
    <w:link w:val="a6"/>
    <w:rsid w:val="00126E5C"/>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126E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26E5C"/>
    <w:rPr>
      <w:rFonts w:asciiTheme="minorHAnsi" w:eastAsiaTheme="minorEastAsia" w:hAnsiTheme="minorHAnsi" w:cstheme="minorBidi"/>
      <w:kern w:val="2"/>
      <w:sz w:val="18"/>
      <w:szCs w:val="18"/>
    </w:rPr>
  </w:style>
  <w:style w:type="paragraph" w:styleId="a6">
    <w:name w:val="footer"/>
    <w:basedOn w:val="a"/>
    <w:link w:val="Char0"/>
    <w:rsid w:val="00126E5C"/>
    <w:pPr>
      <w:tabs>
        <w:tab w:val="center" w:pos="4153"/>
        <w:tab w:val="right" w:pos="8306"/>
      </w:tabs>
      <w:snapToGrid w:val="0"/>
      <w:jc w:val="left"/>
    </w:pPr>
    <w:rPr>
      <w:sz w:val="18"/>
      <w:szCs w:val="18"/>
    </w:rPr>
  </w:style>
  <w:style w:type="character" w:customStyle="1" w:styleId="Char0">
    <w:name w:val="页脚 Char"/>
    <w:basedOn w:val="a0"/>
    <w:link w:val="a6"/>
    <w:rsid w:val="00126E5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2</cp:revision>
  <dcterms:created xsi:type="dcterms:W3CDTF">2020-12-28T07:59:00Z</dcterms:created>
  <dcterms:modified xsi:type="dcterms:W3CDTF">2022-08-24T09:30:00Z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1D6479BDC2DB415D9065989D56E390DB</vt:lpwstr>
  </property>
</Properties>
</file>