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bCs/>
          <w:sz w:val="44"/>
          <w:szCs w:val="48"/>
        </w:rPr>
      </w:pPr>
      <w:r>
        <w:rPr>
          <w:b/>
          <w:bCs/>
          <w:sz w:val="44"/>
          <w:szCs w:val="48"/>
        </w:rPr>
        <w:t>规划简要内容</w:t>
      </w:r>
    </w:p>
    <w:p>
      <w:pPr>
        <w:jc w:val="center"/>
        <w:rPr>
          <w:b/>
          <w:bCs/>
          <w:sz w:val="36"/>
          <w:szCs w:val="40"/>
        </w:rPr>
      </w:pP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规划范围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本次规划范围北至红海湾大道，西至华侨城项目交界及虎兰山、烟墩山自然交界处，东至捷胜镇域边界，南至南海海域边界。规划范围8.13平方公里。</w:t>
      </w:r>
      <w:bookmarkStart w:id="0" w:name="_GoBack"/>
      <w:bookmarkEnd w:id="0"/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规划定位</w:t>
      </w:r>
    </w:p>
    <w:p>
      <w:pPr>
        <w:pStyle w:val="7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汕尾捷胜片区规划定位为：以“文旅”为主题的宜游、宜居、宜业的海洋文旅小镇，湾区文旅休闲新坐标和汕尾宜居乐业后花园。</w:t>
      </w:r>
    </w:p>
    <w:p>
      <w:pPr>
        <w:pStyle w:val="7"/>
        <w:numPr>
          <w:ilvl w:val="0"/>
          <w:numId w:val="1"/>
        </w:numPr>
        <w:ind w:firstLineChars="0"/>
        <w:rPr>
          <w:rFonts w:hint="eastAsia" w:ascii="仿宋_GB2312" w:hAnsi="仿宋_GB2312" w:eastAsia="仿宋_GB2312" w:cs="仿宋_GB2312"/>
          <w:b/>
          <w:bCs/>
          <w:sz w:val="28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32"/>
        </w:rPr>
        <w:t>整体空间结构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汕尾捷胜片区规划形成“一带、两轴、三区、四心”的整体空间结构。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“一带”：沿海岸线打造集旅居度假、渔乐体验及文化娱乐等功能于一体的滨海休闲带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“两轴”：沿县道124和文旅大道形成两条城市发展轴。西侧县道124城市发展轴主要串联未来城市公共服务中心和南侧滨海片区；东侧文旅大道城市发展轴主要串联产业服务中心、老城文化中心及南侧康养旅居服务中心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“三区”：通过两轴南北串联南部山海旅居区、中部老城生活区和北部产城融合区。</w:t>
      </w:r>
    </w:p>
    <w:p>
      <w:pPr>
        <w:ind w:firstLine="560" w:firstLineChars="200"/>
        <w:rPr>
          <w:rFonts w:hint="eastAsia" w:ascii="仿宋_GB2312" w:hAnsi="仿宋_GB2312" w:eastAsia="仿宋_GB2312" w:cs="仿宋_GB2312"/>
          <w:sz w:val="28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32"/>
        </w:rPr>
        <w:t>“四心”：形成南部康养旅居服务中心、中部老城文化中心、北部公共服务中心和产业服务中心四个城市中心。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8DE55AA"/>
    <w:multiLevelType w:val="multilevel"/>
    <w:tmpl w:val="38DE55AA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GNhZWJiMDk1ZDgyZTA5NzQwOTNjMDQ3ZGRhNjQ2NTEifQ=="/>
  </w:docVars>
  <w:rsids>
    <w:rsidRoot w:val="00DA6255"/>
    <w:rsid w:val="00002AB9"/>
    <w:rsid w:val="002F06D5"/>
    <w:rsid w:val="00323C76"/>
    <w:rsid w:val="005E0E0D"/>
    <w:rsid w:val="00627C8F"/>
    <w:rsid w:val="00821A6D"/>
    <w:rsid w:val="00876548"/>
    <w:rsid w:val="009F5BA5"/>
    <w:rsid w:val="00A5503E"/>
    <w:rsid w:val="00DA6255"/>
    <w:rsid w:val="00DF44C3"/>
    <w:rsid w:val="00E52F93"/>
    <w:rsid w:val="682A0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3"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神州网信技术有限公司</Company>
  <Pages>1</Pages>
  <Words>393</Words>
  <Characters>400</Characters>
  <Lines>2</Lines>
  <Paragraphs>1</Paragraphs>
  <TotalTime>48</TotalTime>
  <ScaleCrop>false</ScaleCrop>
  <LinksUpToDate>false</LinksUpToDate>
  <CharactersWithSpaces>400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2022-08-09T08:45:00Z</dcterms:created>
  <dc:creator>梁永雄</dc:creator>
  <cp:lastModifiedBy>隐宅酱</cp:lastModifiedBy>
  <cp:lastPrinted>2022-08-10T03:32:54Z</cp:lastPrinted>
  <dcterms:modified xsi:type="dcterms:W3CDTF">2022-08-10T03:32:57Z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37BE837715A0426C940BB4F5F976819F</vt:lpwstr>
  </property>
</Properties>
</file>