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>规划简要内容</w:t>
      </w:r>
    </w:p>
    <w:p>
      <w:pPr>
        <w:jc w:val="center"/>
        <w:rPr>
          <w:b/>
          <w:bCs/>
          <w:sz w:val="36"/>
          <w:szCs w:val="40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</w:rPr>
        <w:t>规划范围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本次规划范围北至红海湾大道，西至华侨城项目交界及虎兰山、烟墩山自然交界处，东至捷胜镇域边界，南至南海海域边界。规划范围8.13平方公里。</w:t>
      </w:r>
      <w:bookmarkStart w:id="0" w:name="_GoBack"/>
      <w:bookmarkEnd w:id="0"/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</w:rPr>
        <w:t>规划定位</w:t>
      </w:r>
    </w:p>
    <w:p>
      <w:pPr>
        <w:pStyle w:val="7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汕尾捷胜片区规划定位为：以“文旅”为主题的宜游、宜居、宜业的海洋文旅小镇，湾区文旅休闲新坐标和汕尾宜居乐业后花园。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</w:rPr>
        <w:t>整体空间结构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汕尾捷胜片区规划形成“一带、两轴、三区、四心”的整体空间结构。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“一带”：沿海岸线打造集旅居度假、渔乐体验及文化娱乐等功能于一体的滨海休闲带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“两轴”：沿县道124和文旅大道形成两条城市发展轴。西侧县道124城市发展轴主要串联未来城市公共服务中心和南侧滨海片区；东侧文旅大道城市发展轴主要串联产业服务中心、老城文化中心及南侧康养旅居服务中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“三区”：通过两轴南北串联南部山海旅居区、中部老城生活区和北部产城融合区。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“四心”：形成南部康养旅居服务中心、中部老城文化中心、北部公共服务中心和产业服务中心四个城市中心。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DE55AA"/>
    <w:multiLevelType w:val="multilevel"/>
    <w:tmpl w:val="38DE55A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hZWJiMDk1ZDgyZTA5NzQwOTNjMDQ3ZGRhNjQ2NTEifQ=="/>
  </w:docVars>
  <w:rsids>
    <w:rsidRoot w:val="00DA6255"/>
    <w:rsid w:val="00002AB9"/>
    <w:rsid w:val="002F06D5"/>
    <w:rsid w:val="00323C76"/>
    <w:rsid w:val="005E0E0D"/>
    <w:rsid w:val="00627C8F"/>
    <w:rsid w:val="00821A6D"/>
    <w:rsid w:val="00876548"/>
    <w:rsid w:val="009F5BA5"/>
    <w:rsid w:val="00A5503E"/>
    <w:rsid w:val="00DA6255"/>
    <w:rsid w:val="00DF44C3"/>
    <w:rsid w:val="00E52F93"/>
    <w:rsid w:val="682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393</Words>
  <Characters>400</Characters>
  <Lines>2</Lines>
  <Paragraphs>1</Paragraphs>
  <TotalTime>48</TotalTime>
  <ScaleCrop>false</ScaleCrop>
  <LinksUpToDate>false</LinksUpToDate>
  <CharactersWithSpaces>400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2022-08-09T08:45:00Z</dcterms:created>
  <dc:creator>梁永雄</dc:creator>
  <cp:lastModifiedBy>隐宅酱</cp:lastModifiedBy>
  <cp:lastPrinted>2022-08-10T03:32:54Z</cp:lastPrinted>
  <dcterms:modified xsi:type="dcterms:W3CDTF">2022-08-10T03:32:57Z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37BE837715A0426C940BB4F5F976819F</vt:lpwstr>
  </property>
</Properties>
</file>