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1"/>
        <w:rPr>
          <w:rFonts w:ascii="黑体" w:hAnsi="黑体" w:eastAsia="黑体" w:cs="仿宋"/>
          <w:bCs/>
          <w:color w:val="000000"/>
          <w:sz w:val="32"/>
          <w:szCs w:val="32"/>
        </w:rPr>
      </w:pPr>
    </w:p>
    <w:p>
      <w:pPr>
        <w:spacing w:line="600" w:lineRule="exact"/>
        <w:jc w:val="center"/>
        <w:outlineLvl w:val="1"/>
        <w:rPr>
          <w:rFonts w:hint="eastAsia" w:ascii="黑体" w:hAnsi="黑体" w:eastAsia="黑体" w:cs="仿宋"/>
          <w:bCs/>
          <w:color w:val="000000"/>
          <w:sz w:val="32"/>
          <w:szCs w:val="32"/>
        </w:rPr>
      </w:pPr>
    </w:p>
    <w:p>
      <w:pPr>
        <w:spacing w:line="600" w:lineRule="exact"/>
        <w:jc w:val="center"/>
        <w:outlineLvl w:val="1"/>
        <w:rPr>
          <w:rFonts w:ascii="黑体" w:hAnsi="黑体" w:eastAsia="黑体" w:cs="仿宋"/>
          <w:bCs/>
          <w:color w:val="000000"/>
          <w:sz w:val="32"/>
          <w:szCs w:val="32"/>
        </w:rPr>
      </w:pPr>
      <w:r>
        <w:rPr>
          <w:rFonts w:ascii="黑体" w:hAnsi="黑体" w:eastAsia="黑体" w:cs="仿宋"/>
          <w:bCs/>
          <w:color w:val="000000"/>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hAnsi="黑体" w:eastAsia="黑体" w:cs="仿宋"/>
          <w:bCs/>
          <w:color w:val="000000"/>
          <w:sz w:val="32"/>
          <w:szCs w:val="32"/>
        </w:rPr>
        <w:instrText xml:space="preserve">ADDIN CNKISM.UserStyle</w:instrText>
      </w:r>
      <w:r>
        <w:rPr>
          <w:rFonts w:ascii="黑体" w:hAnsi="黑体" w:eastAsia="黑体" w:cs="仿宋"/>
          <w:bCs/>
          <w:color w:val="000000"/>
          <w:sz w:val="32"/>
          <w:szCs w:val="32"/>
        </w:rPr>
        <w:fldChar w:fldCharType="end"/>
      </w:r>
    </w:p>
    <w:p>
      <w:pPr>
        <w:spacing w:line="600" w:lineRule="exact"/>
        <w:jc w:val="center"/>
        <w:rPr>
          <w:rFonts w:ascii="黑体" w:hAnsi="黑体" w:eastAsia="黑体" w:cs="仿宋"/>
          <w:bCs/>
          <w:color w:val="000000"/>
          <w:sz w:val="36"/>
          <w:szCs w:val="36"/>
        </w:rPr>
      </w:pPr>
      <w:bookmarkStart w:id="0" w:name="_Toc54615612"/>
      <w:bookmarkStart w:id="114" w:name="_GoBack"/>
      <w:r>
        <w:rPr>
          <w:rFonts w:hint="eastAsia" w:ascii="黑体" w:hAnsi="黑体" w:eastAsia="黑体" w:cs="仿宋"/>
          <w:bCs/>
          <w:color w:val="000000"/>
          <w:sz w:val="36"/>
          <w:szCs w:val="36"/>
        </w:rPr>
        <w:t>汕尾市制造业高质量发展“十四五”规划</w:t>
      </w:r>
      <w:bookmarkEnd w:id="0"/>
    </w:p>
    <w:p>
      <w:pPr>
        <w:spacing w:after="120"/>
        <w:jc w:val="center"/>
        <w:rPr>
          <w:rFonts w:ascii="楷体_GB2312" w:hAnsi="楷体" w:eastAsia="楷体_GB2312"/>
          <w:sz w:val="32"/>
          <w:szCs w:val="32"/>
        </w:rPr>
      </w:pPr>
      <w:r>
        <w:rPr>
          <w:rFonts w:hint="eastAsia" w:ascii="楷体_GB2312" w:hAnsi="楷体" w:eastAsia="楷体_GB2312"/>
          <w:sz w:val="32"/>
          <w:szCs w:val="32"/>
        </w:rPr>
        <w:t>（送审稿）</w:t>
      </w:r>
      <w:bookmarkEnd w:id="114"/>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楷体_GB2312" w:hAnsi="楷体" w:eastAsia="楷体_GB2312"/>
          <w:sz w:val="32"/>
          <w:szCs w:val="32"/>
        </w:rPr>
      </w:pPr>
      <w:r>
        <w:rPr>
          <w:rFonts w:hint="eastAsia" w:ascii="楷体_GB2312" w:hAnsi="楷体" w:eastAsia="楷体_GB2312"/>
          <w:sz w:val="32"/>
          <w:szCs w:val="32"/>
        </w:rPr>
        <w:t>广东省社会科学院经济研究所</w:t>
      </w:r>
    </w:p>
    <w:p>
      <w:pPr>
        <w:spacing w:after="120"/>
        <w:jc w:val="center"/>
        <w:rPr>
          <w:rFonts w:ascii="楷体_GB2312" w:hAnsi="楷体" w:eastAsia="楷体_GB2312"/>
          <w:sz w:val="32"/>
          <w:szCs w:val="32"/>
        </w:rPr>
      </w:pPr>
      <w:r>
        <w:rPr>
          <w:rFonts w:hint="eastAsia" w:ascii="楷体_GB2312" w:hAnsi="楷体" w:eastAsia="楷体_GB2312"/>
          <w:sz w:val="32"/>
          <w:szCs w:val="32"/>
        </w:rPr>
        <w:t>202</w:t>
      </w:r>
      <w:r>
        <w:rPr>
          <w:rFonts w:ascii="楷体_GB2312" w:hAnsi="楷体" w:eastAsia="楷体_GB2312"/>
          <w:sz w:val="32"/>
          <w:szCs w:val="32"/>
        </w:rPr>
        <w:t>1</w:t>
      </w:r>
      <w:r>
        <w:rPr>
          <w:rFonts w:hint="eastAsia" w:ascii="楷体_GB2312" w:hAnsi="楷体" w:eastAsia="楷体_GB2312"/>
          <w:sz w:val="32"/>
          <w:szCs w:val="32"/>
        </w:rPr>
        <w:t>年7月</w:t>
      </w:r>
    </w:p>
    <w:p>
      <w:pPr>
        <w:spacing w:after="120"/>
        <w:jc w:val="center"/>
        <w:rPr>
          <w:rFonts w:ascii="华文楷体" w:hAnsi="华文楷体" w:eastAsia="华文楷体"/>
          <w:sz w:val="32"/>
          <w:szCs w:val="32"/>
        </w:rPr>
      </w:pPr>
    </w:p>
    <w:p>
      <w:pPr>
        <w:spacing w:after="120"/>
        <w:ind w:firstLine="640" w:firstLineChars="200"/>
        <w:rPr>
          <w:rFonts w:eastAsia="仿宋"/>
          <w:sz w:val="32"/>
          <w:szCs w:val="32"/>
        </w:rPr>
      </w:pPr>
      <w:r>
        <w:rPr>
          <w:rFonts w:eastAsia="仿宋"/>
          <w:sz w:val="32"/>
          <w:szCs w:val="32"/>
        </w:rPr>
        <w:br w:type="page"/>
      </w:r>
      <w:bookmarkStart w:id="1" w:name="_Toc54615613"/>
    </w:p>
    <w:sdt>
      <w:sdtPr>
        <w:rPr>
          <w:rFonts w:ascii="Times New Roman" w:hAnsi="Times New Roman" w:eastAsia="宋体" w:cs="Times New Roman"/>
          <w:color w:val="auto"/>
          <w:kern w:val="2"/>
          <w:sz w:val="21"/>
          <w:szCs w:val="24"/>
          <w:lang w:val="zh-CN"/>
        </w:rPr>
        <w:id w:val="1673981823"/>
        <w:docPartObj>
          <w:docPartGallery w:val="Table of Contents"/>
          <w:docPartUnique/>
        </w:docPartObj>
      </w:sdtPr>
      <w:sdtEndPr>
        <w:rPr>
          <w:rFonts w:ascii="Times New Roman" w:hAnsi="Times New Roman" w:eastAsia="宋体" w:cs="Times New Roman"/>
          <w:b/>
          <w:bCs/>
          <w:color w:val="auto"/>
          <w:kern w:val="2"/>
          <w:sz w:val="28"/>
          <w:szCs w:val="28"/>
          <w:lang w:val="zh-CN"/>
        </w:rPr>
      </w:sdtEndPr>
      <w:sdtContent>
        <w:p>
          <w:pPr>
            <w:pStyle w:val="25"/>
            <w:jc w:val="center"/>
            <w:rPr>
              <w:rFonts w:ascii="黑体" w:hAnsi="黑体" w:eastAsia="黑体"/>
              <w:color w:val="000000" w:themeColor="text1"/>
              <w14:textFill>
                <w14:solidFill>
                  <w14:schemeClr w14:val="tx1"/>
                </w14:solidFill>
              </w14:textFill>
            </w:rPr>
          </w:pPr>
          <w:r>
            <w:rPr>
              <w:rFonts w:ascii="黑体" w:hAnsi="黑体" w:eastAsia="黑体"/>
              <w:color w:val="000000" w:themeColor="text1"/>
              <w:lang w:val="zh-CN"/>
              <w14:textFill>
                <w14:solidFill>
                  <w14:schemeClr w14:val="tx1"/>
                </w14:solidFill>
              </w14:textFill>
            </w:rPr>
            <w:t>目</w:t>
          </w:r>
          <w:r>
            <w:rPr>
              <w:rFonts w:hint="eastAsia" w:ascii="黑体" w:hAnsi="黑体" w:eastAsia="黑体"/>
              <w:color w:val="000000" w:themeColor="text1"/>
              <w:lang w:val="zh-CN"/>
              <w14:textFill>
                <w14:solidFill>
                  <w14:schemeClr w14:val="tx1"/>
                </w14:solidFill>
              </w14:textFill>
            </w:rPr>
            <w:t xml:space="preserve"> </w:t>
          </w:r>
          <w:r>
            <w:rPr>
              <w:rFonts w:ascii="黑体" w:hAnsi="黑体" w:eastAsia="黑体"/>
              <w:color w:val="000000" w:themeColor="text1"/>
              <w:lang w:val="zh-CN"/>
              <w14:textFill>
                <w14:solidFill>
                  <w14:schemeClr w14:val="tx1"/>
                </w14:solidFill>
              </w14:textFill>
            </w:rPr>
            <w:t>录</w:t>
          </w:r>
        </w:p>
        <w:p>
          <w:pPr>
            <w:pStyle w:val="9"/>
            <w:tabs>
              <w:tab w:val="right" w:leader="dot" w:pos="8306"/>
            </w:tabs>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"_Toc27796" </w:instrText>
          </w:r>
          <w:r>
            <w:fldChar w:fldCharType="separate"/>
          </w:r>
          <w:r>
            <w:rPr>
              <w:rFonts w:hint="eastAsia" w:ascii="黑体" w:hAnsi="黑体" w:eastAsia="黑体" w:cs="仿宋"/>
              <w:bCs/>
              <w:szCs w:val="32"/>
            </w:rPr>
            <w:t>一、发展基础和发展形势</w:t>
          </w:r>
          <w:r>
            <w:tab/>
          </w:r>
          <w:r>
            <w:fldChar w:fldCharType="begin"/>
          </w:r>
          <w:r>
            <w:instrText xml:space="preserve"> PAGEREF _Toc27796 \h </w:instrText>
          </w:r>
          <w:r>
            <w:fldChar w:fldCharType="separate"/>
          </w:r>
          <w:r>
            <w:t>1</w:t>
          </w:r>
          <w:r>
            <w:fldChar w:fldCharType="end"/>
          </w:r>
          <w:r>
            <w:fldChar w:fldCharType="end"/>
          </w:r>
        </w:p>
        <w:p>
          <w:pPr>
            <w:pStyle w:val="10"/>
            <w:tabs>
              <w:tab w:val="right" w:leader="dot" w:pos="8306"/>
              <w:tab w:val="clear" w:pos="8296"/>
            </w:tabs>
          </w:pPr>
          <w:r>
            <w:fldChar w:fldCharType="begin"/>
          </w:r>
          <w:r>
            <w:instrText xml:space="preserve"> HYPERLINK \l "_Toc21362" </w:instrText>
          </w:r>
          <w:r>
            <w:fldChar w:fldCharType="separate"/>
          </w:r>
          <w:r>
            <w:rPr>
              <w:rFonts w:hint="eastAsia" w:ascii="楷体_GB2312" w:hAnsi="仿宋" w:eastAsia="楷体_GB2312" w:cs="仿宋"/>
              <w:bCs/>
              <w:szCs w:val="32"/>
            </w:rPr>
            <w:t>（一）“十三五”发展现状</w:t>
          </w:r>
          <w:r>
            <w:tab/>
          </w:r>
          <w:r>
            <w:fldChar w:fldCharType="begin"/>
          </w:r>
          <w:r>
            <w:instrText xml:space="preserve"> PAGEREF _Toc21362 \h </w:instrText>
          </w:r>
          <w:r>
            <w:fldChar w:fldCharType="separate"/>
          </w:r>
          <w:r>
            <w:t>1</w:t>
          </w:r>
          <w:r>
            <w:fldChar w:fldCharType="end"/>
          </w:r>
          <w:r>
            <w:fldChar w:fldCharType="end"/>
          </w:r>
        </w:p>
        <w:p>
          <w:pPr>
            <w:pStyle w:val="10"/>
            <w:tabs>
              <w:tab w:val="right" w:leader="dot" w:pos="8306"/>
              <w:tab w:val="clear" w:pos="8296"/>
            </w:tabs>
          </w:pPr>
          <w:r>
            <w:fldChar w:fldCharType="begin"/>
          </w:r>
          <w:r>
            <w:instrText xml:space="preserve"> HYPERLINK \l "_Toc254" </w:instrText>
          </w:r>
          <w:r>
            <w:fldChar w:fldCharType="separate"/>
          </w:r>
          <w:r>
            <w:rPr>
              <w:rFonts w:hint="eastAsia" w:ascii="楷体_GB2312" w:hAnsi="仿宋" w:eastAsia="楷体_GB2312" w:cs="仿宋"/>
              <w:bCs/>
              <w:szCs w:val="32"/>
            </w:rPr>
            <w:t>（二）“十四五”面临的发展形势</w:t>
          </w:r>
          <w:r>
            <w:tab/>
          </w:r>
          <w:r>
            <w:fldChar w:fldCharType="begin"/>
          </w:r>
          <w:r>
            <w:instrText xml:space="preserve"> PAGEREF _Toc254 \h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"_Toc23767" </w:instrText>
          </w:r>
          <w:r>
            <w:fldChar w:fldCharType="separate"/>
          </w:r>
          <w:r>
            <w:rPr>
              <w:rFonts w:hint="eastAsia" w:ascii="黑体" w:hAnsi="黑体" w:eastAsia="黑体" w:cs="仿宋"/>
              <w:bCs/>
              <w:szCs w:val="32"/>
            </w:rPr>
            <w:t>二、总体要求</w:t>
          </w:r>
          <w:r>
            <w:tab/>
          </w:r>
          <w:r>
            <w:fldChar w:fldCharType="begin"/>
          </w:r>
          <w:r>
            <w:instrText xml:space="preserve"> PAGEREF _Toc23767 \h </w:instrText>
          </w:r>
          <w:r>
            <w:fldChar w:fldCharType="separate"/>
          </w:r>
          <w:r>
            <w:t>8</w:t>
          </w:r>
          <w:r>
            <w:fldChar w:fldCharType="end"/>
          </w:r>
          <w:r>
            <w:fldChar w:fldCharType="end"/>
          </w:r>
        </w:p>
        <w:p>
          <w:pPr>
            <w:pStyle w:val="10"/>
            <w:tabs>
              <w:tab w:val="right" w:leader="dot" w:pos="8306"/>
              <w:tab w:val="clear" w:pos="8296"/>
            </w:tabs>
          </w:pPr>
          <w:r>
            <w:fldChar w:fldCharType="begin"/>
          </w:r>
          <w:r>
            <w:instrText xml:space="preserve"> HYPERLINK \l "_Toc15104" </w:instrText>
          </w:r>
          <w:r>
            <w:fldChar w:fldCharType="separate"/>
          </w:r>
          <w:r>
            <w:rPr>
              <w:rFonts w:hint="eastAsia" w:ascii="楷体_GB2312" w:hAnsi="仿宋" w:eastAsia="楷体_GB2312" w:cs="仿宋"/>
              <w:bCs/>
              <w:szCs w:val="32"/>
            </w:rPr>
            <w:t>（一）指导思想</w:t>
          </w:r>
          <w:r>
            <w:tab/>
          </w:r>
          <w:r>
            <w:fldChar w:fldCharType="begin"/>
          </w:r>
          <w:r>
            <w:instrText xml:space="preserve"> PAGEREF _Toc15104 \h </w:instrText>
          </w:r>
          <w:r>
            <w:fldChar w:fldCharType="separate"/>
          </w:r>
          <w:r>
            <w:t>8</w:t>
          </w:r>
          <w:r>
            <w:fldChar w:fldCharType="end"/>
          </w:r>
          <w:r>
            <w:fldChar w:fldCharType="end"/>
          </w:r>
        </w:p>
        <w:p>
          <w:pPr>
            <w:pStyle w:val="10"/>
            <w:tabs>
              <w:tab w:val="right" w:leader="dot" w:pos="8306"/>
              <w:tab w:val="clear" w:pos="8296"/>
            </w:tabs>
          </w:pPr>
          <w:r>
            <w:fldChar w:fldCharType="begin"/>
          </w:r>
          <w:r>
            <w:instrText xml:space="preserve"> HYPERLINK \l "_Toc11733" </w:instrText>
          </w:r>
          <w:r>
            <w:fldChar w:fldCharType="separate"/>
          </w:r>
          <w:r>
            <w:rPr>
              <w:rFonts w:hint="eastAsia" w:ascii="楷体_GB2312" w:hAnsi="仿宋" w:eastAsia="楷体_GB2312" w:cs="仿宋"/>
              <w:bCs/>
              <w:szCs w:val="32"/>
            </w:rPr>
            <w:t>（二）基本原则</w:t>
          </w:r>
          <w:r>
            <w:tab/>
          </w:r>
          <w:r>
            <w:fldChar w:fldCharType="begin"/>
          </w:r>
          <w:r>
            <w:instrText xml:space="preserve"> PAGEREF _Toc11733 \h </w:instrText>
          </w:r>
          <w:r>
            <w:fldChar w:fldCharType="separate"/>
          </w:r>
          <w:r>
            <w:t>9</w:t>
          </w:r>
          <w:r>
            <w:fldChar w:fldCharType="end"/>
          </w:r>
          <w:r>
            <w:fldChar w:fldCharType="end"/>
          </w:r>
        </w:p>
        <w:p>
          <w:pPr>
            <w:pStyle w:val="10"/>
            <w:tabs>
              <w:tab w:val="right" w:leader="dot" w:pos="8306"/>
              <w:tab w:val="clear" w:pos="8296"/>
            </w:tabs>
          </w:pPr>
          <w:r>
            <w:fldChar w:fldCharType="begin"/>
          </w:r>
          <w:r>
            <w:instrText xml:space="preserve"> HYPERLINK \l "_Toc17945" </w:instrText>
          </w:r>
          <w:r>
            <w:fldChar w:fldCharType="separate"/>
          </w:r>
          <w:r>
            <w:rPr>
              <w:rFonts w:hint="eastAsia" w:ascii="楷体_GB2312" w:hAnsi="仿宋" w:eastAsia="楷体_GB2312" w:cs="仿宋"/>
              <w:bCs/>
              <w:szCs w:val="32"/>
            </w:rPr>
            <w:t>（三）发展定位</w:t>
          </w:r>
          <w:r>
            <w:tab/>
          </w:r>
          <w:r>
            <w:fldChar w:fldCharType="begin"/>
          </w:r>
          <w:r>
            <w:instrText xml:space="preserve"> PAGEREF _Toc17945 \h </w:instrText>
          </w:r>
          <w:r>
            <w:fldChar w:fldCharType="separate"/>
          </w:r>
          <w:r>
            <w:t>10</w:t>
          </w:r>
          <w:r>
            <w:fldChar w:fldCharType="end"/>
          </w:r>
          <w:r>
            <w:fldChar w:fldCharType="end"/>
          </w:r>
        </w:p>
        <w:p>
          <w:pPr>
            <w:pStyle w:val="10"/>
            <w:tabs>
              <w:tab w:val="right" w:leader="dot" w:pos="8306"/>
              <w:tab w:val="clear" w:pos="8296"/>
            </w:tabs>
          </w:pPr>
          <w:r>
            <w:fldChar w:fldCharType="begin"/>
          </w:r>
          <w:r>
            <w:instrText xml:space="preserve"> HYPERLINK \l "_Toc8431" </w:instrText>
          </w:r>
          <w:r>
            <w:fldChar w:fldCharType="separate"/>
          </w:r>
          <w:r>
            <w:rPr>
              <w:rFonts w:hint="eastAsia" w:ascii="楷体_GB2312" w:hAnsi="仿宋" w:eastAsia="楷体_GB2312" w:cs="仿宋"/>
              <w:bCs/>
              <w:szCs w:val="32"/>
            </w:rPr>
            <w:t>（四）发展目标</w:t>
          </w:r>
          <w:r>
            <w:tab/>
          </w:r>
          <w:r>
            <w:fldChar w:fldCharType="begin"/>
          </w:r>
          <w:r>
            <w:instrText xml:space="preserve"> PAGEREF _Toc8431 \h </w:instrText>
          </w:r>
          <w:r>
            <w:fldChar w:fldCharType="separate"/>
          </w:r>
          <w:r>
            <w:t>11</w:t>
          </w:r>
          <w:r>
            <w:fldChar w:fldCharType="end"/>
          </w:r>
          <w:r>
            <w:fldChar w:fldCharType="end"/>
          </w:r>
        </w:p>
        <w:p>
          <w:pPr>
            <w:pStyle w:val="9"/>
            <w:tabs>
              <w:tab w:val="right" w:leader="dot" w:pos="8306"/>
            </w:tabs>
          </w:pPr>
          <w:r>
            <w:fldChar w:fldCharType="begin"/>
          </w:r>
          <w:r>
            <w:instrText xml:space="preserve"> HYPERLINK \l "_Toc953" </w:instrText>
          </w:r>
          <w:r>
            <w:fldChar w:fldCharType="separate"/>
          </w:r>
          <w:r>
            <w:rPr>
              <w:rFonts w:hint="eastAsia" w:ascii="黑体" w:hAnsi="黑体" w:eastAsia="黑体" w:cs="仿宋"/>
              <w:bCs/>
              <w:szCs w:val="32"/>
            </w:rPr>
            <w:t>三、产业发展重点</w:t>
          </w:r>
          <w:r>
            <w:tab/>
          </w:r>
          <w:r>
            <w:fldChar w:fldCharType="begin"/>
          </w:r>
          <w:r>
            <w:instrText xml:space="preserve"> PAGEREF _Toc953 \h </w:instrText>
          </w:r>
          <w:r>
            <w:fldChar w:fldCharType="separate"/>
          </w:r>
          <w:r>
            <w:t>14</w:t>
          </w:r>
          <w:r>
            <w:fldChar w:fldCharType="end"/>
          </w:r>
          <w:r>
            <w:fldChar w:fldCharType="end"/>
          </w:r>
        </w:p>
        <w:p>
          <w:pPr>
            <w:pStyle w:val="10"/>
            <w:tabs>
              <w:tab w:val="right" w:leader="dot" w:pos="8306"/>
              <w:tab w:val="clear" w:pos="8296"/>
            </w:tabs>
          </w:pPr>
          <w:r>
            <w:fldChar w:fldCharType="begin"/>
          </w:r>
          <w:r>
            <w:instrText xml:space="preserve"> HYPERLINK \l "_Toc9964" </w:instrText>
          </w:r>
          <w:r>
            <w:fldChar w:fldCharType="separate"/>
          </w:r>
          <w:r>
            <w:rPr>
              <w:rFonts w:hint="eastAsia" w:ascii="楷体_GB2312" w:hAnsi="仿宋" w:eastAsia="楷体_GB2312" w:cs="仿宋"/>
              <w:bCs/>
              <w:szCs w:val="32"/>
            </w:rPr>
            <w:t>（一）做大做强战略性主导产业</w:t>
          </w:r>
          <w:r>
            <w:tab/>
          </w:r>
          <w:r>
            <w:fldChar w:fldCharType="begin"/>
          </w:r>
          <w:r>
            <w:instrText xml:space="preserve"> PAGEREF _Toc9964 \h </w:instrText>
          </w:r>
          <w:r>
            <w:fldChar w:fldCharType="separate"/>
          </w:r>
          <w:r>
            <w:t>14</w:t>
          </w:r>
          <w:r>
            <w:fldChar w:fldCharType="end"/>
          </w:r>
          <w:r>
            <w:fldChar w:fldCharType="end"/>
          </w:r>
        </w:p>
        <w:p>
          <w:pPr>
            <w:pStyle w:val="5"/>
            <w:tabs>
              <w:tab w:val="right" w:leader="dot" w:pos="8306"/>
            </w:tabs>
            <w:rPr>
              <w:sz w:val="24"/>
            </w:rPr>
          </w:pPr>
          <w:r>
            <w:fldChar w:fldCharType="begin"/>
          </w:r>
          <w:r>
            <w:instrText xml:space="preserve"> HYPERLINK \l "_Toc10832" </w:instrText>
          </w:r>
          <w:r>
            <w:fldChar w:fldCharType="separate"/>
          </w:r>
          <w:r>
            <w:rPr>
              <w:rFonts w:hint="eastAsia" w:ascii="仿宋_GB2312" w:hAnsi="仿宋" w:eastAsia="仿宋_GB2312" w:cs="仿宋"/>
              <w:sz w:val="24"/>
            </w:rPr>
            <w:t>1.电子信息产业</w:t>
          </w:r>
          <w:r>
            <w:rPr>
              <w:sz w:val="24"/>
            </w:rPr>
            <w:tab/>
          </w:r>
          <w:r>
            <w:rPr>
              <w:sz w:val="24"/>
            </w:rPr>
            <w:fldChar w:fldCharType="begin"/>
          </w:r>
          <w:r>
            <w:rPr>
              <w:sz w:val="24"/>
            </w:rPr>
            <w:instrText xml:space="preserve"> PAGEREF _Toc10832 \h </w:instrText>
          </w:r>
          <w:r>
            <w:rPr>
              <w:sz w:val="24"/>
            </w:rPr>
            <w:fldChar w:fldCharType="separate"/>
          </w:r>
          <w:r>
            <w:rPr>
              <w:sz w:val="24"/>
            </w:rPr>
            <w:t>14</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"_Toc10774" </w:instrText>
          </w:r>
          <w:r>
            <w:fldChar w:fldCharType="separate"/>
          </w:r>
          <w:r>
            <w:rPr>
              <w:rFonts w:hint="eastAsia" w:ascii="仿宋_GB2312" w:hAnsi="仿宋" w:eastAsia="仿宋_GB2312" w:cs="仿宋"/>
              <w:sz w:val="24"/>
            </w:rPr>
            <w:t>2.新能源汽车产业</w:t>
          </w:r>
          <w:r>
            <w:rPr>
              <w:sz w:val="24"/>
            </w:rPr>
            <w:tab/>
          </w:r>
          <w:r>
            <w:rPr>
              <w:sz w:val="24"/>
            </w:rPr>
            <w:fldChar w:fldCharType="begin"/>
          </w:r>
          <w:r>
            <w:rPr>
              <w:sz w:val="24"/>
            </w:rPr>
            <w:instrText xml:space="preserve"> PAGEREF _Toc10774 \h </w:instrText>
          </w:r>
          <w:r>
            <w:rPr>
              <w:sz w:val="24"/>
            </w:rPr>
            <w:fldChar w:fldCharType="separate"/>
          </w:r>
          <w:r>
            <w:rPr>
              <w:sz w:val="24"/>
            </w:rPr>
            <w:t>16</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"_Toc23072" </w:instrText>
          </w:r>
          <w:r>
            <w:fldChar w:fldCharType="separate"/>
          </w:r>
          <w:r>
            <w:rPr>
              <w:rFonts w:hint="eastAsia" w:ascii="仿宋_GB2312" w:hAnsi="仿宋" w:eastAsia="仿宋_GB2312" w:cs="仿宋"/>
              <w:sz w:val="24"/>
            </w:rPr>
            <w:t>3.海洋工程及装备制造产业</w:t>
          </w:r>
          <w:r>
            <w:rPr>
              <w:sz w:val="24"/>
            </w:rPr>
            <w:tab/>
          </w:r>
          <w:r>
            <w:rPr>
              <w:sz w:val="24"/>
            </w:rPr>
            <w:fldChar w:fldCharType="begin"/>
          </w:r>
          <w:r>
            <w:rPr>
              <w:sz w:val="24"/>
            </w:rPr>
            <w:instrText xml:space="preserve"> PAGEREF _Toc23072 \h </w:instrText>
          </w:r>
          <w:r>
            <w:rPr>
              <w:sz w:val="24"/>
            </w:rPr>
            <w:fldChar w:fldCharType="separate"/>
          </w:r>
          <w:r>
            <w:rPr>
              <w:sz w:val="24"/>
            </w:rPr>
            <w:t>17</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"_Toc5218" </w:instrText>
          </w:r>
          <w:r>
            <w:fldChar w:fldCharType="separate"/>
          </w:r>
          <w:r>
            <w:rPr>
              <w:rFonts w:hint="eastAsia" w:ascii="仿宋_GB2312" w:hAnsi="仿宋" w:eastAsia="仿宋_GB2312" w:cs="仿宋"/>
              <w:sz w:val="24"/>
            </w:rPr>
            <w:t>4.电力能源产业</w:t>
          </w:r>
          <w:r>
            <w:rPr>
              <w:sz w:val="24"/>
            </w:rPr>
            <w:tab/>
          </w:r>
          <w:r>
            <w:rPr>
              <w:sz w:val="24"/>
            </w:rPr>
            <w:fldChar w:fldCharType="begin"/>
          </w:r>
          <w:r>
            <w:rPr>
              <w:sz w:val="24"/>
            </w:rPr>
            <w:instrText xml:space="preserve"> PAGEREF _Toc5218 \h </w:instrText>
          </w:r>
          <w:r>
            <w:rPr>
              <w:sz w:val="24"/>
            </w:rPr>
            <w:fldChar w:fldCharType="separate"/>
          </w:r>
          <w:r>
            <w:rPr>
              <w:sz w:val="24"/>
            </w:rPr>
            <w:t>19</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"_Toc15666" </w:instrText>
          </w:r>
          <w:r>
            <w:fldChar w:fldCharType="separate"/>
          </w:r>
          <w:r>
            <w:rPr>
              <w:rFonts w:hint="eastAsia" w:ascii="楷体_GB2312" w:hAnsi="仿宋" w:eastAsia="楷体_GB2312" w:cs="仿宋"/>
              <w:bCs/>
              <w:szCs w:val="32"/>
            </w:rPr>
            <w:t>（二）加快培育战略性新兴产业</w:t>
          </w:r>
          <w:r>
            <w:tab/>
          </w:r>
          <w:r>
            <w:fldChar w:fldCharType="begin"/>
          </w:r>
          <w:r>
            <w:instrText xml:space="preserve"> PAGEREF _Toc15666 \h </w:instrText>
          </w:r>
          <w:r>
            <w:fldChar w:fldCharType="separate"/>
          </w:r>
          <w:r>
            <w:t>21</w:t>
          </w:r>
          <w:r>
            <w:fldChar w:fldCharType="end"/>
          </w:r>
          <w:r>
            <w:fldChar w:fldCharType="end"/>
          </w:r>
        </w:p>
        <w:p>
          <w:pPr>
            <w:pStyle w:val="5"/>
            <w:tabs>
              <w:tab w:val="right" w:leader="dot" w:pos="8306"/>
            </w:tabs>
            <w:rPr>
              <w:sz w:val="24"/>
            </w:rPr>
          </w:pPr>
          <w:r>
            <w:fldChar w:fldCharType="begin"/>
          </w:r>
          <w:r>
            <w:instrText xml:space="preserve"> HYPERLINK \l "_Toc22511" </w:instrText>
          </w:r>
          <w:r>
            <w:fldChar w:fldCharType="separate"/>
          </w:r>
          <w:r>
            <w:rPr>
              <w:rFonts w:ascii="仿宋_GB2312" w:hAnsi="仿宋" w:eastAsia="仿宋_GB2312" w:cs="仿宋"/>
              <w:sz w:val="24"/>
            </w:rPr>
            <w:t>1</w:t>
          </w:r>
          <w:r>
            <w:rPr>
              <w:rFonts w:hint="eastAsia" w:ascii="仿宋_GB2312" w:hAnsi="仿宋" w:eastAsia="仿宋_GB2312" w:cs="仿宋"/>
              <w:sz w:val="24"/>
            </w:rPr>
            <w:t>.数字经济核心产业</w:t>
          </w:r>
          <w:r>
            <w:rPr>
              <w:sz w:val="24"/>
            </w:rPr>
            <w:tab/>
          </w:r>
          <w:r>
            <w:rPr>
              <w:sz w:val="24"/>
            </w:rPr>
            <w:fldChar w:fldCharType="begin"/>
          </w:r>
          <w:r>
            <w:rPr>
              <w:sz w:val="24"/>
            </w:rPr>
            <w:instrText xml:space="preserve"> PAGEREF _Toc22511 \h </w:instrText>
          </w:r>
          <w:r>
            <w:rPr>
              <w:sz w:val="24"/>
            </w:rPr>
            <w:fldChar w:fldCharType="separate"/>
          </w:r>
          <w:r>
            <w:rPr>
              <w:sz w:val="24"/>
            </w:rPr>
            <w:t>21</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"_Toc13407" </w:instrText>
          </w:r>
          <w:r>
            <w:fldChar w:fldCharType="separate"/>
          </w:r>
          <w:r>
            <w:rPr>
              <w:rFonts w:ascii="仿宋_GB2312" w:hAnsi="仿宋" w:eastAsia="仿宋_GB2312" w:cs="仿宋"/>
              <w:sz w:val="24"/>
            </w:rPr>
            <w:t>2</w:t>
          </w:r>
          <w:r>
            <w:rPr>
              <w:rFonts w:hint="eastAsia" w:ascii="仿宋_GB2312" w:hAnsi="仿宋" w:eastAsia="仿宋_GB2312" w:cs="仿宋"/>
              <w:sz w:val="24"/>
            </w:rPr>
            <w:t>.绿色石化产业</w:t>
          </w:r>
          <w:r>
            <w:rPr>
              <w:sz w:val="24"/>
            </w:rPr>
            <w:tab/>
          </w:r>
          <w:r>
            <w:rPr>
              <w:sz w:val="24"/>
            </w:rPr>
            <w:fldChar w:fldCharType="begin"/>
          </w:r>
          <w:r>
            <w:rPr>
              <w:sz w:val="24"/>
            </w:rPr>
            <w:instrText xml:space="preserve"> PAGEREF _Toc13407 \h </w:instrText>
          </w:r>
          <w:r>
            <w:rPr>
              <w:sz w:val="24"/>
            </w:rPr>
            <w:fldChar w:fldCharType="separate"/>
          </w:r>
          <w:r>
            <w:rPr>
              <w:sz w:val="24"/>
            </w:rPr>
            <w:t>23</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"_Toc5255" </w:instrText>
          </w:r>
          <w:r>
            <w:fldChar w:fldCharType="separate"/>
          </w:r>
          <w:r>
            <w:rPr>
              <w:rFonts w:hint="eastAsia" w:ascii="仿宋_GB2312" w:hAnsi="仿宋" w:eastAsia="仿宋_GB2312" w:cs="仿宋"/>
              <w:sz w:val="24"/>
            </w:rPr>
            <w:t>3.海洋生物产业</w:t>
          </w:r>
          <w:r>
            <w:rPr>
              <w:sz w:val="24"/>
            </w:rPr>
            <w:tab/>
          </w:r>
          <w:r>
            <w:rPr>
              <w:sz w:val="24"/>
            </w:rPr>
            <w:fldChar w:fldCharType="begin"/>
          </w:r>
          <w:r>
            <w:rPr>
              <w:sz w:val="24"/>
            </w:rPr>
            <w:instrText xml:space="preserve"> PAGEREF _Toc5255 \h </w:instrText>
          </w:r>
          <w:r>
            <w:rPr>
              <w:sz w:val="24"/>
            </w:rPr>
            <w:fldChar w:fldCharType="separate"/>
          </w:r>
          <w:r>
            <w:rPr>
              <w:sz w:val="24"/>
            </w:rPr>
            <w:t>24</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"_Toc24919" </w:instrText>
          </w:r>
          <w:r>
            <w:fldChar w:fldCharType="separate"/>
          </w:r>
          <w:r>
            <w:rPr>
              <w:rFonts w:ascii="仿宋_GB2312" w:hAnsi="仿宋" w:eastAsia="仿宋_GB2312" w:cs="仿宋"/>
              <w:sz w:val="24"/>
            </w:rPr>
            <w:t>4</w:t>
          </w:r>
          <w:r>
            <w:rPr>
              <w:rFonts w:hint="eastAsia" w:ascii="仿宋_GB2312" w:hAnsi="仿宋" w:eastAsia="仿宋_GB2312" w:cs="仿宋"/>
              <w:sz w:val="24"/>
            </w:rPr>
            <w:t>.新材料产业</w:t>
          </w:r>
          <w:r>
            <w:rPr>
              <w:sz w:val="24"/>
            </w:rPr>
            <w:tab/>
          </w:r>
          <w:r>
            <w:rPr>
              <w:sz w:val="24"/>
            </w:rPr>
            <w:fldChar w:fldCharType="begin"/>
          </w:r>
          <w:r>
            <w:rPr>
              <w:sz w:val="24"/>
            </w:rPr>
            <w:instrText xml:space="preserve"> PAGEREF _Toc24919 \h </w:instrText>
          </w:r>
          <w:r>
            <w:rPr>
              <w:sz w:val="24"/>
            </w:rPr>
            <w:fldChar w:fldCharType="separate"/>
          </w:r>
          <w:r>
            <w:rPr>
              <w:sz w:val="24"/>
            </w:rPr>
            <w:t>25</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"_Toc2557" </w:instrText>
          </w:r>
          <w:r>
            <w:fldChar w:fldCharType="separate"/>
          </w:r>
          <w:r>
            <w:rPr>
              <w:rFonts w:hint="eastAsia" w:ascii="楷体_GB2312" w:hAnsi="仿宋" w:eastAsia="楷体_GB2312" w:cs="仿宋"/>
              <w:bCs/>
              <w:szCs w:val="32"/>
            </w:rPr>
            <w:t>（三）巩固提升优势传统产业</w:t>
          </w:r>
          <w:r>
            <w:tab/>
          </w:r>
          <w:r>
            <w:fldChar w:fldCharType="begin"/>
          </w:r>
          <w:r>
            <w:instrText xml:space="preserve"> PAGEREF _Toc2557 \h </w:instrText>
          </w:r>
          <w:r>
            <w:fldChar w:fldCharType="separate"/>
          </w:r>
          <w:r>
            <w:t>26</w:t>
          </w:r>
          <w:r>
            <w:fldChar w:fldCharType="end"/>
          </w:r>
          <w:r>
            <w:fldChar w:fldCharType="end"/>
          </w:r>
        </w:p>
        <w:p>
          <w:pPr>
            <w:pStyle w:val="5"/>
            <w:tabs>
              <w:tab w:val="right" w:leader="dot" w:pos="8306"/>
            </w:tabs>
            <w:rPr>
              <w:sz w:val="24"/>
            </w:rPr>
          </w:pPr>
          <w:r>
            <w:fldChar w:fldCharType="begin"/>
          </w:r>
          <w:r>
            <w:instrText xml:space="preserve"> HYPERLINK \l "_Toc7676" </w:instrText>
          </w:r>
          <w:r>
            <w:fldChar w:fldCharType="separate"/>
          </w:r>
          <w:r>
            <w:rPr>
              <w:rFonts w:ascii="仿宋_GB2312" w:hAnsi="仿宋" w:eastAsia="仿宋_GB2312" w:cs="仿宋"/>
              <w:sz w:val="24"/>
            </w:rPr>
            <w:t>1.</w:t>
          </w:r>
          <w:r>
            <w:rPr>
              <w:rFonts w:hint="eastAsia" w:ascii="仿宋_GB2312" w:hAnsi="仿宋" w:eastAsia="仿宋_GB2312" w:cs="仿宋"/>
              <w:sz w:val="24"/>
            </w:rPr>
            <w:t>现代农业与食品加工产业</w:t>
          </w:r>
          <w:r>
            <w:rPr>
              <w:sz w:val="24"/>
            </w:rPr>
            <w:tab/>
          </w:r>
          <w:r>
            <w:rPr>
              <w:sz w:val="24"/>
            </w:rPr>
            <w:fldChar w:fldCharType="begin"/>
          </w:r>
          <w:r>
            <w:rPr>
              <w:sz w:val="24"/>
            </w:rPr>
            <w:instrText xml:space="preserve"> PAGEREF _Toc7676 \h </w:instrText>
          </w:r>
          <w:r>
            <w:rPr>
              <w:sz w:val="24"/>
            </w:rPr>
            <w:fldChar w:fldCharType="separate"/>
          </w:r>
          <w:r>
            <w:rPr>
              <w:sz w:val="24"/>
            </w:rPr>
            <w:t>26</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"_Toc18074" </w:instrText>
          </w:r>
          <w:r>
            <w:fldChar w:fldCharType="separate"/>
          </w:r>
          <w:r>
            <w:rPr>
              <w:rFonts w:ascii="仿宋_GB2312" w:hAnsi="仿宋" w:eastAsia="仿宋_GB2312" w:cs="仿宋"/>
              <w:sz w:val="24"/>
            </w:rPr>
            <w:t>2</w:t>
          </w:r>
          <w:r>
            <w:rPr>
              <w:rFonts w:hint="eastAsia" w:ascii="仿宋_GB2312" w:hAnsi="仿宋" w:eastAsia="仿宋_GB2312" w:cs="仿宋"/>
              <w:sz w:val="24"/>
            </w:rPr>
            <w:t>.纺织服装产业</w:t>
          </w:r>
          <w:r>
            <w:rPr>
              <w:sz w:val="24"/>
            </w:rPr>
            <w:tab/>
          </w:r>
          <w:r>
            <w:rPr>
              <w:sz w:val="24"/>
            </w:rPr>
            <w:fldChar w:fldCharType="begin"/>
          </w:r>
          <w:r>
            <w:rPr>
              <w:sz w:val="24"/>
            </w:rPr>
            <w:instrText xml:space="preserve"> PAGEREF _Toc18074 \h </w:instrText>
          </w:r>
          <w:r>
            <w:rPr>
              <w:sz w:val="24"/>
            </w:rPr>
            <w:fldChar w:fldCharType="separate"/>
          </w:r>
          <w:r>
            <w:rPr>
              <w:sz w:val="24"/>
            </w:rPr>
            <w:t>28</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"_Toc13208" </w:instrText>
          </w:r>
          <w:r>
            <w:fldChar w:fldCharType="separate"/>
          </w:r>
          <w:r>
            <w:rPr>
              <w:rFonts w:ascii="仿宋_GB2312" w:hAnsi="仿宋" w:eastAsia="仿宋_GB2312" w:cs="仿宋"/>
              <w:sz w:val="24"/>
            </w:rPr>
            <w:t>3</w:t>
          </w:r>
          <w:r>
            <w:rPr>
              <w:rFonts w:hint="eastAsia" w:ascii="仿宋_GB2312" w:hAnsi="仿宋" w:eastAsia="仿宋_GB2312" w:cs="仿宋"/>
              <w:sz w:val="24"/>
            </w:rPr>
            <w:t>.金银珠宝首饰与美妆产业</w:t>
          </w:r>
          <w:r>
            <w:rPr>
              <w:sz w:val="24"/>
            </w:rPr>
            <w:tab/>
          </w:r>
          <w:r>
            <w:rPr>
              <w:sz w:val="24"/>
            </w:rPr>
            <w:fldChar w:fldCharType="begin"/>
          </w:r>
          <w:r>
            <w:rPr>
              <w:sz w:val="24"/>
            </w:rPr>
            <w:instrText xml:space="preserve"> PAGEREF _Toc13208 \h </w:instrText>
          </w:r>
          <w:r>
            <w:rPr>
              <w:sz w:val="24"/>
            </w:rPr>
            <w:fldChar w:fldCharType="separate"/>
          </w:r>
          <w:r>
            <w:rPr>
              <w:sz w:val="24"/>
            </w:rPr>
            <w:t>29</w:t>
          </w:r>
          <w:r>
            <w:rPr>
              <w:sz w:val="24"/>
            </w:rPr>
            <w:fldChar w:fldCharType="end"/>
          </w:r>
          <w:r>
            <w:rPr>
              <w:sz w:val="24"/>
            </w:rPr>
            <w:fldChar w:fldCharType="end"/>
          </w:r>
        </w:p>
        <w:p>
          <w:pPr>
            <w:pStyle w:val="9"/>
            <w:tabs>
              <w:tab w:val="right" w:leader="dot" w:pos="8306"/>
            </w:tabs>
          </w:pPr>
          <w:r>
            <w:fldChar w:fldCharType="begin"/>
          </w:r>
          <w:r>
            <w:instrText xml:space="preserve"> HYPERLINK \l "_Toc14856" </w:instrText>
          </w:r>
          <w:r>
            <w:fldChar w:fldCharType="separate"/>
          </w:r>
          <w:r>
            <w:rPr>
              <w:rFonts w:hint="eastAsia" w:ascii="黑体" w:hAnsi="黑体" w:eastAsia="黑体" w:cs="仿宋"/>
              <w:bCs/>
              <w:szCs w:val="32"/>
            </w:rPr>
            <w:t>四、主要任务</w:t>
          </w:r>
          <w:r>
            <w:tab/>
          </w:r>
          <w:r>
            <w:fldChar w:fldCharType="begin"/>
          </w:r>
          <w:r>
            <w:instrText xml:space="preserve"> PAGEREF _Toc14856 \h </w:instrText>
          </w:r>
          <w:r>
            <w:fldChar w:fldCharType="separate"/>
          </w:r>
          <w:r>
            <w:t>31</w:t>
          </w:r>
          <w:r>
            <w:fldChar w:fldCharType="end"/>
          </w:r>
          <w:r>
            <w:fldChar w:fldCharType="end"/>
          </w:r>
        </w:p>
        <w:p>
          <w:pPr>
            <w:pStyle w:val="10"/>
            <w:tabs>
              <w:tab w:val="right" w:leader="dot" w:pos="8306"/>
              <w:tab w:val="clear" w:pos="8296"/>
            </w:tabs>
          </w:pPr>
          <w:r>
            <w:fldChar w:fldCharType="begin"/>
          </w:r>
          <w:r>
            <w:instrText xml:space="preserve"> HYPERLINK \l "_Toc30895" </w:instrText>
          </w:r>
          <w:r>
            <w:fldChar w:fldCharType="separate"/>
          </w:r>
          <w:r>
            <w:rPr>
              <w:rFonts w:hint="eastAsia" w:ascii="楷体_GB2312" w:hAnsi="仿宋" w:eastAsia="楷体_GB2312" w:cs="仿宋"/>
              <w:bCs/>
              <w:szCs w:val="32"/>
            </w:rPr>
            <w:t>（一）统筹优化产业布局，构建制造业高质量发展新格局</w:t>
          </w:r>
          <w:r>
            <w:tab/>
          </w:r>
          <w:r>
            <w:fldChar w:fldCharType="begin"/>
          </w:r>
          <w:r>
            <w:instrText xml:space="preserve"> PAGEREF _Toc30895 \h </w:instrText>
          </w:r>
          <w:r>
            <w:fldChar w:fldCharType="separate"/>
          </w:r>
          <w:r>
            <w:t>31</w:t>
          </w:r>
          <w:r>
            <w:fldChar w:fldCharType="end"/>
          </w:r>
          <w:r>
            <w:fldChar w:fldCharType="end"/>
          </w:r>
        </w:p>
        <w:p>
          <w:pPr>
            <w:pStyle w:val="5"/>
            <w:tabs>
              <w:tab w:val="right" w:leader="dot" w:pos="8306"/>
            </w:tabs>
            <w:rPr>
              <w:sz w:val="24"/>
            </w:rPr>
          </w:pPr>
          <w:r>
            <w:fldChar w:fldCharType="begin"/>
          </w:r>
          <w:r>
            <w:instrText xml:space="preserve"> HYPERLINK \l "_Toc22600" </w:instrText>
          </w:r>
          <w:r>
            <w:fldChar w:fldCharType="separate"/>
          </w:r>
          <w:r>
            <w:rPr>
              <w:rFonts w:hint="eastAsia" w:ascii="仿宋_GB2312" w:hAnsi="仿宋" w:eastAsia="仿宋_GB2312" w:cs="仿宋"/>
              <w:sz w:val="24"/>
            </w:rPr>
            <w:t>1.全力做大做强汕尾高新区红草片区“一核”</w:t>
          </w:r>
          <w:r>
            <w:rPr>
              <w:sz w:val="24"/>
            </w:rPr>
            <w:tab/>
          </w:r>
          <w:r>
            <w:rPr>
              <w:sz w:val="24"/>
            </w:rPr>
            <w:fldChar w:fldCharType="begin"/>
          </w:r>
          <w:r>
            <w:rPr>
              <w:sz w:val="24"/>
            </w:rPr>
            <w:instrText xml:space="preserve"> PAGEREF _Toc22600 \h </w:instrText>
          </w:r>
          <w:r>
            <w:rPr>
              <w:sz w:val="24"/>
            </w:rPr>
            <w:fldChar w:fldCharType="separate"/>
          </w:r>
          <w:r>
            <w:rPr>
              <w:sz w:val="24"/>
            </w:rPr>
            <w:t>32</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"_Toc29311" </w:instrText>
          </w:r>
          <w:r>
            <w:fldChar w:fldCharType="separate"/>
          </w:r>
          <w:r>
            <w:rPr>
              <w:rFonts w:hint="eastAsia" w:ascii="仿宋_GB2312" w:hAnsi="仿宋" w:eastAsia="仿宋_GB2312" w:cs="仿宋"/>
              <w:sz w:val="24"/>
            </w:rPr>
            <w:t>2.打造深汕特别合作区拓展区和陆丰海工装备基地“两翼”</w:t>
          </w:r>
          <w:r>
            <w:rPr>
              <w:sz w:val="24"/>
            </w:rPr>
            <w:tab/>
          </w:r>
          <w:r>
            <w:rPr>
              <w:sz w:val="24"/>
            </w:rPr>
            <w:fldChar w:fldCharType="begin"/>
          </w:r>
          <w:r>
            <w:rPr>
              <w:sz w:val="24"/>
            </w:rPr>
            <w:instrText xml:space="preserve"> PAGEREF _Toc29311 \h </w:instrText>
          </w:r>
          <w:r>
            <w:rPr>
              <w:sz w:val="24"/>
            </w:rPr>
            <w:fldChar w:fldCharType="separate"/>
          </w:r>
          <w:r>
            <w:rPr>
              <w:sz w:val="24"/>
            </w:rPr>
            <w:t>32</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"_Toc5570" </w:instrText>
          </w:r>
          <w:r>
            <w:fldChar w:fldCharType="separate"/>
          </w:r>
          <w:r>
            <w:rPr>
              <w:rFonts w:hint="eastAsia" w:ascii="仿宋_GB2312" w:hAnsi="仿宋" w:eastAsia="仿宋_GB2312" w:cs="仿宋"/>
              <w:sz w:val="24"/>
            </w:rPr>
            <w:t>3.构建南部、中部和北部三个制造业发展带</w:t>
          </w:r>
          <w:r>
            <w:rPr>
              <w:sz w:val="24"/>
            </w:rPr>
            <w:tab/>
          </w:r>
          <w:r>
            <w:rPr>
              <w:sz w:val="24"/>
            </w:rPr>
            <w:fldChar w:fldCharType="begin"/>
          </w:r>
          <w:r>
            <w:rPr>
              <w:sz w:val="24"/>
            </w:rPr>
            <w:instrText xml:space="preserve"> PAGEREF _Toc5570 \h </w:instrText>
          </w:r>
          <w:r>
            <w:rPr>
              <w:sz w:val="24"/>
            </w:rPr>
            <w:fldChar w:fldCharType="separate"/>
          </w:r>
          <w:r>
            <w:rPr>
              <w:sz w:val="24"/>
            </w:rPr>
            <w:t>34</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"_Toc16241" </w:instrText>
          </w:r>
          <w:r>
            <w:fldChar w:fldCharType="separate"/>
          </w:r>
          <w:r>
            <w:rPr>
              <w:rFonts w:hint="eastAsia" w:ascii="楷体_GB2312" w:hAnsi="仿宋" w:eastAsia="楷体_GB2312" w:cs="仿宋"/>
              <w:bCs/>
              <w:szCs w:val="32"/>
            </w:rPr>
            <w:t>（二）推动产业基础高级化，建设具有竞争力的产业集群和企业集群</w:t>
          </w:r>
          <w:r>
            <w:tab/>
          </w:r>
          <w:r>
            <w:fldChar w:fldCharType="begin"/>
          </w:r>
          <w:r>
            <w:instrText xml:space="preserve"> PAGEREF _Toc16241 \h </w:instrText>
          </w:r>
          <w:r>
            <w:fldChar w:fldCharType="separate"/>
          </w:r>
          <w:r>
            <w:t>37</w:t>
          </w:r>
          <w:r>
            <w:fldChar w:fldCharType="end"/>
          </w:r>
          <w:r>
            <w:fldChar w:fldCharType="end"/>
          </w:r>
        </w:p>
        <w:p>
          <w:pPr>
            <w:pStyle w:val="5"/>
            <w:tabs>
              <w:tab w:val="right" w:leader="dot" w:pos="8306"/>
            </w:tabs>
            <w:rPr>
              <w:sz w:val="24"/>
            </w:rPr>
          </w:pPr>
          <w:r>
            <w:fldChar w:fldCharType="begin"/>
          </w:r>
          <w:r>
            <w:instrText xml:space="preserve"> HYPERLINK \l "_Toc3184" </w:instrText>
          </w:r>
          <w:r>
            <w:fldChar w:fldCharType="separate"/>
          </w:r>
          <w:r>
            <w:rPr>
              <w:rFonts w:hint="eastAsia" w:ascii="仿宋_GB2312" w:hAnsi="仿宋" w:eastAsia="仿宋_GB2312" w:cs="仿宋"/>
              <w:sz w:val="24"/>
            </w:rPr>
            <w:t>1.推动产业基础高级化</w:t>
          </w:r>
          <w:r>
            <w:rPr>
              <w:sz w:val="24"/>
            </w:rPr>
            <w:tab/>
          </w:r>
          <w:r>
            <w:rPr>
              <w:sz w:val="24"/>
            </w:rPr>
            <w:fldChar w:fldCharType="begin"/>
          </w:r>
          <w:r>
            <w:rPr>
              <w:sz w:val="24"/>
            </w:rPr>
            <w:instrText xml:space="preserve"> PAGEREF _Toc3184 \h </w:instrText>
          </w:r>
          <w:r>
            <w:rPr>
              <w:sz w:val="24"/>
            </w:rPr>
            <w:fldChar w:fldCharType="separate"/>
          </w:r>
          <w:r>
            <w:rPr>
              <w:sz w:val="24"/>
            </w:rPr>
            <w:t>37</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"_Toc31229" </w:instrText>
          </w:r>
          <w:r>
            <w:fldChar w:fldCharType="separate"/>
          </w:r>
          <w:r>
            <w:rPr>
              <w:rFonts w:hint="eastAsia" w:ascii="仿宋_GB2312" w:hAnsi="仿宋" w:eastAsia="仿宋_GB2312" w:cs="仿宋"/>
              <w:sz w:val="24"/>
            </w:rPr>
            <w:t>2.培育战略性产业集群</w:t>
          </w:r>
          <w:r>
            <w:rPr>
              <w:sz w:val="24"/>
            </w:rPr>
            <w:tab/>
          </w:r>
          <w:r>
            <w:rPr>
              <w:sz w:val="24"/>
            </w:rPr>
            <w:fldChar w:fldCharType="begin"/>
          </w:r>
          <w:r>
            <w:rPr>
              <w:sz w:val="24"/>
            </w:rPr>
            <w:instrText xml:space="preserve"> PAGEREF _Toc31229 \h </w:instrText>
          </w:r>
          <w:r>
            <w:rPr>
              <w:sz w:val="24"/>
            </w:rPr>
            <w:fldChar w:fldCharType="separate"/>
          </w:r>
          <w:r>
            <w:rPr>
              <w:sz w:val="24"/>
            </w:rPr>
            <w:t>37</w:t>
          </w:r>
          <w:r>
            <w:rPr>
              <w:sz w:val="24"/>
            </w:rPr>
            <w:fldChar w:fldCharType="end"/>
          </w:r>
          <w:r>
            <w:rPr>
              <w:sz w:val="24"/>
            </w:rPr>
            <w:fldChar w:fldCharType="end"/>
          </w:r>
        </w:p>
        <w:p>
          <w:pPr>
            <w:pStyle w:val="5"/>
            <w:tabs>
              <w:tab w:val="right" w:leader="dot" w:pos="8306"/>
            </w:tabs>
          </w:pPr>
          <w:r>
            <w:fldChar w:fldCharType="begin"/>
          </w:r>
          <w:r>
            <w:instrText xml:space="preserve"> HYPERLINK \l "_Toc23466" </w:instrText>
          </w:r>
          <w:r>
            <w:fldChar w:fldCharType="separate"/>
          </w:r>
          <w:r>
            <w:rPr>
              <w:rFonts w:hint="eastAsia" w:ascii="仿宋_GB2312" w:hAnsi="仿宋" w:eastAsia="仿宋_GB2312" w:cs="仿宋"/>
              <w:sz w:val="24"/>
            </w:rPr>
            <w:t>3.壮大制造企业集群</w:t>
          </w:r>
          <w:r>
            <w:rPr>
              <w:sz w:val="24"/>
            </w:rPr>
            <w:tab/>
          </w:r>
          <w:r>
            <w:rPr>
              <w:sz w:val="24"/>
            </w:rPr>
            <w:fldChar w:fldCharType="begin"/>
          </w:r>
          <w:r>
            <w:rPr>
              <w:sz w:val="24"/>
            </w:rPr>
            <w:instrText xml:space="preserve"> PAGEREF _Toc23466 \h </w:instrText>
          </w:r>
          <w:r>
            <w:rPr>
              <w:sz w:val="24"/>
            </w:rPr>
            <w:fldChar w:fldCharType="separate"/>
          </w:r>
          <w:r>
            <w:rPr>
              <w:sz w:val="24"/>
            </w:rPr>
            <w:t>38</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"_Toc32726" </w:instrText>
          </w:r>
          <w:r>
            <w:fldChar w:fldCharType="separate"/>
          </w:r>
          <w:r>
            <w:rPr>
              <w:rFonts w:hint="eastAsia" w:ascii="楷体_GB2312" w:hAnsi="仿宋" w:eastAsia="楷体_GB2312" w:cs="仿宋"/>
              <w:bCs/>
              <w:szCs w:val="32"/>
            </w:rPr>
            <w:t>（三）加快关键核心技术攻关和成果转化，提升制造业创新能力</w:t>
          </w:r>
          <w:r>
            <w:tab/>
          </w:r>
          <w:r>
            <w:fldChar w:fldCharType="begin"/>
          </w:r>
          <w:r>
            <w:instrText xml:space="preserve"> PAGEREF _Toc32726 \h </w:instrText>
          </w:r>
          <w:r>
            <w:fldChar w:fldCharType="separate"/>
          </w:r>
          <w:r>
            <w:t>38</w:t>
          </w:r>
          <w:r>
            <w:fldChar w:fldCharType="end"/>
          </w:r>
          <w:r>
            <w:fldChar w:fldCharType="end"/>
          </w:r>
        </w:p>
        <w:p>
          <w:pPr>
            <w:pStyle w:val="5"/>
            <w:tabs>
              <w:tab w:val="right" w:leader="dot" w:pos="8306"/>
            </w:tabs>
            <w:rPr>
              <w:sz w:val="24"/>
            </w:rPr>
          </w:pPr>
          <w:r>
            <w:fldChar w:fldCharType="begin"/>
          </w:r>
          <w:r>
            <w:instrText xml:space="preserve"> HYPERLINK \l "_Toc7977" </w:instrText>
          </w:r>
          <w:r>
            <w:fldChar w:fldCharType="separate"/>
          </w:r>
          <w:r>
            <w:rPr>
              <w:rFonts w:hint="eastAsia" w:ascii="仿宋_GB2312" w:hAnsi="仿宋" w:eastAsia="仿宋_GB2312" w:cs="仿宋"/>
              <w:sz w:val="24"/>
            </w:rPr>
            <w:t>1.切实加强关键核心技术攻关</w:t>
          </w:r>
          <w:r>
            <w:rPr>
              <w:sz w:val="24"/>
            </w:rPr>
            <w:tab/>
          </w:r>
          <w:r>
            <w:rPr>
              <w:sz w:val="24"/>
            </w:rPr>
            <w:fldChar w:fldCharType="begin"/>
          </w:r>
          <w:r>
            <w:rPr>
              <w:sz w:val="24"/>
            </w:rPr>
            <w:instrText xml:space="preserve"> PAGEREF _Toc7977 \h </w:instrText>
          </w:r>
          <w:r>
            <w:rPr>
              <w:sz w:val="24"/>
            </w:rPr>
            <w:fldChar w:fldCharType="separate"/>
          </w:r>
          <w:r>
            <w:rPr>
              <w:sz w:val="24"/>
            </w:rPr>
            <w:t>39</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"_Toc10075" </w:instrText>
          </w:r>
          <w:r>
            <w:fldChar w:fldCharType="separate"/>
          </w:r>
          <w:r>
            <w:rPr>
              <w:rFonts w:hint="eastAsia" w:ascii="仿宋_GB2312" w:hAnsi="仿宋" w:eastAsia="仿宋_GB2312" w:cs="仿宋"/>
              <w:sz w:val="24"/>
            </w:rPr>
            <w:t>2.构建制造业协同创新体系</w:t>
          </w:r>
          <w:r>
            <w:rPr>
              <w:sz w:val="24"/>
            </w:rPr>
            <w:tab/>
          </w:r>
          <w:r>
            <w:rPr>
              <w:sz w:val="24"/>
            </w:rPr>
            <w:fldChar w:fldCharType="begin"/>
          </w:r>
          <w:r>
            <w:rPr>
              <w:sz w:val="24"/>
            </w:rPr>
            <w:instrText xml:space="preserve"> PAGEREF _Toc10075 \h </w:instrText>
          </w:r>
          <w:r>
            <w:rPr>
              <w:sz w:val="24"/>
            </w:rPr>
            <w:fldChar w:fldCharType="separate"/>
          </w:r>
          <w:r>
            <w:rPr>
              <w:sz w:val="24"/>
            </w:rPr>
            <w:t>39</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"_Toc32561" </w:instrText>
          </w:r>
          <w:r>
            <w:fldChar w:fldCharType="separate"/>
          </w:r>
          <w:r>
            <w:rPr>
              <w:rFonts w:hint="eastAsia" w:ascii="仿宋_GB2312" w:hAnsi="仿宋" w:eastAsia="仿宋_GB2312" w:cs="仿宋"/>
              <w:sz w:val="24"/>
            </w:rPr>
            <w:t>3.促进大湾区科技成果加速在汕尾转移转化</w:t>
          </w:r>
          <w:r>
            <w:rPr>
              <w:sz w:val="24"/>
            </w:rPr>
            <w:tab/>
          </w:r>
          <w:r>
            <w:rPr>
              <w:sz w:val="24"/>
            </w:rPr>
            <w:fldChar w:fldCharType="begin"/>
          </w:r>
          <w:r>
            <w:rPr>
              <w:sz w:val="24"/>
            </w:rPr>
            <w:instrText xml:space="preserve"> PAGEREF _Toc32561 \h </w:instrText>
          </w:r>
          <w:r>
            <w:rPr>
              <w:sz w:val="24"/>
            </w:rPr>
            <w:fldChar w:fldCharType="separate"/>
          </w:r>
          <w:r>
            <w:rPr>
              <w:sz w:val="24"/>
            </w:rPr>
            <w:t>40</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"_Toc32156" </w:instrText>
          </w:r>
          <w:r>
            <w:fldChar w:fldCharType="separate"/>
          </w:r>
          <w:r>
            <w:rPr>
              <w:rFonts w:hint="eastAsia" w:ascii="楷体_GB2312" w:hAnsi="仿宋" w:eastAsia="楷体_GB2312" w:cs="仿宋"/>
              <w:bCs/>
              <w:szCs w:val="32"/>
            </w:rPr>
            <w:t>（四）促进产业链现代化，打造融入“双区”的先进制造业基地</w:t>
          </w:r>
          <w:r>
            <w:tab/>
          </w:r>
          <w:r>
            <w:fldChar w:fldCharType="begin"/>
          </w:r>
          <w:r>
            <w:instrText xml:space="preserve"> PAGEREF _Toc32156 \h </w:instrText>
          </w:r>
          <w:r>
            <w:fldChar w:fldCharType="separate"/>
          </w:r>
          <w:r>
            <w:t>41</w:t>
          </w:r>
          <w:r>
            <w:fldChar w:fldCharType="end"/>
          </w:r>
          <w:r>
            <w:fldChar w:fldCharType="end"/>
          </w:r>
        </w:p>
        <w:p>
          <w:pPr>
            <w:pStyle w:val="5"/>
            <w:tabs>
              <w:tab w:val="right" w:leader="dot" w:pos="8306"/>
            </w:tabs>
            <w:rPr>
              <w:sz w:val="24"/>
            </w:rPr>
          </w:pPr>
          <w:r>
            <w:fldChar w:fldCharType="begin"/>
          </w:r>
          <w:r>
            <w:instrText xml:space="preserve"> HYPERLINK \l "_Toc11014" </w:instrText>
          </w:r>
          <w:r>
            <w:fldChar w:fldCharType="separate"/>
          </w:r>
          <w:r>
            <w:rPr>
              <w:rFonts w:hint="eastAsia" w:ascii="仿宋_GB2312" w:hAnsi="仿宋" w:eastAsia="仿宋_GB2312" w:cs="仿宋"/>
              <w:sz w:val="24"/>
            </w:rPr>
            <w:t>1.建立安全高效的产业链供应链</w:t>
          </w:r>
          <w:r>
            <w:rPr>
              <w:sz w:val="24"/>
            </w:rPr>
            <w:tab/>
          </w:r>
          <w:r>
            <w:rPr>
              <w:sz w:val="24"/>
            </w:rPr>
            <w:fldChar w:fldCharType="begin"/>
          </w:r>
          <w:r>
            <w:rPr>
              <w:sz w:val="24"/>
            </w:rPr>
            <w:instrText xml:space="preserve"> PAGEREF _Toc11014 \h </w:instrText>
          </w:r>
          <w:r>
            <w:rPr>
              <w:sz w:val="24"/>
            </w:rPr>
            <w:fldChar w:fldCharType="separate"/>
          </w:r>
          <w:r>
            <w:rPr>
              <w:sz w:val="24"/>
            </w:rPr>
            <w:t>41</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"_Toc14707" </w:instrText>
          </w:r>
          <w:r>
            <w:fldChar w:fldCharType="separate"/>
          </w:r>
          <w:r>
            <w:rPr>
              <w:rFonts w:hint="eastAsia" w:ascii="仿宋_GB2312" w:hAnsi="仿宋" w:eastAsia="仿宋_GB2312" w:cs="仿宋"/>
              <w:sz w:val="24"/>
            </w:rPr>
            <w:t>2.推进制造业数字化转型升级</w:t>
          </w:r>
          <w:r>
            <w:rPr>
              <w:sz w:val="24"/>
            </w:rPr>
            <w:tab/>
          </w:r>
          <w:r>
            <w:rPr>
              <w:sz w:val="24"/>
            </w:rPr>
            <w:fldChar w:fldCharType="begin"/>
          </w:r>
          <w:r>
            <w:rPr>
              <w:sz w:val="24"/>
            </w:rPr>
            <w:instrText xml:space="preserve"> PAGEREF _Toc14707 \h </w:instrText>
          </w:r>
          <w:r>
            <w:rPr>
              <w:sz w:val="24"/>
            </w:rPr>
            <w:fldChar w:fldCharType="separate"/>
          </w:r>
          <w:r>
            <w:rPr>
              <w:sz w:val="24"/>
            </w:rPr>
            <w:t>42</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"_Toc22555" </w:instrText>
          </w:r>
          <w:r>
            <w:fldChar w:fldCharType="separate"/>
          </w:r>
          <w:r>
            <w:rPr>
              <w:rFonts w:hint="eastAsia" w:ascii="仿宋_GB2312" w:hAnsi="仿宋" w:eastAsia="仿宋_GB2312" w:cs="仿宋"/>
              <w:sz w:val="24"/>
            </w:rPr>
            <w:t>3.加强精准招商完善制造业产业链</w:t>
          </w:r>
          <w:r>
            <w:rPr>
              <w:sz w:val="24"/>
            </w:rPr>
            <w:tab/>
          </w:r>
          <w:r>
            <w:rPr>
              <w:sz w:val="24"/>
            </w:rPr>
            <w:fldChar w:fldCharType="begin"/>
          </w:r>
          <w:r>
            <w:rPr>
              <w:sz w:val="24"/>
            </w:rPr>
            <w:instrText xml:space="preserve"> PAGEREF _Toc22555 \h </w:instrText>
          </w:r>
          <w:r>
            <w:rPr>
              <w:sz w:val="24"/>
            </w:rPr>
            <w:fldChar w:fldCharType="separate"/>
          </w:r>
          <w:r>
            <w:rPr>
              <w:sz w:val="24"/>
            </w:rPr>
            <w:t>42</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"_Toc13444" </w:instrText>
          </w:r>
          <w:r>
            <w:fldChar w:fldCharType="separate"/>
          </w:r>
          <w:r>
            <w:rPr>
              <w:rFonts w:hint="eastAsia" w:ascii="楷体_GB2312" w:hAnsi="仿宋" w:eastAsia="楷体_GB2312" w:cs="仿宋"/>
              <w:bCs/>
              <w:szCs w:val="32"/>
            </w:rPr>
            <w:t>（五）加强标准、质量和品牌建设，建设质量强市</w:t>
          </w:r>
          <w:r>
            <w:tab/>
          </w:r>
          <w:r>
            <w:fldChar w:fldCharType="begin"/>
          </w:r>
          <w:r>
            <w:instrText xml:space="preserve"> PAGEREF _Toc13444 \h </w:instrText>
          </w:r>
          <w:r>
            <w:fldChar w:fldCharType="separate"/>
          </w:r>
          <w:r>
            <w:t>43</w:t>
          </w:r>
          <w:r>
            <w:fldChar w:fldCharType="end"/>
          </w:r>
          <w:r>
            <w:fldChar w:fldCharType="end"/>
          </w:r>
        </w:p>
        <w:p>
          <w:pPr>
            <w:pStyle w:val="5"/>
            <w:tabs>
              <w:tab w:val="right" w:leader="dot" w:pos="8306"/>
            </w:tabs>
            <w:rPr>
              <w:sz w:val="24"/>
            </w:rPr>
          </w:pPr>
          <w:r>
            <w:fldChar w:fldCharType="begin"/>
          </w:r>
          <w:r>
            <w:instrText xml:space="preserve"> HYPERLINK \l "_Toc29593" </w:instrText>
          </w:r>
          <w:r>
            <w:fldChar w:fldCharType="separate"/>
          </w:r>
          <w:r>
            <w:rPr>
              <w:rFonts w:hint="eastAsia" w:ascii="仿宋_GB2312" w:hAnsi="仿宋" w:eastAsia="仿宋_GB2312" w:cs="仿宋"/>
              <w:sz w:val="24"/>
            </w:rPr>
            <w:t>1.建立健全汕尾制造标准体系</w:t>
          </w:r>
          <w:r>
            <w:rPr>
              <w:sz w:val="24"/>
            </w:rPr>
            <w:tab/>
          </w:r>
          <w:r>
            <w:rPr>
              <w:sz w:val="24"/>
            </w:rPr>
            <w:fldChar w:fldCharType="begin"/>
          </w:r>
          <w:r>
            <w:rPr>
              <w:sz w:val="24"/>
            </w:rPr>
            <w:instrText xml:space="preserve"> PAGEREF _Toc29593 \h </w:instrText>
          </w:r>
          <w:r>
            <w:rPr>
              <w:sz w:val="24"/>
            </w:rPr>
            <w:fldChar w:fldCharType="separate"/>
          </w:r>
          <w:r>
            <w:rPr>
              <w:sz w:val="24"/>
            </w:rPr>
            <w:t>43</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"_Toc288" </w:instrText>
          </w:r>
          <w:r>
            <w:fldChar w:fldCharType="separate"/>
          </w:r>
          <w:r>
            <w:rPr>
              <w:rFonts w:hint="eastAsia" w:ascii="仿宋_GB2312" w:hAnsi="仿宋" w:eastAsia="仿宋_GB2312" w:cs="仿宋"/>
              <w:sz w:val="24"/>
            </w:rPr>
            <w:t>2.提升汕尾制造质量</w:t>
          </w:r>
          <w:r>
            <w:rPr>
              <w:sz w:val="24"/>
            </w:rPr>
            <w:tab/>
          </w:r>
          <w:r>
            <w:rPr>
              <w:sz w:val="24"/>
            </w:rPr>
            <w:fldChar w:fldCharType="begin"/>
          </w:r>
          <w:r>
            <w:rPr>
              <w:sz w:val="24"/>
            </w:rPr>
            <w:instrText xml:space="preserve"> PAGEREF _Toc288 \h </w:instrText>
          </w:r>
          <w:r>
            <w:rPr>
              <w:sz w:val="24"/>
            </w:rPr>
            <w:fldChar w:fldCharType="separate"/>
          </w:r>
          <w:r>
            <w:rPr>
              <w:sz w:val="24"/>
            </w:rPr>
            <w:t>44</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"_Toc24873" </w:instrText>
          </w:r>
          <w:r>
            <w:fldChar w:fldCharType="separate"/>
          </w:r>
          <w:r>
            <w:rPr>
              <w:rFonts w:hint="eastAsia" w:ascii="仿宋_GB2312" w:hAnsi="仿宋" w:eastAsia="仿宋_GB2312" w:cs="仿宋"/>
              <w:sz w:val="24"/>
            </w:rPr>
            <w:t>3.打造汕尾质量品牌</w:t>
          </w:r>
          <w:r>
            <w:rPr>
              <w:sz w:val="24"/>
            </w:rPr>
            <w:tab/>
          </w:r>
          <w:r>
            <w:rPr>
              <w:sz w:val="24"/>
            </w:rPr>
            <w:fldChar w:fldCharType="begin"/>
          </w:r>
          <w:r>
            <w:rPr>
              <w:sz w:val="24"/>
            </w:rPr>
            <w:instrText xml:space="preserve"> PAGEREF _Toc24873 \h </w:instrText>
          </w:r>
          <w:r>
            <w:rPr>
              <w:sz w:val="24"/>
            </w:rPr>
            <w:fldChar w:fldCharType="separate"/>
          </w:r>
          <w:r>
            <w:rPr>
              <w:sz w:val="24"/>
            </w:rPr>
            <w:t>44</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"_Toc11360" </w:instrText>
          </w:r>
          <w:r>
            <w:fldChar w:fldCharType="separate"/>
          </w:r>
          <w:r>
            <w:rPr>
              <w:rFonts w:hint="eastAsia" w:ascii="仿宋_GB2312" w:hAnsi="仿宋" w:eastAsia="仿宋_GB2312" w:cs="仿宋"/>
              <w:sz w:val="24"/>
            </w:rPr>
            <w:t>4.加强质量基础能力建设</w:t>
          </w:r>
          <w:r>
            <w:rPr>
              <w:sz w:val="24"/>
            </w:rPr>
            <w:tab/>
          </w:r>
          <w:r>
            <w:rPr>
              <w:sz w:val="24"/>
            </w:rPr>
            <w:fldChar w:fldCharType="begin"/>
          </w:r>
          <w:r>
            <w:rPr>
              <w:sz w:val="24"/>
            </w:rPr>
            <w:instrText xml:space="preserve"> PAGEREF _Toc11360 \h </w:instrText>
          </w:r>
          <w:r>
            <w:rPr>
              <w:sz w:val="24"/>
            </w:rPr>
            <w:fldChar w:fldCharType="separate"/>
          </w:r>
          <w:r>
            <w:rPr>
              <w:sz w:val="24"/>
            </w:rPr>
            <w:t>45</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"_Toc14645" </w:instrText>
          </w:r>
          <w:r>
            <w:fldChar w:fldCharType="separate"/>
          </w:r>
          <w:r>
            <w:rPr>
              <w:rFonts w:hint="eastAsia" w:ascii="楷体_GB2312" w:hAnsi="仿宋" w:eastAsia="楷体_GB2312" w:cs="仿宋"/>
              <w:bCs/>
              <w:szCs w:val="32"/>
            </w:rPr>
            <w:t>（六）健全政务服务机制，全面优化制造业发展环境</w:t>
          </w:r>
          <w:r>
            <w:tab/>
          </w:r>
          <w:r>
            <w:fldChar w:fldCharType="begin"/>
          </w:r>
          <w:r>
            <w:instrText xml:space="preserve"> PAGEREF _Toc14645 \h </w:instrText>
          </w:r>
          <w:r>
            <w:fldChar w:fldCharType="separate"/>
          </w:r>
          <w:r>
            <w:t>45</w:t>
          </w:r>
          <w:r>
            <w:fldChar w:fldCharType="end"/>
          </w:r>
          <w:r>
            <w:fldChar w:fldCharType="end"/>
          </w:r>
        </w:p>
        <w:p>
          <w:pPr>
            <w:pStyle w:val="5"/>
            <w:tabs>
              <w:tab w:val="right" w:leader="dot" w:pos="8306"/>
            </w:tabs>
            <w:rPr>
              <w:sz w:val="24"/>
            </w:rPr>
          </w:pPr>
          <w:r>
            <w:fldChar w:fldCharType="begin"/>
          </w:r>
          <w:r>
            <w:instrText xml:space="preserve"> HYPERLINK \l "_Toc30195" </w:instrText>
          </w:r>
          <w:r>
            <w:fldChar w:fldCharType="separate"/>
          </w:r>
          <w:r>
            <w:rPr>
              <w:rFonts w:hint="eastAsia" w:ascii="仿宋_GB2312" w:hAnsi="仿宋" w:eastAsia="仿宋_GB2312" w:cs="仿宋"/>
              <w:sz w:val="24"/>
            </w:rPr>
            <w:t>1</w:t>
          </w:r>
          <w:r>
            <w:rPr>
              <w:rFonts w:ascii="仿宋_GB2312" w:hAnsi="仿宋" w:eastAsia="仿宋_GB2312" w:cs="仿宋"/>
              <w:sz w:val="24"/>
            </w:rPr>
            <w:t>.</w:t>
          </w:r>
          <w:r>
            <w:rPr>
              <w:rFonts w:hint="eastAsia" w:ascii="仿宋_GB2312" w:hAnsi="仿宋" w:eastAsia="仿宋_GB2312" w:cs="仿宋"/>
              <w:sz w:val="24"/>
            </w:rPr>
            <w:t>营造良好营商环境</w:t>
          </w:r>
          <w:r>
            <w:rPr>
              <w:sz w:val="24"/>
            </w:rPr>
            <w:tab/>
          </w:r>
          <w:r>
            <w:rPr>
              <w:sz w:val="24"/>
            </w:rPr>
            <w:fldChar w:fldCharType="begin"/>
          </w:r>
          <w:r>
            <w:rPr>
              <w:sz w:val="24"/>
            </w:rPr>
            <w:instrText xml:space="preserve"> PAGEREF _Toc30195 \h </w:instrText>
          </w:r>
          <w:r>
            <w:rPr>
              <w:sz w:val="24"/>
            </w:rPr>
            <w:fldChar w:fldCharType="separate"/>
          </w:r>
          <w:r>
            <w:rPr>
              <w:sz w:val="24"/>
            </w:rPr>
            <w:t>45</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"_Toc18933" </w:instrText>
          </w:r>
          <w:r>
            <w:fldChar w:fldCharType="separate"/>
          </w:r>
          <w:r>
            <w:rPr>
              <w:rFonts w:hint="eastAsia" w:ascii="仿宋_GB2312" w:hAnsi="仿宋" w:eastAsia="仿宋_GB2312" w:cs="仿宋"/>
              <w:sz w:val="24"/>
            </w:rPr>
            <w:t>2</w:t>
          </w:r>
          <w:r>
            <w:rPr>
              <w:rFonts w:ascii="仿宋_GB2312" w:hAnsi="仿宋" w:eastAsia="仿宋_GB2312" w:cs="仿宋"/>
              <w:sz w:val="24"/>
            </w:rPr>
            <w:t>.</w:t>
          </w:r>
          <w:r>
            <w:rPr>
              <w:rFonts w:hint="eastAsia" w:ascii="仿宋_GB2312" w:hAnsi="仿宋" w:eastAsia="仿宋_GB2312" w:cs="仿宋"/>
              <w:sz w:val="24"/>
            </w:rPr>
            <w:t>深化“店小二”服务机制</w:t>
          </w:r>
          <w:r>
            <w:rPr>
              <w:sz w:val="24"/>
            </w:rPr>
            <w:tab/>
          </w:r>
          <w:r>
            <w:rPr>
              <w:sz w:val="24"/>
            </w:rPr>
            <w:fldChar w:fldCharType="begin"/>
          </w:r>
          <w:r>
            <w:rPr>
              <w:sz w:val="24"/>
            </w:rPr>
            <w:instrText xml:space="preserve"> PAGEREF _Toc18933 \h </w:instrText>
          </w:r>
          <w:r>
            <w:rPr>
              <w:sz w:val="24"/>
            </w:rPr>
            <w:fldChar w:fldCharType="separate"/>
          </w:r>
          <w:r>
            <w:rPr>
              <w:sz w:val="24"/>
            </w:rPr>
            <w:t>46</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"_Toc21358" </w:instrText>
          </w:r>
          <w:r>
            <w:fldChar w:fldCharType="separate"/>
          </w:r>
          <w:r>
            <w:rPr>
              <w:rFonts w:hint="eastAsia" w:ascii="仿宋_GB2312" w:hAnsi="仿宋" w:eastAsia="仿宋_GB2312" w:cs="仿宋"/>
              <w:sz w:val="24"/>
            </w:rPr>
            <w:t>3</w:t>
          </w:r>
          <w:r>
            <w:rPr>
              <w:rFonts w:ascii="仿宋_GB2312" w:hAnsi="仿宋" w:eastAsia="仿宋_GB2312" w:cs="仿宋"/>
              <w:sz w:val="24"/>
            </w:rPr>
            <w:t>.</w:t>
          </w:r>
          <w:r>
            <w:rPr>
              <w:rFonts w:hint="eastAsia" w:ascii="仿宋_GB2312" w:hAnsi="仿宋" w:eastAsia="仿宋_GB2312" w:cs="仿宋"/>
              <w:sz w:val="24"/>
            </w:rPr>
            <w:t>增强要素保障和供给</w:t>
          </w:r>
          <w:r>
            <w:rPr>
              <w:sz w:val="24"/>
            </w:rPr>
            <w:tab/>
          </w:r>
          <w:r>
            <w:rPr>
              <w:sz w:val="24"/>
            </w:rPr>
            <w:fldChar w:fldCharType="begin"/>
          </w:r>
          <w:r>
            <w:rPr>
              <w:sz w:val="24"/>
            </w:rPr>
            <w:instrText xml:space="preserve"> PAGEREF _Toc21358 \h </w:instrText>
          </w:r>
          <w:r>
            <w:rPr>
              <w:sz w:val="24"/>
            </w:rPr>
            <w:fldChar w:fldCharType="separate"/>
          </w:r>
          <w:r>
            <w:rPr>
              <w:sz w:val="24"/>
            </w:rPr>
            <w:t>47</w:t>
          </w:r>
          <w:r>
            <w:rPr>
              <w:sz w:val="24"/>
            </w:rPr>
            <w:fldChar w:fldCharType="end"/>
          </w:r>
          <w:r>
            <w:rPr>
              <w:sz w:val="24"/>
            </w:rPr>
            <w:fldChar w:fldCharType="end"/>
          </w:r>
        </w:p>
        <w:p>
          <w:pPr>
            <w:pStyle w:val="9"/>
            <w:tabs>
              <w:tab w:val="right" w:leader="dot" w:pos="8306"/>
            </w:tabs>
          </w:pPr>
          <w:r>
            <w:fldChar w:fldCharType="begin"/>
          </w:r>
          <w:r>
            <w:instrText xml:space="preserve"> HYPERLINK \l "_Toc31224" </w:instrText>
          </w:r>
          <w:r>
            <w:fldChar w:fldCharType="separate"/>
          </w:r>
          <w:r>
            <w:rPr>
              <w:rFonts w:hint="eastAsia" w:ascii="仿宋_GB2312" w:hAnsi="仿宋" w:eastAsia="仿宋_GB2312" w:cs="仿宋"/>
              <w:szCs w:val="32"/>
            </w:rPr>
            <w:t>五、保障措施</w:t>
          </w:r>
          <w:r>
            <w:tab/>
          </w:r>
          <w:r>
            <w:fldChar w:fldCharType="begin"/>
          </w:r>
          <w:r>
            <w:instrText xml:space="preserve"> PAGEREF _Toc31224 \h </w:instrText>
          </w:r>
          <w:r>
            <w:fldChar w:fldCharType="separate"/>
          </w:r>
          <w:r>
            <w:t>48</w:t>
          </w:r>
          <w:r>
            <w:fldChar w:fldCharType="end"/>
          </w:r>
          <w:r>
            <w:fldChar w:fldCharType="end"/>
          </w:r>
        </w:p>
        <w:p>
          <w:pPr>
            <w:pStyle w:val="10"/>
            <w:tabs>
              <w:tab w:val="right" w:leader="dot" w:pos="8306"/>
              <w:tab w:val="clear" w:pos="8296"/>
            </w:tabs>
          </w:pPr>
          <w:r>
            <w:fldChar w:fldCharType="begin"/>
          </w:r>
          <w:r>
            <w:instrText xml:space="preserve"> HYPERLINK \l "_Toc808" </w:instrText>
          </w:r>
          <w:r>
            <w:fldChar w:fldCharType="separate"/>
          </w:r>
          <w:r>
            <w:rPr>
              <w:rFonts w:hint="eastAsia" w:ascii="楷体_GB2312" w:hAnsi="仿宋" w:eastAsia="楷体_GB2312" w:cs="仿宋"/>
              <w:bCs/>
              <w:szCs w:val="32"/>
            </w:rPr>
            <w:t>（一）健全组织实施机制</w:t>
          </w:r>
          <w:r>
            <w:tab/>
          </w:r>
          <w:r>
            <w:fldChar w:fldCharType="begin"/>
          </w:r>
          <w:r>
            <w:instrText xml:space="preserve"> PAGEREF _Toc808 \h </w:instrText>
          </w:r>
          <w:r>
            <w:fldChar w:fldCharType="separate"/>
          </w:r>
          <w:r>
            <w:t>48</w:t>
          </w:r>
          <w:r>
            <w:fldChar w:fldCharType="end"/>
          </w:r>
          <w:r>
            <w:fldChar w:fldCharType="end"/>
          </w:r>
        </w:p>
        <w:p>
          <w:pPr>
            <w:pStyle w:val="10"/>
            <w:tabs>
              <w:tab w:val="right" w:leader="dot" w:pos="8306"/>
              <w:tab w:val="clear" w:pos="8296"/>
            </w:tabs>
          </w:pPr>
          <w:r>
            <w:fldChar w:fldCharType="begin"/>
          </w:r>
          <w:r>
            <w:instrText xml:space="preserve"> HYPERLINK \l "_Toc24605" </w:instrText>
          </w:r>
          <w:r>
            <w:fldChar w:fldCharType="separate"/>
          </w:r>
          <w:r>
            <w:rPr>
              <w:rFonts w:hint="eastAsia" w:ascii="楷体_GB2312" w:hAnsi="仿宋" w:eastAsia="楷体_GB2312" w:cs="仿宋"/>
              <w:bCs/>
              <w:szCs w:val="32"/>
            </w:rPr>
            <w:t>（二）完善要素市场化配置体制机制</w:t>
          </w:r>
          <w:r>
            <w:tab/>
          </w:r>
          <w:r>
            <w:fldChar w:fldCharType="begin"/>
          </w:r>
          <w:r>
            <w:instrText xml:space="preserve"> PAGEREF _Toc24605 \h </w:instrText>
          </w:r>
          <w:r>
            <w:fldChar w:fldCharType="separate"/>
          </w:r>
          <w:r>
            <w:t>48</w:t>
          </w:r>
          <w:r>
            <w:fldChar w:fldCharType="end"/>
          </w:r>
          <w:r>
            <w:fldChar w:fldCharType="end"/>
          </w:r>
        </w:p>
        <w:p>
          <w:pPr>
            <w:pStyle w:val="10"/>
            <w:tabs>
              <w:tab w:val="right" w:leader="dot" w:pos="8306"/>
              <w:tab w:val="clear" w:pos="8296"/>
            </w:tabs>
          </w:pPr>
          <w:r>
            <w:fldChar w:fldCharType="begin"/>
          </w:r>
          <w:r>
            <w:instrText xml:space="preserve"> HYPERLINK \l "_Toc21220" </w:instrText>
          </w:r>
          <w:r>
            <w:fldChar w:fldCharType="separate"/>
          </w:r>
          <w:r>
            <w:rPr>
              <w:rFonts w:hint="eastAsia" w:ascii="楷体_GB2312" w:hAnsi="仿宋" w:eastAsia="楷体_GB2312" w:cs="仿宋"/>
              <w:bCs/>
              <w:szCs w:val="32"/>
            </w:rPr>
            <w:t>（三）建设新型产业集群治理机制</w:t>
          </w:r>
          <w:r>
            <w:tab/>
          </w:r>
          <w:r>
            <w:fldChar w:fldCharType="begin"/>
          </w:r>
          <w:r>
            <w:instrText xml:space="preserve"> PAGEREF _Toc21220 \h </w:instrText>
          </w:r>
          <w:r>
            <w:fldChar w:fldCharType="separate"/>
          </w:r>
          <w:r>
            <w:t>49</w:t>
          </w:r>
          <w:r>
            <w:fldChar w:fldCharType="end"/>
          </w:r>
          <w:r>
            <w:fldChar w:fldCharType="end"/>
          </w:r>
        </w:p>
        <w:p>
          <w:pPr>
            <w:pStyle w:val="10"/>
            <w:tabs>
              <w:tab w:val="right" w:leader="dot" w:pos="8306"/>
              <w:tab w:val="clear" w:pos="8296"/>
            </w:tabs>
          </w:pPr>
          <w:r>
            <w:fldChar w:fldCharType="begin"/>
          </w:r>
          <w:r>
            <w:instrText xml:space="preserve"> HYPERLINK \l "_Toc17417" </w:instrText>
          </w:r>
          <w:r>
            <w:fldChar w:fldCharType="separate"/>
          </w:r>
          <w:r>
            <w:rPr>
              <w:rFonts w:hint="eastAsia" w:ascii="楷体_GB2312" w:hAnsi="仿宋" w:eastAsia="楷体_GB2312" w:cs="仿宋"/>
              <w:bCs/>
              <w:szCs w:val="32"/>
            </w:rPr>
            <w:t>（四）加强监测评估和督查考核</w:t>
          </w:r>
          <w:r>
            <w:tab/>
          </w:r>
          <w:r>
            <w:fldChar w:fldCharType="begin"/>
          </w:r>
          <w:r>
            <w:instrText xml:space="preserve"> PAGEREF _Toc17417 \h </w:instrText>
          </w:r>
          <w:r>
            <w:fldChar w:fldCharType="separate"/>
          </w:r>
          <w:r>
            <w:t>50</w:t>
          </w:r>
          <w:r>
            <w:fldChar w:fldCharType="end"/>
          </w:r>
          <w:r>
            <w:fldChar w:fldCharType="end"/>
          </w:r>
        </w:p>
        <w:p>
          <w:pPr>
            <w:pStyle w:val="10"/>
            <w:tabs>
              <w:tab w:val="right" w:leader="dot" w:pos="8306"/>
              <w:tab w:val="clear" w:pos="8296"/>
            </w:tabs>
          </w:pPr>
          <w:r>
            <w:fldChar w:fldCharType="begin"/>
          </w:r>
          <w:r>
            <w:instrText xml:space="preserve"> HYPERLINK \l "_Toc8408" </w:instrText>
          </w:r>
          <w:r>
            <w:fldChar w:fldCharType="separate"/>
          </w:r>
          <w:r>
            <w:rPr>
              <w:rFonts w:hint="eastAsia" w:ascii="仿宋_GB2312" w:hAnsi="仿宋" w:eastAsia="仿宋_GB2312" w:cs="仿宋"/>
              <w:szCs w:val="32"/>
            </w:rPr>
            <w:t>附件1：“十四五”时期汕尾市制造业总体空间布局图</w:t>
          </w:r>
          <w:r>
            <w:tab/>
          </w:r>
          <w:r>
            <w:fldChar w:fldCharType="begin"/>
          </w:r>
          <w:r>
            <w:instrText xml:space="preserve"> PAGEREF _Toc8408 \h </w:instrText>
          </w:r>
          <w:r>
            <w:fldChar w:fldCharType="separate"/>
          </w:r>
          <w:r>
            <w:t>50</w:t>
          </w:r>
          <w:r>
            <w:fldChar w:fldCharType="end"/>
          </w:r>
          <w:r>
            <w:fldChar w:fldCharType="end"/>
          </w:r>
        </w:p>
        <w:p>
          <w:pPr>
            <w:pStyle w:val="10"/>
            <w:tabs>
              <w:tab w:val="right" w:leader="dot" w:pos="8306"/>
              <w:tab w:val="clear" w:pos="8296"/>
            </w:tabs>
          </w:pPr>
          <w:r>
            <w:fldChar w:fldCharType="begin"/>
          </w:r>
          <w:r>
            <w:instrText xml:space="preserve"> HYPERLINK \l "_Toc5027" </w:instrText>
          </w:r>
          <w:r>
            <w:fldChar w:fldCharType="separate"/>
          </w:r>
          <w:r>
            <w:rPr>
              <w:rFonts w:hint="eastAsia" w:ascii="仿宋_GB2312" w:hAnsi="仿宋" w:eastAsia="仿宋_GB2312" w:cs="仿宋"/>
              <w:szCs w:val="32"/>
            </w:rPr>
            <w:t>附件</w:t>
          </w:r>
          <w:r>
            <w:rPr>
              <w:rFonts w:ascii="仿宋_GB2312" w:hAnsi="仿宋" w:eastAsia="仿宋_GB2312" w:cs="仿宋"/>
              <w:szCs w:val="32"/>
            </w:rPr>
            <w:t>2</w:t>
          </w:r>
          <w:r>
            <w:rPr>
              <w:rFonts w:hint="eastAsia" w:ascii="仿宋_GB2312" w:hAnsi="仿宋" w:eastAsia="仿宋_GB2312" w:cs="仿宋"/>
              <w:szCs w:val="32"/>
            </w:rPr>
            <w:t>：汕尾各产业集群创新资源、重大平台载体和重点企业清单</w:t>
          </w:r>
          <w:r>
            <w:tab/>
          </w:r>
          <w:r>
            <w:fldChar w:fldCharType="begin"/>
          </w:r>
          <w:r>
            <w:instrText xml:space="preserve"> PAGEREF _Toc5027 \h </w:instrText>
          </w:r>
          <w:r>
            <w:fldChar w:fldCharType="separate"/>
          </w:r>
          <w:r>
            <w:t>50</w:t>
          </w:r>
          <w:r>
            <w:fldChar w:fldCharType="end"/>
          </w:r>
          <w:r>
            <w:fldChar w:fldCharType="end"/>
          </w:r>
        </w:p>
        <w:p>
          <w:pPr>
            <w:pStyle w:val="10"/>
            <w:tabs>
              <w:tab w:val="right" w:leader="dot" w:pos="8306"/>
              <w:tab w:val="clear" w:pos="8296"/>
            </w:tabs>
          </w:pPr>
          <w:r>
            <w:fldChar w:fldCharType="begin"/>
          </w:r>
          <w:r>
            <w:instrText xml:space="preserve"> HYPERLINK \l "_Toc4556" </w:instrText>
          </w:r>
          <w:r>
            <w:fldChar w:fldCharType="separate"/>
          </w:r>
          <w:r>
            <w:rPr>
              <w:rFonts w:hint="eastAsia" w:ascii="仿宋_GB2312" w:hAnsi="仿宋" w:eastAsia="仿宋_GB2312" w:cs="仿宋"/>
              <w:szCs w:val="32"/>
            </w:rPr>
            <w:t>附件</w:t>
          </w:r>
          <w:r>
            <w:rPr>
              <w:rFonts w:ascii="仿宋_GB2312" w:hAnsi="仿宋" w:eastAsia="仿宋_GB2312" w:cs="仿宋"/>
              <w:szCs w:val="32"/>
            </w:rPr>
            <w:t>3</w:t>
          </w:r>
          <w:r>
            <w:rPr>
              <w:rFonts w:hint="eastAsia" w:ascii="仿宋_GB2312" w:hAnsi="仿宋" w:eastAsia="仿宋_GB2312" w:cs="仿宋"/>
              <w:szCs w:val="32"/>
            </w:rPr>
            <w:t>：汕尾市制造业“十四五”重点项目表（见E</w:t>
          </w:r>
          <w:r>
            <w:rPr>
              <w:rFonts w:ascii="仿宋_GB2312" w:hAnsi="仿宋" w:eastAsia="仿宋_GB2312" w:cs="仿宋"/>
              <w:szCs w:val="32"/>
            </w:rPr>
            <w:t>XCEL</w:t>
          </w:r>
          <w:r>
            <w:rPr>
              <w:rFonts w:hint="eastAsia" w:ascii="仿宋_GB2312" w:hAnsi="仿宋" w:eastAsia="仿宋_GB2312" w:cs="仿宋"/>
              <w:szCs w:val="32"/>
            </w:rPr>
            <w:t>表）</w:t>
          </w:r>
          <w:r>
            <w:tab/>
          </w:r>
          <w:r>
            <w:fldChar w:fldCharType="begin"/>
          </w:r>
          <w:r>
            <w:instrText xml:space="preserve"> PAGEREF _Toc4556 \h </w:instrText>
          </w:r>
          <w:r>
            <w:fldChar w:fldCharType="separate"/>
          </w:r>
          <w:r>
            <w:t>50</w:t>
          </w:r>
          <w:r>
            <w:fldChar w:fldCharType="end"/>
          </w:r>
          <w:r>
            <w:fldChar w:fldCharType="end"/>
          </w:r>
        </w:p>
        <w:p>
          <w:pPr>
            <w:spacing w:line="400" w:lineRule="exact"/>
            <w:rPr>
              <w:sz w:val="28"/>
              <w:szCs w:val="28"/>
            </w:rPr>
          </w:pPr>
          <w:r>
            <w:rPr>
              <w:bCs/>
              <w:szCs w:val="28"/>
              <w:lang w:val="zh-CN"/>
            </w:rPr>
            <w:fldChar w:fldCharType="end"/>
          </w:r>
        </w:p>
      </w:sdtContent>
    </w:sdt>
    <w:p>
      <w:pPr>
        <w:widowControl/>
        <w:jc w:val="left"/>
        <w:rPr>
          <w:rFonts w:ascii="仿宋_GB2312" w:hAnsi="仿宋" w:eastAsia="仿宋_GB2312"/>
          <w:sz w:val="32"/>
          <w:szCs w:val="32"/>
        </w:rPr>
        <w:sectPr>
          <w:footerReference r:id="rId3" w:type="default"/>
          <w:pgSz w:w="11906" w:h="16838"/>
          <w:pgMar w:top="1440" w:right="1800" w:bottom="1440" w:left="1800" w:header="851" w:footer="992" w:gutter="0"/>
          <w:pgNumType w:start="1"/>
          <w:cols w:space="425" w:num="1"/>
          <w:docGrid w:type="lines" w:linePitch="312" w:charSpace="0"/>
        </w:sectPr>
      </w:pPr>
      <w:r>
        <w:rPr>
          <w:rFonts w:ascii="仿宋_GB2312" w:hAnsi="仿宋" w:eastAsia="仿宋_GB2312"/>
          <w:sz w:val="32"/>
          <w:szCs w:val="32"/>
        </w:rPr>
        <w:br w:type="page"/>
      </w:r>
    </w:p>
    <w:p>
      <w:pPr>
        <w:spacing w:after="120"/>
        <w:ind w:firstLine="640" w:firstLineChars="200"/>
        <w:contextualSpacing/>
        <w:rPr>
          <w:rFonts w:ascii="仿宋_GB2312" w:hAnsi="仿宋" w:eastAsia="仿宋_GB2312"/>
          <w:sz w:val="32"/>
          <w:szCs w:val="32"/>
        </w:rPr>
      </w:pPr>
      <w:r>
        <w:rPr>
          <w:rFonts w:hint="eastAsia" w:ascii="仿宋_GB2312" w:hAnsi="仿宋" w:eastAsia="仿宋_GB2312"/>
          <w:sz w:val="32"/>
          <w:szCs w:val="32"/>
        </w:rPr>
        <w:t>制造业是国民经济的主体，是立国之本、兴国之器、强国之基。习近平总书记强调，要把制造业高质量发展作为经济高质量发展的主攻方向，促进我国产业迈向全球价值链高端。省委、省政府高度重视制造业发展，坚持制造业立省不动摇，深入推进制造业供给侧结构性改革。</w:t>
      </w:r>
    </w:p>
    <w:p>
      <w:pPr>
        <w:spacing w:after="120"/>
        <w:ind w:firstLine="640" w:firstLineChars="200"/>
        <w:contextualSpacing/>
        <w:rPr>
          <w:rFonts w:ascii="仿宋_GB2312" w:hAnsi="仿宋" w:eastAsia="仿宋_GB2312"/>
          <w:sz w:val="32"/>
          <w:szCs w:val="32"/>
        </w:rPr>
      </w:pPr>
      <w:r>
        <w:rPr>
          <w:rFonts w:hint="eastAsia" w:ascii="仿宋_GB2312" w:hAnsi="仿宋" w:eastAsia="仿宋_GB2312"/>
          <w:sz w:val="32"/>
          <w:szCs w:val="32"/>
        </w:rPr>
        <w:t>汕尾正处于快速工业化阶段，发展的基础在制造业，发展的优势在制造业，发展的出路也在制造业。推动制造业高质量发展，加强制造强市建设，对提升汕尾制造业核心竞争力、加快奋进崛起、开启社会主义现代化建设新征程、满足人民群众美好生活需要具有重要意义。为明确制造业高质量发展的方向、思路、目标和重点，根据《广东省制造业高质量发展“十四五”规划》《广东省人民政府关于培育发展战略性支柱产业集群和战略性新兴产业集群的意见》（粤府函〔2020〕82号）、《汕尾市国民经济和社会发展第十四个五年规划和二</w:t>
      </w:r>
      <w:r>
        <w:rPr>
          <w:rFonts w:hint="eastAsia" w:ascii="微软雅黑" w:hAnsi="微软雅黑" w:eastAsia="微软雅黑" w:cs="微软雅黑"/>
          <w:sz w:val="32"/>
          <w:szCs w:val="32"/>
        </w:rPr>
        <w:t>〇</w:t>
      </w:r>
      <w:r>
        <w:rPr>
          <w:rFonts w:hint="eastAsia" w:ascii="仿宋_GB2312" w:hAnsi="仿宋_GB2312" w:eastAsia="仿宋_GB2312" w:cs="仿宋_GB2312"/>
          <w:sz w:val="32"/>
          <w:szCs w:val="32"/>
        </w:rPr>
        <w:t>三五年远景目标</w:t>
      </w:r>
      <w:r>
        <w:rPr>
          <w:rFonts w:hint="eastAsia" w:ascii="仿宋_GB2312" w:hAnsi="仿宋" w:eastAsia="仿宋_GB2312"/>
          <w:sz w:val="32"/>
          <w:szCs w:val="32"/>
        </w:rPr>
        <w:t>纲要》，结合我市制造业发展实际，特制定本规划。</w:t>
      </w:r>
    </w:p>
    <w:p>
      <w:pPr>
        <w:spacing w:after="120"/>
        <w:ind w:firstLine="640" w:firstLineChars="200"/>
        <w:contextualSpacing/>
        <w:outlineLvl w:val="0"/>
        <w:rPr>
          <w:rFonts w:ascii="黑体" w:hAnsi="黑体" w:eastAsia="黑体" w:cs="仿宋"/>
          <w:bCs/>
          <w:color w:val="000000"/>
          <w:sz w:val="32"/>
          <w:szCs w:val="32"/>
        </w:rPr>
      </w:pPr>
      <w:bookmarkStart w:id="2" w:name="_Toc27796"/>
      <w:r>
        <w:rPr>
          <w:rFonts w:hint="eastAsia" w:ascii="黑体" w:hAnsi="黑体" w:eastAsia="黑体" w:cs="仿宋"/>
          <w:bCs/>
          <w:color w:val="000000"/>
          <w:sz w:val="32"/>
          <w:szCs w:val="32"/>
        </w:rPr>
        <w:t>一、发展基础和发展形势</w:t>
      </w:r>
      <w:bookmarkEnd w:id="1"/>
      <w:bookmarkEnd w:id="2"/>
    </w:p>
    <w:p>
      <w:pPr>
        <w:ind w:firstLine="610"/>
        <w:contextualSpacing/>
        <w:outlineLvl w:val="1"/>
        <w:rPr>
          <w:rFonts w:ascii="楷体_GB2312" w:hAnsi="仿宋" w:eastAsia="楷体_GB2312" w:cs="仿宋"/>
          <w:bCs/>
          <w:color w:val="000000"/>
          <w:sz w:val="32"/>
          <w:szCs w:val="32"/>
          <w:u w:val="none"/>
        </w:rPr>
      </w:pPr>
      <w:bookmarkStart w:id="3" w:name="_Toc54615614"/>
      <w:bookmarkStart w:id="4" w:name="_Toc21362"/>
      <w:r>
        <w:rPr>
          <w:rFonts w:hint="eastAsia" w:ascii="楷体_GB2312" w:hAnsi="仿宋" w:eastAsia="楷体_GB2312" w:cs="仿宋"/>
          <w:bCs/>
          <w:color w:val="000000"/>
          <w:sz w:val="32"/>
          <w:szCs w:val="32"/>
          <w:u w:val="none"/>
        </w:rPr>
        <w:t>（一）“十三五”发展</w:t>
      </w:r>
      <w:bookmarkEnd w:id="3"/>
      <w:bookmarkEnd w:id="4"/>
      <w:r>
        <w:rPr>
          <w:rFonts w:hint="eastAsia" w:ascii="楷体_GB2312" w:hAnsi="仿宋" w:eastAsia="楷体_GB2312" w:cs="仿宋"/>
          <w:bCs/>
          <w:color w:val="000000"/>
          <w:sz w:val="32"/>
          <w:szCs w:val="32"/>
          <w:u w:val="none"/>
        </w:rPr>
        <w:t>现状</w:t>
      </w:r>
    </w:p>
    <w:p>
      <w:pPr>
        <w:ind w:firstLine="640" w:firstLineChars="200"/>
        <w:contextualSpacing/>
        <w:rPr>
          <w:rFonts w:ascii="仿宋_GB2312" w:hAnsi="仿宋" w:eastAsia="仿宋_GB2312" w:cs="仿宋"/>
          <w:color w:val="000000"/>
          <w:sz w:val="32"/>
          <w:szCs w:val="32"/>
        </w:rPr>
      </w:pPr>
      <w:r>
        <w:rPr>
          <w:rFonts w:hint="eastAsia" w:ascii="仿宋_GB2312" w:hAnsi="仿宋" w:eastAsia="仿宋_GB2312" w:cs="仿宋"/>
          <w:color w:val="000000"/>
          <w:sz w:val="32"/>
          <w:szCs w:val="32"/>
        </w:rPr>
        <w:t>“十三五”时期，面对国内经济下行压力加大以及世界经济形势复杂多变的局面，汕尾坚持制造业立市不动摇，实施“项目双进”行动，全面开展新一轮大招商行动，加快做大制造业规模，深入推进制造业供给侧结构性改革，推动新旧动能加快转化，制造业保持稳中有升发展势头，集聚发展能力不断增强，为“十四五”制造业高质量发展奠定了良好基础。</w:t>
      </w:r>
    </w:p>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——产业规模稳步扩张。</w:t>
      </w:r>
      <w:r>
        <w:rPr>
          <w:rFonts w:hint="eastAsia" w:ascii="仿宋_GB2312" w:hAnsi="仿宋" w:eastAsia="仿宋_GB2312"/>
          <w:color w:val="000000"/>
          <w:sz w:val="32"/>
          <w:szCs w:val="32"/>
        </w:rPr>
        <w:t>20</w:t>
      </w:r>
      <w:r>
        <w:rPr>
          <w:rFonts w:ascii="仿宋_GB2312" w:hAnsi="仿宋" w:eastAsia="仿宋_GB2312"/>
          <w:color w:val="000000"/>
          <w:sz w:val="32"/>
          <w:szCs w:val="32"/>
        </w:rPr>
        <w:t>20</w:t>
      </w:r>
      <w:r>
        <w:rPr>
          <w:rFonts w:hint="eastAsia" w:ascii="仿宋_GB2312" w:hAnsi="仿宋" w:eastAsia="仿宋_GB2312" w:cs="仿宋"/>
          <w:color w:val="000000"/>
          <w:sz w:val="32"/>
          <w:szCs w:val="32"/>
        </w:rPr>
        <w:t>年</w:t>
      </w:r>
      <w:r>
        <w:rPr>
          <w:rFonts w:hint="eastAsia" w:ascii="仿宋_GB2312" w:hAnsi="仿宋" w:eastAsia="仿宋_GB2312" w:cs="仿宋"/>
          <w:bCs/>
          <w:color w:val="000000" w:themeColor="text1"/>
          <w:sz w:val="32"/>
          <w:szCs w:val="32"/>
          <w14:textFill>
            <w14:solidFill>
              <w14:schemeClr w14:val="tx1"/>
            </w14:solidFill>
          </w14:textFill>
        </w:rPr>
        <w:t>规模以上工业增加值达</w:t>
      </w:r>
      <w:r>
        <w:rPr>
          <w:rFonts w:hint="eastAsia" w:ascii="仿宋_GB2312" w:hAnsi="仿宋" w:eastAsia="仿宋_GB2312"/>
          <w:color w:val="000000"/>
          <w:sz w:val="32"/>
          <w:szCs w:val="32"/>
        </w:rPr>
        <w:t>2</w:t>
      </w:r>
      <w:r>
        <w:rPr>
          <w:rFonts w:ascii="仿宋_GB2312" w:hAnsi="仿宋" w:eastAsia="仿宋_GB2312"/>
          <w:color w:val="000000"/>
          <w:sz w:val="32"/>
          <w:szCs w:val="32"/>
        </w:rPr>
        <w:t>1</w:t>
      </w:r>
      <w:r>
        <w:rPr>
          <w:rFonts w:hint="eastAsia" w:ascii="仿宋_GB2312" w:hAnsi="仿宋" w:eastAsia="仿宋_GB2312"/>
          <w:color w:val="000000"/>
          <w:sz w:val="32"/>
          <w:szCs w:val="32"/>
        </w:rPr>
        <w:t>1.17亿元，“十三五”期间年均增长</w:t>
      </w:r>
      <w:r>
        <w:rPr>
          <w:rFonts w:ascii="仿宋_GB2312" w:hAnsi="仿宋" w:eastAsia="仿宋_GB2312"/>
          <w:color w:val="000000"/>
          <w:sz w:val="32"/>
          <w:szCs w:val="32"/>
        </w:rPr>
        <w:t>8</w:t>
      </w:r>
      <w:r>
        <w:rPr>
          <w:rFonts w:hint="eastAsia" w:ascii="仿宋_GB2312" w:hAnsi="仿宋" w:eastAsia="仿宋_GB2312"/>
          <w:color w:val="000000"/>
          <w:sz w:val="32"/>
          <w:szCs w:val="32"/>
        </w:rPr>
        <w:t>.</w:t>
      </w:r>
      <w:r>
        <w:rPr>
          <w:rFonts w:ascii="仿宋_GB2312" w:hAnsi="仿宋" w:eastAsia="仿宋_GB2312"/>
          <w:color w:val="000000"/>
          <w:sz w:val="32"/>
          <w:szCs w:val="32"/>
        </w:rPr>
        <w:t>2</w:t>
      </w:r>
      <w:r>
        <w:rPr>
          <w:rFonts w:hint="eastAsia" w:ascii="仿宋_GB2312" w:hAnsi="仿宋" w:eastAsia="仿宋_GB2312"/>
          <w:color w:val="000000"/>
          <w:sz w:val="32"/>
          <w:szCs w:val="32"/>
        </w:rPr>
        <w:t>%</w:t>
      </w:r>
      <w:r>
        <w:rPr>
          <w:rFonts w:hint="eastAsia" w:ascii="仿宋_GB2312" w:hAnsi="仿宋" w:eastAsia="仿宋_GB2312" w:cs="仿宋"/>
          <w:bCs/>
          <w:color w:val="000000" w:themeColor="text1"/>
          <w:sz w:val="32"/>
          <w:szCs w:val="32"/>
          <w14:textFill>
            <w14:solidFill>
              <w14:schemeClr w14:val="tx1"/>
            </w14:solidFill>
          </w14:textFill>
        </w:rPr>
        <w:t>。“5+N”产业集群建设全面推进，汽车制造、电子信息、电力能源、海工装备、服装珠宝等战略性支柱产业地位稳固，占全市工业产值五年来保持在60%以上，对经济发展和产业升级的支撑作用进一步增强；新一代信息技术、生物医药、数字经济、海洋经济、新材料等战略性新兴产业快速发展，进一步夯实了“十四五”时期我市制造业发展的基础。</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——产业结构加快调整。</w:t>
      </w:r>
      <w:r>
        <w:rPr>
          <w:rFonts w:hint="eastAsia" w:ascii="仿宋_GB2312" w:hAnsi="仿宋" w:eastAsia="仿宋_GB2312" w:cs="仿宋"/>
          <w:bCs/>
          <w:color w:val="000000" w:themeColor="text1"/>
          <w:sz w:val="32"/>
          <w:szCs w:val="32"/>
          <w14:textFill>
            <w14:solidFill>
              <w14:schemeClr w14:val="tx1"/>
            </w14:solidFill>
          </w14:textFill>
        </w:rPr>
        <w:t>产业高端化发展取得重要进展，</w:t>
      </w:r>
      <w:r>
        <w:rPr>
          <w:rFonts w:hint="eastAsia" w:ascii="仿宋_GB2312" w:hAnsi="仿宋" w:eastAsia="仿宋_GB2312"/>
          <w:bCs/>
          <w:color w:val="000000" w:themeColor="text1"/>
          <w:sz w:val="32"/>
          <w:szCs w:val="32"/>
          <w14:textFill>
            <w14:solidFill>
              <w14:schemeClr w14:val="tx1"/>
            </w14:solidFill>
          </w14:textFill>
        </w:rPr>
        <w:t>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年规模以上高技术制造业和先进制造业分别实现增加值</w:t>
      </w:r>
      <w:r>
        <w:rPr>
          <w:rFonts w:ascii="仿宋_GB2312" w:hAnsi="仿宋" w:eastAsia="仿宋_GB2312"/>
          <w:bCs/>
          <w:color w:val="000000" w:themeColor="text1"/>
          <w:sz w:val="32"/>
          <w:szCs w:val="32"/>
          <w14:textFill>
            <w14:solidFill>
              <w14:schemeClr w14:val="tx1"/>
            </w14:solidFill>
          </w14:textFill>
        </w:rPr>
        <w:t>65</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58</w:t>
      </w:r>
      <w:r>
        <w:rPr>
          <w:rFonts w:hint="eastAsia" w:ascii="仿宋_GB2312" w:hAnsi="仿宋" w:eastAsia="仿宋_GB2312"/>
          <w:bCs/>
          <w:color w:val="000000" w:themeColor="text1"/>
          <w:sz w:val="32"/>
          <w:szCs w:val="32"/>
          <w14:textFill>
            <w14:solidFill>
              <w14:schemeClr w14:val="tx1"/>
            </w14:solidFill>
          </w14:textFill>
        </w:rPr>
        <w:t>亿元和8</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15</w:t>
      </w:r>
      <w:r>
        <w:rPr>
          <w:rFonts w:hint="eastAsia" w:ascii="仿宋_GB2312" w:hAnsi="仿宋" w:eastAsia="仿宋_GB2312"/>
          <w:bCs/>
          <w:color w:val="000000" w:themeColor="text1"/>
          <w:sz w:val="32"/>
          <w:szCs w:val="32"/>
          <w14:textFill>
            <w14:solidFill>
              <w14:schemeClr w14:val="tx1"/>
            </w14:solidFill>
          </w14:textFill>
        </w:rPr>
        <w:t>亿元，占规模以上工业比重分别达3</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%和</w:t>
      </w:r>
      <w:r>
        <w:rPr>
          <w:rFonts w:ascii="仿宋_GB2312" w:hAnsi="仿宋" w:eastAsia="仿宋_GB2312"/>
          <w:bCs/>
          <w:color w:val="000000" w:themeColor="text1"/>
          <w:sz w:val="32"/>
          <w:szCs w:val="32"/>
          <w14:textFill>
            <w14:solidFill>
              <w14:schemeClr w14:val="tx1"/>
            </w14:solidFill>
          </w14:textFill>
        </w:rPr>
        <w:t>41</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%，分别比2015年提高10.</w:t>
      </w:r>
      <w:r>
        <w:rPr>
          <w:rFonts w:ascii="仿宋_GB2312" w:hAnsi="仿宋" w:eastAsia="仿宋_GB2312"/>
          <w:bCs/>
          <w:color w:val="000000" w:themeColor="text1"/>
          <w:sz w:val="32"/>
          <w:szCs w:val="32"/>
          <w14:textFill>
            <w14:solidFill>
              <w14:schemeClr w14:val="tx1"/>
            </w14:solidFill>
          </w14:textFill>
        </w:rPr>
        <w:t>9</w:t>
      </w:r>
      <w:r>
        <w:rPr>
          <w:rFonts w:hint="eastAsia" w:ascii="仿宋_GB2312" w:hAnsi="仿宋" w:eastAsia="仿宋_GB2312"/>
          <w:bCs/>
          <w:color w:val="000000" w:themeColor="text1"/>
          <w:sz w:val="32"/>
          <w:szCs w:val="32"/>
          <w14:textFill>
            <w14:solidFill>
              <w14:schemeClr w14:val="tx1"/>
            </w14:solidFill>
          </w14:textFill>
        </w:rPr>
        <w:t>个和1</w:t>
      </w:r>
      <w:r>
        <w:rPr>
          <w:rFonts w:ascii="仿宋_GB2312" w:hAnsi="仿宋" w:eastAsia="仿宋_GB2312"/>
          <w:bCs/>
          <w:color w:val="000000" w:themeColor="text1"/>
          <w:sz w:val="32"/>
          <w:szCs w:val="32"/>
          <w14:textFill>
            <w14:solidFill>
              <w14:schemeClr w14:val="tx1"/>
            </w14:solidFill>
          </w14:textFill>
        </w:rPr>
        <w:t>6</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个</w:t>
      </w:r>
      <w:r>
        <w:rPr>
          <w:rFonts w:hint="eastAsia" w:ascii="仿宋_GB2312" w:hAnsi="仿宋" w:eastAsia="仿宋_GB2312" w:cs="仿宋"/>
          <w:bCs/>
          <w:color w:val="000000" w:themeColor="text1"/>
          <w:sz w:val="32"/>
          <w:szCs w:val="32"/>
          <w14:textFill>
            <w14:solidFill>
              <w14:schemeClr w14:val="tx1"/>
            </w14:solidFill>
          </w14:textFill>
        </w:rPr>
        <w:t>百分点。工业八大主要行业中，规模以上电子信息制造业、电气机械和器材制造业、金属制品业、非金属矿物制品业增加值占规模以上工业比重分别比2</w:t>
      </w:r>
      <w:r>
        <w:rPr>
          <w:rFonts w:ascii="仿宋_GB2312" w:hAnsi="仿宋" w:eastAsia="仿宋_GB2312" w:cs="仿宋"/>
          <w:bCs/>
          <w:color w:val="000000" w:themeColor="text1"/>
          <w:sz w:val="32"/>
          <w:szCs w:val="32"/>
          <w14:textFill>
            <w14:solidFill>
              <w14:schemeClr w14:val="tx1"/>
            </w14:solidFill>
          </w14:textFill>
        </w:rPr>
        <w:t>015</w:t>
      </w:r>
      <w:r>
        <w:rPr>
          <w:rFonts w:hint="eastAsia" w:ascii="仿宋_GB2312" w:hAnsi="仿宋" w:eastAsia="仿宋_GB2312" w:cs="仿宋"/>
          <w:bCs/>
          <w:color w:val="000000" w:themeColor="text1"/>
          <w:sz w:val="32"/>
          <w:szCs w:val="32"/>
          <w14:textFill>
            <w14:solidFill>
              <w14:schemeClr w14:val="tx1"/>
            </w14:solidFill>
          </w14:textFill>
        </w:rPr>
        <w:t>年提升3</w:t>
      </w:r>
      <w:r>
        <w:rPr>
          <w:rFonts w:ascii="仿宋_GB2312" w:hAnsi="仿宋" w:eastAsia="仿宋_GB2312" w:cs="仿宋"/>
          <w:bCs/>
          <w:color w:val="000000" w:themeColor="text1"/>
          <w:sz w:val="32"/>
          <w:szCs w:val="32"/>
          <w14:textFill>
            <w14:solidFill>
              <w14:schemeClr w14:val="tx1"/>
            </w14:solidFill>
          </w14:textFill>
        </w:rPr>
        <w:t>.6</w:t>
      </w:r>
      <w:r>
        <w:rPr>
          <w:rFonts w:hint="eastAsia" w:ascii="仿宋_GB2312" w:hAnsi="仿宋" w:eastAsia="仿宋_GB2312" w:cs="仿宋"/>
          <w:bCs/>
          <w:color w:val="000000" w:themeColor="text1"/>
          <w:sz w:val="32"/>
          <w:szCs w:val="32"/>
          <w14:textFill>
            <w14:solidFill>
              <w14:schemeClr w14:val="tx1"/>
            </w14:solidFill>
          </w14:textFill>
        </w:rPr>
        <w:t>个、6</w:t>
      </w:r>
      <w:r>
        <w:rPr>
          <w:rFonts w:ascii="仿宋_GB2312" w:hAnsi="仿宋" w:eastAsia="仿宋_GB2312" w:cs="仿宋"/>
          <w:bCs/>
          <w:color w:val="000000" w:themeColor="text1"/>
          <w:sz w:val="32"/>
          <w:szCs w:val="32"/>
          <w14:textFill>
            <w14:solidFill>
              <w14:schemeClr w14:val="tx1"/>
            </w14:solidFill>
          </w14:textFill>
        </w:rPr>
        <w:t>.7</w:t>
      </w:r>
      <w:r>
        <w:rPr>
          <w:rFonts w:hint="eastAsia" w:ascii="仿宋_GB2312" w:hAnsi="仿宋" w:eastAsia="仿宋_GB2312" w:cs="仿宋"/>
          <w:bCs/>
          <w:color w:val="000000" w:themeColor="text1"/>
          <w:sz w:val="32"/>
          <w:szCs w:val="32"/>
          <w14:textFill>
            <w14:solidFill>
              <w14:schemeClr w14:val="tx1"/>
            </w14:solidFill>
          </w14:textFill>
        </w:rPr>
        <w:t>个、1</w:t>
      </w:r>
      <w:r>
        <w:rPr>
          <w:rFonts w:ascii="仿宋_GB2312" w:hAnsi="仿宋" w:eastAsia="仿宋_GB2312" w:cs="仿宋"/>
          <w:bCs/>
          <w:color w:val="000000" w:themeColor="text1"/>
          <w:sz w:val="32"/>
          <w:szCs w:val="32"/>
          <w14:textFill>
            <w14:solidFill>
              <w14:schemeClr w14:val="tx1"/>
            </w14:solidFill>
          </w14:textFill>
        </w:rPr>
        <w:t>.7</w:t>
      </w:r>
      <w:r>
        <w:rPr>
          <w:rFonts w:hint="eastAsia" w:ascii="仿宋_GB2312" w:hAnsi="仿宋" w:eastAsia="仿宋_GB2312" w:cs="仿宋"/>
          <w:bCs/>
          <w:color w:val="000000" w:themeColor="text1"/>
          <w:sz w:val="32"/>
          <w:szCs w:val="32"/>
          <w14:textFill>
            <w14:solidFill>
              <w14:schemeClr w14:val="tx1"/>
            </w14:solidFill>
          </w14:textFill>
        </w:rPr>
        <w:t>个、7</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个百分点。</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w:t>
      </w:r>
      <w:r>
        <w:rPr>
          <w:rFonts w:hint="eastAsia" w:ascii="仿宋_GB2312" w:hAnsi="仿宋" w:eastAsia="仿宋_GB2312" w:cs="仿宋"/>
          <w:b/>
          <w:bCs/>
          <w:color w:val="000000" w:themeColor="text1"/>
          <w:sz w:val="32"/>
          <w:szCs w:val="32"/>
          <w14:textFill>
            <w14:solidFill>
              <w14:schemeClr w14:val="tx1"/>
            </w14:solidFill>
          </w14:textFill>
        </w:rPr>
        <w:t>龙头企业实力</w:t>
      </w:r>
      <w:r>
        <w:rPr>
          <w:rFonts w:hint="eastAsia" w:ascii="仿宋_GB2312" w:hAnsi="仿宋" w:eastAsia="仿宋_GB2312" w:cs="仿宋"/>
          <w:b/>
          <w:bCs/>
          <w:color w:val="000000"/>
          <w:sz w:val="32"/>
          <w:szCs w:val="32"/>
        </w:rPr>
        <w:t>提升。</w:t>
      </w:r>
      <w:r>
        <w:rPr>
          <w:rFonts w:hint="eastAsia" w:ascii="仿宋_GB2312" w:hAnsi="仿宋" w:eastAsia="仿宋_GB2312" w:cs="仿宋"/>
          <w:bCs/>
          <w:color w:val="000000" w:themeColor="text1"/>
          <w:sz w:val="32"/>
          <w:szCs w:val="32"/>
          <w14:textFill>
            <w14:solidFill>
              <w14:schemeClr w14:val="tx1"/>
            </w14:solidFill>
          </w14:textFill>
        </w:rPr>
        <w:t>“十三五”以来，我市一批龙头企业不断优化生产布局，实力加快提升。成功引入比亚迪落户陆河工业园和汕尾高新区红草片区，比亚迪陆河汽车试验场、新能源汽车零部件、新材料及消费类电子配件等项目等相继开工建设或投产，比亚迪集团产值近百亿，新能源汽车产业实现从无到有的突破；信利集团发展成为全球领先的拥有全系列显示技术的企业，实力不断增强，产值超200亿，成为汕尾唯一进入广东民营企业百强名单的企业</w:t>
      </w:r>
      <w:r>
        <w:rPr>
          <w:rFonts w:hint="eastAsia" w:ascii="仿宋_GB2312" w:hAnsi="仿宋" w:eastAsia="仿宋_GB2312" w:cs="仿宋"/>
          <w:bCs/>
          <w:color w:val="000000" w:themeColor="text1"/>
          <w:sz w:val="32"/>
          <w:szCs w:val="32"/>
          <w:lang w:eastAsia="zh-CN"/>
          <w14:textFill>
            <w14:solidFill>
              <w14:schemeClr w14:val="tx1"/>
            </w14:solidFill>
          </w14:textFill>
        </w:rPr>
        <w:t>。明阳、天贸</w:t>
      </w:r>
      <w:r>
        <w:rPr>
          <w:rFonts w:hint="eastAsia" w:ascii="仿宋_GB2312" w:hAnsi="仿宋" w:eastAsia="仿宋_GB2312" w:cs="仿宋"/>
          <w:bCs/>
          <w:color w:val="000000" w:themeColor="text1"/>
          <w:sz w:val="32"/>
          <w:szCs w:val="32"/>
          <w14:textFill>
            <w14:solidFill>
              <w14:schemeClr w14:val="tx1"/>
            </w14:solidFill>
          </w14:textFill>
        </w:rPr>
        <w:t>、宝丽华、中广核、红海湾电厂等龙头企业对全市工业发展的支撑力不断增强。截至</w:t>
      </w:r>
      <w:r>
        <w:rPr>
          <w:rFonts w:hint="eastAsia" w:ascii="仿宋_GB2312" w:hAnsi="仿宋" w:eastAsia="仿宋_GB2312"/>
          <w:bCs/>
          <w:color w:val="000000" w:themeColor="text1"/>
          <w:sz w:val="32"/>
          <w:szCs w:val="32"/>
          <w14:textFill>
            <w14:solidFill>
              <w14:schemeClr w14:val="tx1"/>
            </w14:solidFill>
          </w14:textFill>
        </w:rPr>
        <w:t>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年底，</w:t>
      </w:r>
      <w:r>
        <w:rPr>
          <w:rFonts w:hint="eastAsia" w:ascii="仿宋_GB2312" w:hAnsi="仿宋" w:eastAsia="仿宋_GB2312"/>
          <w:bCs/>
          <w:color w:val="000000" w:themeColor="text1"/>
          <w:sz w:val="32"/>
          <w:szCs w:val="32"/>
          <w:lang w:eastAsia="zh-CN"/>
          <w14:textFill>
            <w14:solidFill>
              <w14:schemeClr w14:val="tx1"/>
            </w14:solidFill>
          </w14:textFill>
        </w:rPr>
        <w:t>全市</w:t>
      </w:r>
      <w:r>
        <w:rPr>
          <w:rFonts w:hint="eastAsia" w:ascii="仿宋_GB2312" w:hAnsi="仿宋" w:eastAsia="仿宋_GB2312"/>
          <w:bCs/>
          <w:color w:val="000000" w:themeColor="text1"/>
          <w:sz w:val="32"/>
          <w:szCs w:val="32"/>
          <w14:textFill>
            <w14:solidFill>
              <w14:schemeClr w14:val="tx1"/>
            </w14:solidFill>
          </w14:textFill>
        </w:rPr>
        <w:t>产值超百亿元</w:t>
      </w:r>
      <w:r>
        <w:rPr>
          <w:rFonts w:hint="eastAsia" w:ascii="仿宋_GB2312" w:hAnsi="仿宋" w:eastAsia="仿宋_GB2312"/>
          <w:bCs/>
          <w:color w:val="000000" w:themeColor="text1"/>
          <w:sz w:val="32"/>
          <w:szCs w:val="32"/>
          <w:lang w:eastAsia="zh-CN"/>
          <w14:textFill>
            <w14:solidFill>
              <w14:schemeClr w14:val="tx1"/>
            </w14:solidFill>
          </w14:textFill>
        </w:rPr>
        <w:t>企业</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家。</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——创新活力有所增强。</w:t>
      </w:r>
      <w:r>
        <w:rPr>
          <w:rFonts w:hint="eastAsia" w:ascii="仿宋_GB2312" w:hAnsi="仿宋" w:eastAsia="仿宋_GB2312" w:cs="仿宋"/>
          <w:bCs/>
          <w:color w:val="000000" w:themeColor="text1"/>
          <w:sz w:val="32"/>
          <w:szCs w:val="32"/>
          <w14:textFill>
            <w14:solidFill>
              <w14:schemeClr w14:val="tx1"/>
            </w14:solidFill>
          </w14:textFill>
        </w:rPr>
        <w:t>全市</w:t>
      </w:r>
      <w:r>
        <w:rPr>
          <w:rFonts w:hint="eastAsia" w:ascii="仿宋_GB2312" w:hAnsi="仿宋" w:eastAsia="仿宋_GB2312"/>
          <w:bCs/>
          <w:color w:val="000000" w:themeColor="text1"/>
          <w:sz w:val="32"/>
          <w:szCs w:val="32"/>
          <w14:textFill>
            <w14:solidFill>
              <w14:schemeClr w14:val="tx1"/>
            </w14:solidFill>
          </w14:textFill>
        </w:rPr>
        <w:t>R&amp;D经费支出占GDP比重从2015年的0.7%上升至20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年的0.9%，</w:t>
      </w:r>
      <w:r>
        <w:rPr>
          <w:rFonts w:hint="eastAsia" w:ascii="仿宋_GB2312" w:hAnsi="仿宋" w:eastAsia="仿宋_GB2312" w:cs="仿宋"/>
          <w:bCs/>
          <w:color w:val="000000" w:themeColor="text1"/>
          <w:sz w:val="32"/>
          <w:szCs w:val="32"/>
          <w14:textFill>
            <w14:solidFill>
              <w14:schemeClr w14:val="tx1"/>
            </w14:solidFill>
          </w14:textFill>
        </w:rPr>
        <w:t>国家级高新技术企业</w:t>
      </w:r>
      <w:r>
        <w:rPr>
          <w:rFonts w:hint="eastAsia" w:ascii="仿宋_GB2312" w:hAnsi="仿宋" w:eastAsia="仿宋_GB2312"/>
          <w:bCs/>
          <w:color w:val="000000" w:themeColor="text1"/>
          <w:sz w:val="32"/>
          <w:szCs w:val="32"/>
          <w14:textFill>
            <w14:solidFill>
              <w14:schemeClr w14:val="tx1"/>
            </w14:solidFill>
          </w14:textFill>
        </w:rPr>
        <w:t>从4家</w:t>
      </w:r>
      <w:r>
        <w:rPr>
          <w:rFonts w:hint="eastAsia" w:ascii="仿宋_GB2312" w:hAnsi="仿宋" w:eastAsia="仿宋_GB2312"/>
          <w:bCs/>
          <w:color w:val="000000" w:themeColor="text1"/>
          <w:sz w:val="32"/>
          <w:szCs w:val="32"/>
          <w:u w:val="none"/>
          <w14:textFill>
            <w14:solidFill>
              <w14:schemeClr w14:val="tx1"/>
            </w14:solidFill>
          </w14:textFill>
        </w:rPr>
        <w:t>增至</w:t>
      </w:r>
      <w:r>
        <w:rPr>
          <w:rFonts w:ascii="仿宋_GB2312" w:hAnsi="仿宋" w:eastAsia="仿宋_GB2312"/>
          <w:bCs/>
          <w:color w:val="000000" w:themeColor="text1"/>
          <w:sz w:val="32"/>
          <w:szCs w:val="32"/>
          <w:u w:val="none"/>
          <w14:textFill>
            <w14:solidFill>
              <w14:schemeClr w14:val="tx1"/>
            </w14:solidFill>
          </w14:textFill>
        </w:rPr>
        <w:t>49</w:t>
      </w:r>
      <w:r>
        <w:rPr>
          <w:rFonts w:hint="eastAsia" w:ascii="仿宋_GB2312" w:hAnsi="仿宋" w:eastAsia="仿宋_GB2312"/>
          <w:bCs/>
          <w:color w:val="000000" w:themeColor="text1"/>
          <w:sz w:val="32"/>
          <w:szCs w:val="32"/>
          <w:u w:val="none"/>
          <w14:textFill>
            <w14:solidFill>
              <w14:schemeClr w14:val="tx1"/>
            </w14:solidFill>
          </w14:textFill>
        </w:rPr>
        <w:t>家</w:t>
      </w:r>
      <w:r>
        <w:rPr>
          <w:rFonts w:hint="eastAsia" w:ascii="仿宋_GB2312" w:hAnsi="仿宋" w:eastAsia="仿宋_GB2312"/>
          <w:bCs/>
          <w:color w:val="000000" w:themeColor="text1"/>
          <w:sz w:val="32"/>
          <w:szCs w:val="32"/>
          <w14:textFill>
            <w14:solidFill>
              <w14:schemeClr w14:val="tx1"/>
            </w14:solidFill>
          </w14:textFill>
        </w:rPr>
        <w:t>，入库国家科技型中小企业库企业增至</w:t>
      </w:r>
      <w:r>
        <w:rPr>
          <w:rFonts w:ascii="仿宋_GB2312" w:hAnsi="仿宋" w:eastAsia="仿宋_GB2312"/>
          <w:bCs/>
          <w:color w:val="000000" w:themeColor="text1"/>
          <w:sz w:val="32"/>
          <w:szCs w:val="32"/>
          <w14:textFill>
            <w14:solidFill>
              <w14:schemeClr w14:val="tx1"/>
            </w14:solidFill>
          </w14:textFill>
        </w:rPr>
        <w:t>127</w:t>
      </w:r>
      <w:r>
        <w:rPr>
          <w:rFonts w:hint="eastAsia" w:ascii="仿宋_GB2312" w:hAnsi="仿宋" w:eastAsia="仿宋_GB2312"/>
          <w:bCs/>
          <w:color w:val="000000" w:themeColor="text1"/>
          <w:sz w:val="32"/>
          <w:szCs w:val="32"/>
          <w14:textFill>
            <w14:solidFill>
              <w14:schemeClr w14:val="tx1"/>
            </w14:solidFill>
          </w14:textFill>
        </w:rPr>
        <w:t>家。科技创新平台建设加快，拥有省级企业重点实验室1家、省级工程中心13家、新型研发机构</w:t>
      </w:r>
      <w:r>
        <w:rPr>
          <w:rFonts w:ascii="仿宋_GB2312" w:hAnsi="仿宋" w:eastAsia="仿宋_GB2312"/>
          <w:bCs/>
          <w:color w:val="000000" w:themeColor="text1"/>
          <w:sz w:val="32"/>
          <w:szCs w:val="32"/>
          <w14:textFill>
            <w14:solidFill>
              <w14:schemeClr w14:val="tx1"/>
            </w14:solidFill>
          </w14:textFill>
        </w:rPr>
        <w:t>9</w:t>
      </w:r>
      <w:r>
        <w:rPr>
          <w:rFonts w:hint="eastAsia" w:ascii="仿宋_GB2312" w:hAnsi="仿宋" w:eastAsia="仿宋_GB2312"/>
          <w:bCs/>
          <w:color w:val="000000" w:themeColor="text1"/>
          <w:sz w:val="32"/>
          <w:szCs w:val="32"/>
          <w14:textFill>
            <w14:solidFill>
              <w14:schemeClr w14:val="tx1"/>
            </w14:solidFill>
          </w14:textFill>
        </w:rPr>
        <w:t>家</w:t>
      </w:r>
      <w:r>
        <w:rPr>
          <w:rFonts w:hint="eastAsia" w:ascii="仿宋_GB2312" w:hAnsi="仿宋" w:eastAsia="仿宋_GB2312" w:cs="仿宋"/>
          <w:bCs/>
          <w:color w:val="000000" w:themeColor="text1"/>
          <w:sz w:val="32"/>
          <w:szCs w:val="32"/>
          <w14:textFill>
            <w14:solidFill>
              <w14:schemeClr w14:val="tx1"/>
            </w14:solidFill>
          </w14:textFill>
        </w:rPr>
        <w:t>（省级</w:t>
      </w:r>
      <w:r>
        <w:rPr>
          <w:rFonts w:ascii="仿宋_GB2312" w:hAnsi="仿宋" w:eastAsia="仿宋_GB2312"/>
          <w:bCs/>
          <w:color w:val="000000" w:themeColor="text1"/>
          <w:sz w:val="32"/>
          <w:szCs w:val="32"/>
          <w14:textFill>
            <w14:solidFill>
              <w14:schemeClr w14:val="tx1"/>
            </w14:solidFill>
          </w14:textFill>
        </w:rPr>
        <w:t>4</w:t>
      </w:r>
      <w:r>
        <w:rPr>
          <w:rFonts w:hint="eastAsia" w:ascii="仿宋_GB2312" w:hAnsi="仿宋" w:eastAsia="仿宋_GB2312"/>
          <w:bCs/>
          <w:color w:val="000000" w:themeColor="text1"/>
          <w:sz w:val="32"/>
          <w:szCs w:val="32"/>
          <w14:textFill>
            <w14:solidFill>
              <w14:schemeClr w14:val="tx1"/>
            </w14:solidFill>
          </w14:textFill>
        </w:rPr>
        <w:t>家）。每万人口发明专利拥有量从2015年的0.43件增至20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年的</w:t>
      </w:r>
      <w:r>
        <w:rPr>
          <w:rFonts w:ascii="仿宋_GB2312" w:hAnsi="仿宋" w:eastAsia="仿宋_GB2312"/>
          <w:bCs/>
          <w:color w:val="000000" w:themeColor="text1"/>
          <w:sz w:val="32"/>
          <w:szCs w:val="32"/>
          <w14:textFill>
            <w14:solidFill>
              <w14:schemeClr w14:val="tx1"/>
            </w14:solidFill>
          </w14:textFill>
        </w:rPr>
        <w:t>1.88</w:t>
      </w:r>
      <w:r>
        <w:rPr>
          <w:rFonts w:hint="eastAsia" w:ascii="仿宋_GB2312" w:hAnsi="仿宋" w:eastAsia="仿宋_GB2312"/>
          <w:bCs/>
          <w:color w:val="000000" w:themeColor="text1"/>
          <w:sz w:val="32"/>
          <w:szCs w:val="32"/>
          <w14:textFill>
            <w14:solidFill>
              <w14:schemeClr w14:val="tx1"/>
            </w14:solidFill>
          </w14:textFill>
        </w:rPr>
        <w:t>件。</w:t>
      </w:r>
      <w:r>
        <w:rPr>
          <w:rFonts w:hint="eastAsia" w:ascii="仿宋_GB2312" w:hAnsi="仿宋" w:eastAsia="仿宋_GB2312" w:cs="仿宋"/>
          <w:bCs/>
          <w:color w:val="000000" w:themeColor="text1"/>
          <w:sz w:val="32"/>
          <w:szCs w:val="32"/>
          <w14:textFill>
            <w14:solidFill>
              <w14:schemeClr w14:val="tx1"/>
            </w14:solidFill>
          </w14:textFill>
        </w:rPr>
        <w:t>信息化水平快速提升，2020年全市累计光纤接入用户达到63.23万户，光纤入户率为105.2%。百兆光纤接入用户累计达到57.84万户，百兆光纤用户占比达到91.</w:t>
      </w:r>
      <w:r>
        <w:rPr>
          <w:rFonts w:ascii="仿宋_GB2312" w:hAnsi="仿宋" w:eastAsia="仿宋_GB2312" w:cs="仿宋"/>
          <w:bCs/>
          <w:color w:val="000000" w:themeColor="text1"/>
          <w:sz w:val="32"/>
          <w:szCs w:val="32"/>
          <w14:textFill>
            <w14:solidFill>
              <w14:schemeClr w14:val="tx1"/>
            </w14:solidFill>
          </w14:textFill>
        </w:rPr>
        <w:t>5</w:t>
      </w:r>
      <w:r>
        <w:rPr>
          <w:rFonts w:hint="eastAsia" w:ascii="仿宋_GB2312" w:hAnsi="仿宋" w:eastAsia="仿宋_GB2312" w:cs="仿宋"/>
          <w:bCs/>
          <w:color w:val="000000" w:themeColor="text1"/>
          <w:sz w:val="32"/>
          <w:szCs w:val="32"/>
          <w14:textFill>
            <w14:solidFill>
              <w14:schemeClr w14:val="tx1"/>
            </w14:solidFill>
          </w14:textFill>
        </w:rPr>
        <w:t>%；</w:t>
      </w:r>
      <w:r>
        <w:rPr>
          <w:rFonts w:hint="eastAsia" w:ascii="仿宋_GB2312" w:hAnsi="仿宋" w:eastAsia="仿宋_GB2312"/>
          <w:bCs/>
          <w:color w:val="000000" w:themeColor="text1"/>
          <w:sz w:val="32"/>
          <w:szCs w:val="32"/>
          <w14:textFill>
            <w14:solidFill>
              <w14:schemeClr w14:val="tx1"/>
            </w14:solidFill>
          </w14:textFill>
        </w:rPr>
        <w:t>5G产业快速发展，累计建成5G基站</w:t>
      </w:r>
      <w:r>
        <w:rPr>
          <w:rFonts w:ascii="仿宋_GB2312" w:hAnsi="仿宋" w:eastAsia="仿宋_GB2312"/>
          <w:bCs/>
          <w:color w:val="000000" w:themeColor="text1"/>
          <w:sz w:val="32"/>
          <w:szCs w:val="32"/>
          <w14:textFill>
            <w14:solidFill>
              <w14:schemeClr w14:val="tx1"/>
            </w14:solidFill>
          </w14:textFill>
        </w:rPr>
        <w:t>2011</w:t>
      </w:r>
      <w:r>
        <w:rPr>
          <w:rFonts w:hint="eastAsia" w:ascii="仿宋_GB2312" w:hAnsi="仿宋" w:eastAsia="仿宋_GB2312"/>
          <w:bCs/>
          <w:color w:val="000000" w:themeColor="text1"/>
          <w:sz w:val="32"/>
          <w:szCs w:val="32"/>
          <w14:textFill>
            <w14:solidFill>
              <w14:schemeClr w14:val="tx1"/>
            </w14:solidFill>
          </w14:textFill>
        </w:rPr>
        <w:t>座</w:t>
      </w:r>
      <w:r>
        <w:rPr>
          <w:rFonts w:hint="eastAsia" w:ascii="仿宋_GB2312" w:hAnsi="仿宋" w:eastAsia="仿宋_GB2312" w:cs="仿宋"/>
          <w:bCs/>
          <w:color w:val="000000" w:themeColor="text1"/>
          <w:sz w:val="32"/>
          <w:szCs w:val="32"/>
          <w14:textFill>
            <w14:solidFill>
              <w14:schemeClr w14:val="tx1"/>
            </w14:solidFill>
          </w14:textFill>
        </w:rPr>
        <w:t>，制造业数字化转型、“</w:t>
      </w:r>
      <w:r>
        <w:rPr>
          <w:rFonts w:hint="eastAsia" w:ascii="仿宋_GB2312" w:hAnsi="仿宋" w:eastAsia="仿宋_GB2312"/>
          <w:bCs/>
          <w:color w:val="000000" w:themeColor="text1"/>
          <w:sz w:val="32"/>
          <w:szCs w:val="32"/>
          <w14:textFill>
            <w14:solidFill>
              <w14:schemeClr w14:val="tx1"/>
            </w14:solidFill>
          </w14:textFill>
        </w:rPr>
        <w:t>5G+</w:t>
      </w:r>
      <w:r>
        <w:rPr>
          <w:rFonts w:hint="eastAsia" w:ascii="仿宋_GB2312" w:hAnsi="仿宋" w:eastAsia="仿宋_GB2312" w:cs="仿宋"/>
          <w:bCs/>
          <w:color w:val="000000" w:themeColor="text1"/>
          <w:sz w:val="32"/>
          <w:szCs w:val="32"/>
          <w14:textFill>
            <w14:solidFill>
              <w14:schemeClr w14:val="tx1"/>
            </w14:solidFill>
          </w14:textFill>
        </w:rPr>
        <w:t>工业互联网”应用、“</w:t>
      </w:r>
      <w:r>
        <w:rPr>
          <w:rFonts w:hint="eastAsia" w:ascii="仿宋_GB2312" w:hAnsi="仿宋" w:eastAsia="仿宋_GB2312"/>
          <w:bCs/>
          <w:color w:val="000000" w:themeColor="text1"/>
          <w:sz w:val="32"/>
          <w:szCs w:val="32"/>
          <w14:textFill>
            <w14:solidFill>
              <w14:schemeClr w14:val="tx1"/>
            </w14:solidFill>
          </w14:textFill>
        </w:rPr>
        <w:t>5G+</w:t>
      </w:r>
      <w:r>
        <w:rPr>
          <w:rFonts w:hint="eastAsia" w:ascii="仿宋_GB2312" w:hAnsi="仿宋" w:eastAsia="仿宋_GB2312" w:cs="仿宋"/>
          <w:bCs/>
          <w:color w:val="000000" w:themeColor="text1"/>
          <w:sz w:val="32"/>
          <w:szCs w:val="32"/>
          <w14:textFill>
            <w14:solidFill>
              <w14:schemeClr w14:val="tx1"/>
            </w14:solidFill>
          </w14:textFill>
        </w:rPr>
        <w:t>智慧园区”、“明珠数谷”大数据产业园等建设取得积极进展。</w:t>
      </w:r>
    </w:p>
    <w:p>
      <w:pPr>
        <w:ind w:firstLine="643" w:firstLineChars="200"/>
        <w:rPr>
          <w:rFonts w:ascii="仿宋_GB2312" w:hAnsi="仿宋" w:eastAsia="仿宋_GB2312" w:cs="仿宋"/>
          <w:bCs/>
          <w:color w:val="000000" w:themeColor="text1"/>
          <w:sz w:val="32"/>
          <w:szCs w:val="32"/>
          <w:u w:val="none"/>
          <w14:textFill>
            <w14:solidFill>
              <w14:schemeClr w14:val="tx1"/>
            </w14:solidFill>
          </w14:textFill>
        </w:rPr>
      </w:pPr>
      <w:r>
        <w:rPr>
          <w:rFonts w:hint="eastAsia" w:ascii="仿宋_GB2312" w:hAnsi="仿宋" w:eastAsia="仿宋_GB2312" w:cs="仿宋"/>
          <w:b/>
          <w:bCs/>
          <w:color w:val="000000"/>
          <w:sz w:val="32"/>
          <w:szCs w:val="32"/>
        </w:rPr>
        <w:t>——集聚效应初步显现。</w:t>
      </w:r>
      <w:r>
        <w:rPr>
          <w:rFonts w:hint="eastAsia" w:ascii="仿宋_GB2312" w:hAnsi="仿宋" w:eastAsia="仿宋_GB2312" w:cs="仿宋"/>
          <w:bCs/>
          <w:color w:val="000000" w:themeColor="text1"/>
          <w:sz w:val="32"/>
          <w:szCs w:val="32"/>
          <w14:textFill>
            <w14:solidFill>
              <w14:schemeClr w14:val="tx1"/>
            </w14:solidFill>
          </w14:textFill>
        </w:rPr>
        <w:t>“十三五”以来，</w:t>
      </w:r>
      <w:r>
        <w:rPr>
          <w:rFonts w:hint="eastAsia" w:ascii="仿宋_GB2312" w:hAnsi="仿宋" w:eastAsia="仿宋_GB2312" w:cs="仿宋"/>
          <w:bCs/>
          <w:color w:val="000000" w:themeColor="text1"/>
          <w:sz w:val="32"/>
          <w:szCs w:val="32"/>
          <w:lang w:eastAsia="zh-CN"/>
          <w14:textFill>
            <w14:solidFill>
              <w14:schemeClr w14:val="tx1"/>
            </w14:solidFill>
          </w14:textFill>
        </w:rPr>
        <w:t>汕尾市</w:t>
      </w:r>
      <w:r>
        <w:rPr>
          <w:rFonts w:hint="eastAsia" w:ascii="仿宋_GB2312" w:hAnsi="仿宋" w:eastAsia="仿宋_GB2312" w:cs="仿宋"/>
          <w:bCs/>
          <w:color w:val="000000" w:themeColor="text1"/>
          <w:sz w:val="32"/>
          <w:szCs w:val="32"/>
          <w14:textFill>
            <w14:solidFill>
              <w14:schemeClr w14:val="tx1"/>
            </w14:solidFill>
          </w14:textFill>
        </w:rPr>
        <w:t>以“万亩千亿”产业发展平台为载体，打造高能级产业发展平台。汕尾高新区申报国家高新区取得新进展，陆河高新区成功获批省级高新区。海丰县产业转移工业园及汕尾新区产业集聚地实现扩区，海丰梅陇首饰产业环保集聚区和星都经济开发区产业集聚区纳入省产业转移工业园统计管理；陆丰临港工业园区完成征地面积</w:t>
      </w:r>
      <w:r>
        <w:rPr>
          <w:rFonts w:ascii="仿宋_GB2312" w:hAnsi="仿宋" w:eastAsia="仿宋_GB2312" w:cs="仿宋"/>
          <w:bCs/>
          <w:color w:val="000000" w:themeColor="text1"/>
          <w:sz w:val="32"/>
          <w:szCs w:val="32"/>
          <w:u w:val="single"/>
          <w14:textFill>
            <w14:solidFill>
              <w14:schemeClr w14:val="tx1"/>
            </w14:solidFill>
          </w14:textFill>
        </w:rPr>
        <w:t>38</w:t>
      </w:r>
      <w:r>
        <w:rPr>
          <w:rFonts w:hint="eastAsia" w:ascii="仿宋_GB2312" w:hAnsi="仿宋" w:eastAsia="仿宋_GB2312" w:cs="仿宋"/>
          <w:bCs/>
          <w:color w:val="000000" w:themeColor="text1"/>
          <w:sz w:val="32"/>
          <w:szCs w:val="32"/>
          <w:u w:val="single"/>
          <w14:textFill>
            <w14:solidFill>
              <w14:schemeClr w14:val="tx1"/>
            </w14:solidFill>
          </w14:textFill>
        </w:rPr>
        <w:t>00亩</w:t>
      </w:r>
      <w:r>
        <w:rPr>
          <w:rFonts w:hint="eastAsia" w:ascii="仿宋_GB2312" w:hAnsi="仿宋" w:eastAsia="仿宋_GB2312" w:cs="仿宋"/>
          <w:bCs/>
          <w:color w:val="000000" w:themeColor="text1"/>
          <w:sz w:val="32"/>
          <w:szCs w:val="32"/>
          <w14:textFill>
            <w14:solidFill>
              <w14:schemeClr w14:val="tx1"/>
            </w14:solidFill>
          </w14:textFill>
        </w:rPr>
        <w:t>，拟申报省产业转移工业园。截至2</w:t>
      </w:r>
      <w:r>
        <w:rPr>
          <w:rFonts w:ascii="仿宋_GB2312" w:hAnsi="仿宋" w:eastAsia="仿宋_GB2312" w:cs="仿宋"/>
          <w:bCs/>
          <w:color w:val="000000" w:themeColor="text1"/>
          <w:sz w:val="32"/>
          <w:szCs w:val="32"/>
          <w14:textFill>
            <w14:solidFill>
              <w14:schemeClr w14:val="tx1"/>
            </w14:solidFill>
          </w14:textFill>
        </w:rPr>
        <w:t>020</w:t>
      </w:r>
      <w:r>
        <w:rPr>
          <w:rFonts w:hint="eastAsia" w:ascii="仿宋_GB2312" w:hAnsi="仿宋" w:eastAsia="仿宋_GB2312" w:cs="仿宋"/>
          <w:bCs/>
          <w:color w:val="000000" w:themeColor="text1"/>
          <w:sz w:val="32"/>
          <w:szCs w:val="32"/>
          <w14:textFill>
            <w14:solidFill>
              <w14:schemeClr w14:val="tx1"/>
            </w14:solidFill>
          </w14:textFill>
        </w:rPr>
        <w:t>年底全市产业园区累计投入建设资金95.4亿元，入园项目217个，投产77个，产值达730亿元。工业园区承载能力不断提升，</w:t>
      </w:r>
      <w:r>
        <w:rPr>
          <w:rFonts w:hint="eastAsia" w:ascii="仿宋_GB2312" w:hAnsi="仿宋" w:eastAsia="仿宋_GB2312" w:cs="仿宋"/>
          <w:bCs/>
          <w:color w:val="000000" w:themeColor="text1"/>
          <w:sz w:val="32"/>
          <w:szCs w:val="32"/>
          <w:u w:val="none"/>
          <w14:textFill>
            <w14:solidFill>
              <w14:schemeClr w14:val="tx1"/>
            </w14:solidFill>
          </w14:textFill>
        </w:rPr>
        <w:t>以汕尾高新区、深汕特别合作区拓展区、陆河产业转移工业园、陆丰临港产业园、海丰产业转移工业园为依托，形成高端新型电子信息、智能装备制造、新能源汽车、海洋工程装备制造、精密技术装备制造五大产业发展平台，制造业集聚发展能力明显提升，全市已形成电子信息、电力能源、新能源汽车制造、纺织服装、工艺品加工等</w:t>
      </w:r>
      <w:r>
        <w:rPr>
          <w:rFonts w:ascii="仿宋_GB2312" w:hAnsi="仿宋" w:eastAsia="仿宋_GB2312" w:cs="仿宋"/>
          <w:bCs/>
          <w:color w:val="000000" w:themeColor="text1"/>
          <w:sz w:val="32"/>
          <w:szCs w:val="32"/>
          <w:u w:val="none"/>
          <w14:textFill>
            <w14:solidFill>
              <w14:schemeClr w14:val="tx1"/>
            </w14:solidFill>
          </w14:textFill>
        </w:rPr>
        <w:t>5</w:t>
      </w:r>
      <w:r>
        <w:rPr>
          <w:rFonts w:hint="eastAsia" w:ascii="仿宋_GB2312" w:hAnsi="仿宋" w:eastAsia="仿宋_GB2312" w:cs="仿宋"/>
          <w:bCs/>
          <w:color w:val="000000" w:themeColor="text1"/>
          <w:sz w:val="32"/>
          <w:szCs w:val="32"/>
          <w:u w:val="none"/>
          <w14:textFill>
            <w14:solidFill>
              <w14:schemeClr w14:val="tx1"/>
            </w14:solidFill>
          </w14:textFill>
        </w:rPr>
        <w:t>个产值超百亿产业集群。</w:t>
      </w:r>
    </w:p>
    <w:p>
      <w:pPr>
        <w:ind w:firstLine="640" w:firstLineChars="200"/>
        <w:contextualSpacing/>
        <w:rPr>
          <w:rFonts w:ascii="仿宋_GB2312" w:hAnsi="仿宋" w:eastAsia="仿宋_GB2312" w:cs="仿宋"/>
          <w:b/>
          <w:color w:val="000000"/>
          <w:sz w:val="32"/>
          <w:szCs w:val="32"/>
        </w:rPr>
      </w:pPr>
      <w:r>
        <w:rPr>
          <w:rFonts w:hint="eastAsia" w:ascii="仿宋_GB2312" w:hAnsi="仿宋" w:eastAsia="仿宋_GB2312" w:cs="仿宋"/>
          <w:bCs/>
          <w:color w:val="000000" w:themeColor="text1"/>
          <w:sz w:val="32"/>
          <w:szCs w:val="32"/>
          <w14:textFill>
            <w14:solidFill>
              <w14:schemeClr w14:val="tx1"/>
            </w14:solidFill>
          </w14:textFill>
        </w:rPr>
        <w:t>“十三五”期间,我市制造业发展取得积极进展，但仍处于向工业化中期迈进的相对不发达阶段，制造业高质量发展仍面临不少问题和挑战。</w:t>
      </w:r>
      <w:r>
        <w:rPr>
          <w:rFonts w:hint="eastAsia" w:ascii="仿宋_GB2312" w:hAnsi="仿宋" w:eastAsia="仿宋_GB2312" w:cs="仿宋"/>
          <w:b/>
          <w:color w:val="000000" w:themeColor="text1"/>
          <w:sz w:val="32"/>
          <w:szCs w:val="32"/>
          <w14:textFill>
            <w14:solidFill>
              <w14:schemeClr w14:val="tx1"/>
            </w14:solidFill>
          </w14:textFill>
        </w:rPr>
        <w:t>一</w:t>
      </w:r>
      <w:r>
        <w:rPr>
          <w:rFonts w:hint="eastAsia" w:ascii="仿宋_GB2312" w:hAnsi="仿宋" w:eastAsia="仿宋_GB2312" w:cs="仿宋"/>
          <w:b/>
          <w:bCs/>
          <w:color w:val="000000"/>
          <w:sz w:val="32"/>
          <w:szCs w:val="32"/>
        </w:rPr>
        <w:t>是制造业基础较为薄弱</w:t>
      </w:r>
      <w:r>
        <w:rPr>
          <w:rFonts w:hint="eastAsia" w:ascii="仿宋_GB2312" w:hAnsi="仿宋" w:eastAsia="仿宋_GB2312" w:cs="仿宋"/>
          <w:bCs/>
          <w:color w:val="000000"/>
          <w:sz w:val="32"/>
          <w:szCs w:val="32"/>
        </w:rPr>
        <w:t>。制造业规模偏小，增加值仅占全省总量的</w:t>
      </w:r>
      <w:r>
        <w:rPr>
          <w:rFonts w:ascii="仿宋_GB2312" w:hAnsi="仿宋" w:eastAsia="仿宋_GB2312"/>
          <w:bCs/>
          <w:color w:val="000000" w:themeColor="text1"/>
          <w:sz w:val="32"/>
          <w:szCs w:val="32"/>
          <w14:textFill>
            <w14:solidFill>
              <w14:schemeClr w14:val="tx1"/>
            </w14:solidFill>
          </w14:textFill>
        </w:rPr>
        <w:t>0.64</w:t>
      </w:r>
      <w:r>
        <w:rPr>
          <w:rFonts w:hint="eastAsia" w:ascii="仿宋_GB2312" w:hAnsi="仿宋" w:eastAsia="仿宋_GB2312"/>
          <w:bCs/>
          <w:color w:val="000000" w:themeColor="text1"/>
          <w:sz w:val="32"/>
          <w:szCs w:val="32"/>
          <w14:textFill>
            <w14:solidFill>
              <w14:schemeClr w14:val="tx1"/>
            </w14:solidFill>
          </w14:textFill>
        </w:rPr>
        <w:t>%</w:t>
      </w:r>
      <w:r>
        <w:rPr>
          <w:rFonts w:hint="eastAsia" w:ascii="仿宋_GB2312" w:hAnsi="仿宋" w:eastAsia="仿宋_GB2312" w:cs="仿宋"/>
          <w:bCs/>
          <w:color w:val="000000"/>
          <w:sz w:val="32"/>
          <w:szCs w:val="32"/>
        </w:rPr>
        <w:t>。最大的战略性支柱产业电子信息制造业2</w:t>
      </w:r>
      <w:r>
        <w:rPr>
          <w:rFonts w:ascii="仿宋_GB2312" w:hAnsi="仿宋" w:eastAsia="仿宋_GB2312" w:cs="仿宋"/>
          <w:bCs/>
          <w:color w:val="000000"/>
          <w:sz w:val="32"/>
          <w:szCs w:val="32"/>
        </w:rPr>
        <w:t>020</w:t>
      </w:r>
      <w:r>
        <w:rPr>
          <w:rFonts w:hint="eastAsia" w:ascii="仿宋_GB2312" w:hAnsi="仿宋" w:eastAsia="仿宋_GB2312" w:cs="仿宋"/>
          <w:bCs/>
          <w:color w:val="000000"/>
          <w:sz w:val="32"/>
          <w:szCs w:val="32"/>
        </w:rPr>
        <w:t>年规模以上工业增加值仅为5</w:t>
      </w:r>
      <w:r>
        <w:rPr>
          <w:rFonts w:ascii="仿宋_GB2312" w:hAnsi="仿宋" w:eastAsia="仿宋_GB2312" w:cs="仿宋"/>
          <w:bCs/>
          <w:color w:val="000000"/>
          <w:sz w:val="32"/>
          <w:szCs w:val="32"/>
        </w:rPr>
        <w:t>0.24</w:t>
      </w:r>
      <w:r>
        <w:rPr>
          <w:rFonts w:hint="eastAsia" w:ascii="仿宋_GB2312" w:hAnsi="仿宋" w:eastAsia="仿宋_GB2312" w:cs="仿宋"/>
          <w:bCs/>
          <w:color w:val="000000"/>
          <w:sz w:val="32"/>
          <w:szCs w:val="32"/>
        </w:rPr>
        <w:t>亿元，仅</w:t>
      </w:r>
      <w:r>
        <w:rPr>
          <w:rFonts w:hint="eastAsia" w:ascii="仿宋_GB2312" w:hAnsi="仿宋" w:eastAsia="仿宋_GB2312" w:cs="仿宋"/>
          <w:bCs/>
          <w:color w:val="000000"/>
          <w:sz w:val="32"/>
          <w:szCs w:val="32"/>
          <w:lang w:eastAsia="zh-CN"/>
        </w:rPr>
        <w:t>占</w:t>
      </w:r>
      <w:r>
        <w:rPr>
          <w:rFonts w:hint="eastAsia" w:ascii="仿宋_GB2312" w:hAnsi="仿宋" w:eastAsia="仿宋_GB2312" w:cs="仿宋"/>
          <w:bCs/>
          <w:color w:val="000000"/>
          <w:sz w:val="32"/>
          <w:szCs w:val="32"/>
        </w:rPr>
        <w:t>全省的0</w:t>
      </w:r>
      <w:r>
        <w:rPr>
          <w:rFonts w:ascii="仿宋_GB2312" w:hAnsi="仿宋" w:eastAsia="仿宋_GB2312" w:cs="仿宋"/>
          <w:bCs/>
          <w:color w:val="000000"/>
          <w:sz w:val="32"/>
          <w:szCs w:val="32"/>
        </w:rPr>
        <w:t>.58</w:t>
      </w:r>
      <w:r>
        <w:rPr>
          <w:rFonts w:hint="eastAsia" w:ascii="仿宋_GB2312" w:hAnsi="仿宋" w:eastAsia="仿宋_GB2312" w:cs="仿宋"/>
          <w:bCs/>
          <w:color w:val="000000"/>
          <w:sz w:val="32"/>
          <w:szCs w:val="32"/>
        </w:rPr>
        <w:t>%。制造业缺少大企业大项目支撑，产值超百亿的企业仅有</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家</w:t>
      </w:r>
      <w:r>
        <w:rPr>
          <w:rFonts w:hint="eastAsia" w:ascii="仿宋_GB2312" w:hAnsi="仿宋" w:eastAsia="仿宋_GB2312" w:cs="仿宋"/>
          <w:bCs/>
          <w:color w:val="000000"/>
          <w:sz w:val="32"/>
          <w:szCs w:val="32"/>
        </w:rPr>
        <w:t>。2</w:t>
      </w:r>
      <w:r>
        <w:rPr>
          <w:rFonts w:ascii="仿宋_GB2312" w:hAnsi="仿宋" w:eastAsia="仿宋_GB2312" w:cs="仿宋"/>
          <w:bCs/>
          <w:color w:val="000000"/>
          <w:sz w:val="32"/>
          <w:szCs w:val="32"/>
        </w:rPr>
        <w:t>020</w:t>
      </w:r>
      <w:r>
        <w:rPr>
          <w:rFonts w:hint="eastAsia" w:ascii="仿宋_GB2312" w:hAnsi="仿宋" w:eastAsia="仿宋_GB2312" w:cs="仿宋"/>
          <w:bCs/>
          <w:color w:val="000000"/>
          <w:sz w:val="32"/>
          <w:szCs w:val="32"/>
        </w:rPr>
        <w:t>年规模以上工业企业和“四上”企业分别仅有249家、7</w:t>
      </w:r>
      <w:r>
        <w:rPr>
          <w:rFonts w:ascii="仿宋_GB2312" w:hAnsi="仿宋" w:eastAsia="仿宋_GB2312" w:cs="仿宋"/>
          <w:bCs/>
          <w:color w:val="000000"/>
          <w:sz w:val="32"/>
          <w:szCs w:val="32"/>
        </w:rPr>
        <w:t>65</w:t>
      </w:r>
      <w:r>
        <w:rPr>
          <w:rFonts w:hint="eastAsia" w:ascii="仿宋_GB2312" w:hAnsi="仿宋" w:eastAsia="仿宋_GB2312" w:cs="仿宋"/>
          <w:bCs/>
          <w:color w:val="000000"/>
          <w:sz w:val="32"/>
          <w:szCs w:val="32"/>
        </w:rPr>
        <w:t>家，均为全省最少。与此同时，产业发展层次偏低，</w:t>
      </w:r>
      <w:r>
        <w:rPr>
          <w:rFonts w:hint="eastAsia" w:ascii="仿宋_GB2312" w:hAnsi="仿宋" w:eastAsia="仿宋_GB2312" w:cs="仿宋"/>
          <w:bCs/>
          <w:color w:val="000000" w:themeColor="text1"/>
          <w:sz w:val="32"/>
          <w:szCs w:val="32"/>
          <w14:textFill>
            <w14:solidFill>
              <w14:schemeClr w14:val="tx1"/>
            </w14:solidFill>
          </w14:textFill>
        </w:rPr>
        <w:t>整体处于价值链低端环节，竞争优势不明显。</w:t>
      </w:r>
      <w:r>
        <w:rPr>
          <w:rFonts w:hint="eastAsia" w:ascii="仿宋_GB2312" w:hAnsi="仿宋" w:eastAsia="仿宋_GB2312" w:cs="仿宋"/>
          <w:b/>
          <w:bCs/>
          <w:color w:val="000000"/>
          <w:sz w:val="32"/>
          <w:szCs w:val="32"/>
        </w:rPr>
        <w:t>二是产业链相对脆弱。</w:t>
      </w:r>
      <w:r>
        <w:rPr>
          <w:rFonts w:hint="eastAsia" w:ascii="仿宋_GB2312" w:hAnsi="仿宋" w:eastAsia="仿宋_GB2312" w:cs="仿宋"/>
          <w:color w:val="000000"/>
          <w:sz w:val="32"/>
          <w:szCs w:val="32"/>
        </w:rPr>
        <w:t>龙头企业带动能力不强，</w:t>
      </w:r>
      <w:r>
        <w:rPr>
          <w:rFonts w:hint="eastAsia" w:ascii="仿宋_GB2312" w:hAnsi="仿宋" w:eastAsia="仿宋_GB2312" w:cs="仿宋"/>
          <w:bCs/>
          <w:color w:val="000000" w:themeColor="text1"/>
          <w:sz w:val="32"/>
          <w:szCs w:val="32"/>
          <w14:textFill>
            <w14:solidFill>
              <w14:schemeClr w14:val="tx1"/>
            </w14:solidFill>
          </w14:textFill>
        </w:rPr>
        <w:t>关键元器件、核心零部件等本地配套能力较弱，上下游企业关联度不</w:t>
      </w:r>
      <w:r>
        <w:rPr>
          <w:rFonts w:hint="eastAsia" w:ascii="仿宋_GB2312" w:hAnsi="仿宋" w:eastAsia="仿宋_GB2312" w:cs="仿宋"/>
          <w:bCs/>
          <w:color w:val="000000"/>
          <w:sz w:val="32"/>
          <w:szCs w:val="32"/>
        </w:rPr>
        <w:t>高</w:t>
      </w:r>
      <w:r>
        <w:rPr>
          <w:rFonts w:hint="eastAsia" w:ascii="仿宋_GB2312" w:hAnsi="仿宋" w:eastAsia="仿宋_GB2312" w:cs="仿宋"/>
          <w:bCs/>
          <w:color w:val="000000" w:themeColor="text1"/>
          <w:sz w:val="32"/>
          <w:szCs w:val="32"/>
          <w14:textFill>
            <w14:solidFill>
              <w14:schemeClr w14:val="tx1"/>
            </w14:solidFill>
          </w14:textFill>
        </w:rPr>
        <w:t>，产业链不健全。如新能源汽车产业主要以组装新能源大巴和零部件生产为主，还未形成完整产业链条。</w:t>
      </w:r>
      <w:r>
        <w:rPr>
          <w:rFonts w:hint="eastAsia" w:ascii="仿宋_GB2312" w:hAnsi="仿宋" w:eastAsia="仿宋_GB2312" w:cs="仿宋"/>
          <w:b/>
          <w:bCs/>
          <w:color w:val="000000"/>
          <w:sz w:val="32"/>
          <w:szCs w:val="32"/>
        </w:rPr>
        <w:t>三是创新能力有待提升。</w:t>
      </w:r>
      <w:r>
        <w:rPr>
          <w:rFonts w:hint="eastAsia" w:ascii="仿宋_GB2312" w:hAnsi="仿宋" w:eastAsia="仿宋_GB2312" w:cs="仿宋"/>
          <w:bCs/>
          <w:color w:val="000000" w:themeColor="text1"/>
          <w:sz w:val="32"/>
          <w:szCs w:val="32"/>
          <w14:textFill>
            <w14:solidFill>
              <w14:schemeClr w14:val="tx1"/>
            </w14:solidFill>
          </w14:textFill>
        </w:rPr>
        <w:t>仅有1所大专院校，</w:t>
      </w:r>
      <w:r>
        <w:rPr>
          <w:rFonts w:hint="eastAsia" w:ascii="仿宋_GB2312" w:hAnsi="仿宋" w:eastAsia="仿宋_GB2312" w:cs="仿宋"/>
          <w:bCs/>
          <w:color w:val="000000" w:themeColor="text1"/>
          <w:sz w:val="32"/>
          <w:szCs w:val="32"/>
          <w:u w:val="none"/>
          <w14:textFill>
            <w14:solidFill>
              <w14:schemeClr w14:val="tx1"/>
            </w14:solidFill>
          </w14:textFill>
        </w:rPr>
        <w:t>新建的华南师范大学汕尾校区开始招生，国家级高新技术企业仅</w:t>
      </w:r>
      <w:r>
        <w:rPr>
          <w:rFonts w:ascii="仿宋_GB2312" w:hAnsi="仿宋" w:eastAsia="仿宋_GB2312" w:cs="仿宋"/>
          <w:bCs/>
          <w:color w:val="000000" w:themeColor="text1"/>
          <w:sz w:val="32"/>
          <w:szCs w:val="32"/>
          <w:u w:val="none"/>
          <w14:textFill>
            <w14:solidFill>
              <w14:schemeClr w14:val="tx1"/>
            </w14:solidFill>
          </w14:textFill>
        </w:rPr>
        <w:t>49</w:t>
      </w:r>
      <w:r>
        <w:rPr>
          <w:rFonts w:hint="eastAsia" w:ascii="仿宋_GB2312" w:hAnsi="仿宋" w:eastAsia="仿宋_GB2312" w:cs="仿宋"/>
          <w:bCs/>
          <w:color w:val="000000" w:themeColor="text1"/>
          <w:sz w:val="32"/>
          <w:szCs w:val="32"/>
          <w:u w:val="none"/>
          <w14:textFill>
            <w14:solidFill>
              <w14:schemeClr w14:val="tx1"/>
            </w14:solidFill>
          </w14:textFill>
        </w:rPr>
        <w:t>家，</w:t>
      </w:r>
      <w:r>
        <w:rPr>
          <w:rFonts w:hint="eastAsia" w:ascii="仿宋_GB2312" w:hAnsi="仿宋" w:eastAsia="仿宋_GB2312" w:cs="仿宋"/>
          <w:bCs/>
          <w:color w:val="000000" w:themeColor="text1"/>
          <w:sz w:val="32"/>
          <w:szCs w:val="32"/>
          <w14:textFill>
            <w14:solidFill>
              <w14:schemeClr w14:val="tx1"/>
            </w14:solidFill>
          </w14:textFill>
        </w:rPr>
        <w:t>占全省比重不到0.</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缺乏重点实验室、新型研发机构、科技企业孵化器等创新平台，科技创新能力弱，对产业发展的引领带动不够。企业的技术创新动力不足，还没有1家上市公司。目前还没有国家“万人计划”层次专家和“珠江人才计划”和“广东特支计划”领军人才，高素质创新性人才和高技能人才总量不足。</w:t>
      </w:r>
      <w:r>
        <w:rPr>
          <w:rFonts w:hint="eastAsia" w:ascii="仿宋_GB2312" w:hAnsi="仿宋" w:eastAsia="仿宋_GB2312" w:cs="仿宋"/>
          <w:b/>
          <w:bCs/>
          <w:color w:val="000000"/>
          <w:sz w:val="32"/>
          <w:szCs w:val="32"/>
        </w:rPr>
        <w:t>四是传统制造业转型升级仍显滞后</w:t>
      </w:r>
      <w:r>
        <w:rPr>
          <w:rFonts w:hint="eastAsia" w:ascii="仿宋_GB2312" w:hAnsi="仿宋" w:eastAsia="仿宋_GB2312" w:cs="仿宋"/>
          <w:bCs/>
          <w:color w:val="000000"/>
          <w:sz w:val="32"/>
          <w:szCs w:val="32"/>
        </w:rPr>
        <w:t>。金银珠宝首饰与美妆、纺织服装等传统制造业已形成较为完善的产业链条，但企业多为“前店后厂”“三来一补”的作坊式生产加工企业，规模偏小，缺乏设计、研发等方面的高素质人才，同质化竞争严重，整体处于价值链低端，抵抗风险能力较差，亟需加快转型升级。</w:t>
      </w:r>
      <w:r>
        <w:rPr>
          <w:rFonts w:hint="eastAsia" w:ascii="仿宋_GB2312" w:hAnsi="仿宋" w:eastAsia="仿宋_GB2312" w:cs="仿宋"/>
          <w:b/>
          <w:bCs/>
          <w:color w:val="000000"/>
          <w:sz w:val="32"/>
          <w:szCs w:val="32"/>
        </w:rPr>
        <w:t>五是支撑制造业高质量发展的营商环境和要素配置还有优化提升空间</w:t>
      </w:r>
      <w:r>
        <w:rPr>
          <w:rFonts w:hint="eastAsia" w:ascii="仿宋_GB2312" w:hAnsi="仿宋" w:eastAsia="仿宋_GB2312" w:cs="仿宋"/>
          <w:bCs/>
          <w:color w:val="000000"/>
          <w:sz w:val="32"/>
          <w:szCs w:val="32"/>
        </w:rPr>
        <w:t>。营商环境与周边城市特别是深圳相比，仍存在巨大落差。部分产业园区仍存在园区基本功能不够完善、生活配套不足等问题，总体看制造业发展仍存在用地紧张、中小企业“融资难”“融资贵”、人才紧缺等问题。</w:t>
      </w:r>
    </w:p>
    <w:p>
      <w:pPr>
        <w:ind w:firstLine="610"/>
        <w:contextualSpacing/>
        <w:outlineLvl w:val="1"/>
        <w:rPr>
          <w:rFonts w:ascii="楷体_GB2312" w:hAnsi="仿宋" w:eastAsia="楷体_GB2312" w:cs="仿宋"/>
          <w:bCs/>
          <w:color w:val="000000"/>
          <w:sz w:val="32"/>
          <w:szCs w:val="32"/>
        </w:rPr>
      </w:pPr>
      <w:bookmarkStart w:id="5" w:name="_Toc254"/>
      <w:r>
        <w:rPr>
          <w:rFonts w:hint="eastAsia" w:ascii="楷体_GB2312" w:hAnsi="仿宋" w:eastAsia="楷体_GB2312" w:cs="仿宋"/>
          <w:bCs/>
          <w:color w:val="000000"/>
          <w:sz w:val="32"/>
          <w:szCs w:val="32"/>
        </w:rPr>
        <w:t>（二）“十四五”面临的发展形势</w:t>
      </w:r>
      <w:bookmarkEnd w:id="5"/>
    </w:p>
    <w:p>
      <w:pPr>
        <w:widowControl/>
        <w:shd w:val="clear" w:color="auto" w:fill="FFFFFF"/>
        <w:ind w:firstLine="643" w:firstLineChars="200"/>
        <w:contextualSpacing/>
        <w:rPr>
          <w:rFonts w:ascii="仿宋_GB2312" w:hAnsi="仿宋" w:eastAsia="仿宋_GB2312" w:cs="仿宋"/>
          <w:b/>
          <w:bCs/>
          <w:sz w:val="32"/>
          <w:szCs w:val="32"/>
        </w:rPr>
      </w:pPr>
      <w:r>
        <w:rPr>
          <w:rFonts w:hint="eastAsia" w:ascii="仿宋_GB2312" w:hAnsi="仿宋" w:eastAsia="仿宋_GB2312"/>
          <w:b/>
          <w:bCs/>
          <w:sz w:val="32"/>
          <w:szCs w:val="32"/>
        </w:rPr>
        <w:t>1.</w:t>
      </w:r>
      <w:r>
        <w:rPr>
          <w:rFonts w:hint="eastAsia" w:ascii="仿宋_GB2312" w:hAnsi="仿宋" w:eastAsia="仿宋_GB2312" w:cs="仿宋"/>
          <w:b/>
          <w:bCs/>
          <w:sz w:val="32"/>
          <w:szCs w:val="32"/>
        </w:rPr>
        <w:t>发展机遇</w:t>
      </w:r>
    </w:p>
    <w:p>
      <w:pPr>
        <w:ind w:firstLine="643" w:firstLineChars="200"/>
        <w:contextualSpacing/>
        <w:rPr>
          <w:rFonts w:ascii="仿宋_GB2312" w:hAnsi="仿宋" w:eastAsia="仿宋_GB2312" w:cs="仿宋"/>
          <w:b/>
          <w:bCs/>
          <w:color w:val="000000"/>
          <w:sz w:val="32"/>
          <w:szCs w:val="32"/>
        </w:rPr>
      </w:pPr>
      <w:r>
        <w:rPr>
          <w:rFonts w:hint="eastAsia" w:ascii="仿宋_GB2312" w:hAnsi="仿宋" w:eastAsia="仿宋_GB2312" w:cs="仿宋"/>
          <w:b/>
          <w:bCs/>
          <w:color w:val="000000"/>
          <w:sz w:val="32"/>
          <w:szCs w:val="32"/>
        </w:rPr>
        <w:t>——</w:t>
      </w:r>
      <w:bookmarkStart w:id="6" w:name="_Hlk66250841"/>
      <w:r>
        <w:rPr>
          <w:rFonts w:hint="eastAsia" w:ascii="仿宋_GB2312" w:hAnsi="仿宋" w:eastAsia="仿宋_GB2312" w:cs="仿宋"/>
          <w:b/>
          <w:bCs/>
          <w:color w:val="000000"/>
          <w:sz w:val="32"/>
          <w:szCs w:val="32"/>
        </w:rPr>
        <w:t>新一轮科技革命和产业变革</w:t>
      </w:r>
      <w:bookmarkEnd w:id="6"/>
      <w:r>
        <w:rPr>
          <w:rFonts w:hint="eastAsia" w:ascii="仿宋_GB2312" w:hAnsi="仿宋" w:eastAsia="仿宋_GB2312" w:cs="仿宋"/>
          <w:b/>
          <w:bCs/>
          <w:color w:val="000000"/>
          <w:sz w:val="32"/>
          <w:szCs w:val="32"/>
        </w:rPr>
        <w:t>深入酝酿，为汕尾制造业加快发展壮大带来新机遇。</w:t>
      </w:r>
      <w:r>
        <w:rPr>
          <w:rFonts w:hint="eastAsia" w:ascii="仿宋_GB2312" w:hAnsi="仿宋" w:eastAsia="仿宋_GB2312" w:cs="仿宋"/>
          <w:bCs/>
          <w:color w:val="000000" w:themeColor="text1"/>
          <w:sz w:val="32"/>
          <w:szCs w:val="32"/>
          <w14:textFill>
            <w14:solidFill>
              <w14:schemeClr w14:val="tx1"/>
            </w14:solidFill>
          </w14:textFill>
        </w:rPr>
        <w:t>以新一代信息技术、新能源、新材料、生命科学为代表的新一轮科技革命和产业变革在全球范围蓬勃兴起，特别是大数据、物联网、移动互联网、人工智能等数字技术的快速兴起，正加快重塑制造业产业组织模式和企业形态</w:t>
      </w:r>
      <w:r>
        <w:rPr>
          <w:rFonts w:hint="eastAsia" w:ascii="仿宋_GB2312" w:hAnsi="仿宋" w:eastAsia="仿宋_GB2312" w:cs="仿宋"/>
          <w:bCs/>
          <w:color w:val="000000"/>
          <w:sz w:val="32"/>
          <w:szCs w:val="32"/>
        </w:rPr>
        <w:t>，催生出更多新技术、新产业、新业态、新模式。</w:t>
      </w:r>
      <w:r>
        <w:rPr>
          <w:rFonts w:hint="eastAsia" w:ascii="仿宋_GB2312" w:hAnsi="仿宋" w:eastAsia="仿宋_GB2312" w:cs="仿宋"/>
          <w:bCs/>
          <w:color w:val="000000" w:themeColor="text1"/>
          <w:sz w:val="32"/>
          <w:szCs w:val="32"/>
          <w14:textFill>
            <w14:solidFill>
              <w14:schemeClr w14:val="tx1"/>
            </w14:solidFill>
          </w14:textFill>
        </w:rPr>
        <w:t>新冠肺炎疫情</w:t>
      </w:r>
      <w:r>
        <w:rPr>
          <w:rFonts w:hint="eastAsia" w:ascii="仿宋_GB2312" w:hAnsi="仿宋" w:eastAsia="仿宋_GB2312" w:cs="仿宋"/>
          <w:bCs/>
          <w:color w:val="000000" w:themeColor="text1"/>
          <w:sz w:val="32"/>
          <w:szCs w:val="32"/>
          <w:lang w:eastAsia="zh-CN"/>
          <w14:textFill>
            <w14:solidFill>
              <w14:schemeClr w14:val="tx1"/>
            </w14:solidFill>
          </w14:textFill>
        </w:rPr>
        <w:t>爆</w:t>
      </w:r>
      <w:r>
        <w:rPr>
          <w:rFonts w:hint="eastAsia" w:ascii="仿宋_GB2312" w:hAnsi="仿宋" w:eastAsia="仿宋_GB2312" w:cs="仿宋"/>
          <w:bCs/>
          <w:color w:val="000000" w:themeColor="text1"/>
          <w:sz w:val="32"/>
          <w:szCs w:val="32"/>
          <w14:textFill>
            <w14:solidFill>
              <w14:schemeClr w14:val="tx1"/>
            </w14:solidFill>
          </w14:textFill>
        </w:rPr>
        <w:t>发，加速推动全省制造业向数字化、网络化、智能化、绿色化和服务化转型，制造业转型升级步伐加快，</w:t>
      </w:r>
      <w:r>
        <w:rPr>
          <w:rFonts w:hint="eastAsia" w:ascii="仿宋_GB2312" w:hAnsi="仿宋" w:eastAsia="仿宋_GB2312" w:cs="仿宋"/>
          <w:bCs/>
          <w:color w:val="000000"/>
          <w:sz w:val="32"/>
          <w:szCs w:val="32"/>
        </w:rPr>
        <w:t>为汕尾制造业弯道超车、培育经济增长新动能提供了新机遇。</w:t>
      </w:r>
    </w:p>
    <w:p>
      <w:pPr>
        <w:ind w:firstLine="643" w:firstLineChars="200"/>
        <w:contextualSpacing/>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——“双区驱动”、“双城联动”为汕尾制造业高质量发展带来重大战略机遇。</w:t>
      </w:r>
      <w:r>
        <w:rPr>
          <w:rFonts w:hint="eastAsia" w:ascii="仿宋_GB2312" w:hAnsi="仿宋" w:eastAsia="仿宋_GB2312"/>
          <w:bCs/>
          <w:color w:val="000000" w:themeColor="text1"/>
          <w:sz w:val="32"/>
          <w:szCs w:val="32"/>
          <w14:textFill>
            <w14:solidFill>
              <w14:schemeClr w14:val="tx1"/>
            </w14:solidFill>
          </w14:textFill>
        </w:rPr>
        <w:t>粤港澳大湾区建设、</w:t>
      </w:r>
      <w:r>
        <w:rPr>
          <w:rFonts w:hint="eastAsia" w:ascii="仿宋_GB2312" w:hAnsi="仿宋" w:eastAsia="仿宋_GB2312"/>
          <w:bCs/>
          <w:color w:val="000000" w:themeColor="text1"/>
          <w:sz w:val="32"/>
          <w:szCs w:val="32"/>
          <w:u w:val="none"/>
          <w14:textFill>
            <w14:solidFill>
              <w14:schemeClr w14:val="tx1"/>
            </w14:solidFill>
          </w14:textFill>
        </w:rPr>
        <w:t>深圳建设中国特色社会主义先行示范区</w:t>
      </w:r>
      <w:r>
        <w:rPr>
          <w:rFonts w:hint="eastAsia" w:ascii="仿宋_GB2312" w:hAnsi="仿宋" w:eastAsia="仿宋_GB2312"/>
          <w:bCs/>
          <w:color w:val="000000" w:themeColor="text1"/>
          <w:sz w:val="32"/>
          <w:szCs w:val="32"/>
          <w14:textFill>
            <w14:solidFill>
              <w14:schemeClr w14:val="tx1"/>
            </w14:solidFill>
          </w14:textFill>
        </w:rPr>
        <w:t>“双区驱动”，将有力推动全省在构建制造业高质量发展的体制机制上走在全国前列，推动广东制造业进一步提升对外开放合作水平，加速人才、资金、信息等要素资源在粤港澳大湾区内充分流动，有利于汕尾承接“双区”要素资源溢出。</w:t>
      </w:r>
      <w:r>
        <w:rPr>
          <w:rFonts w:hint="eastAsia" w:ascii="仿宋_GB2312" w:hAnsi="仿宋" w:eastAsia="仿宋_GB2312" w:cs="仿宋"/>
          <w:bCs/>
          <w:color w:val="000000" w:themeColor="text1"/>
          <w:sz w:val="32"/>
          <w:szCs w:val="32"/>
          <w14:textFill>
            <w14:solidFill>
              <w14:schemeClr w14:val="tx1"/>
            </w14:solidFill>
          </w14:textFill>
        </w:rPr>
        <w:t>广深“双城联动”，两大都市圈加快融合发展，共同打造国际科技创新中心，共建有国际竞争力的先进制造业基地，联手打造高质量发展的动力源，</w:t>
      </w:r>
      <w:r>
        <w:rPr>
          <w:rFonts w:hint="eastAsia" w:ascii="仿宋_GB2312" w:hAnsi="仿宋" w:eastAsia="仿宋_GB2312"/>
          <w:bCs/>
          <w:color w:val="000000" w:themeColor="text1"/>
          <w:sz w:val="32"/>
          <w:szCs w:val="32"/>
          <w14:textFill>
            <w14:solidFill>
              <w14:schemeClr w14:val="tx1"/>
            </w14:solidFill>
          </w14:textFill>
        </w:rPr>
        <w:t>为</w:t>
      </w:r>
      <w:r>
        <w:rPr>
          <w:rFonts w:hint="eastAsia" w:ascii="仿宋_GB2312" w:hAnsi="仿宋" w:eastAsia="仿宋_GB2312" w:cs="仿宋"/>
          <w:bCs/>
          <w:color w:val="000000" w:themeColor="text1"/>
          <w:sz w:val="32"/>
          <w:szCs w:val="32"/>
          <w14:textFill>
            <w14:solidFill>
              <w14:schemeClr w14:val="tx1"/>
            </w14:solidFill>
          </w14:textFill>
        </w:rPr>
        <w:t>汕尾承接“双城”制造业外溢转移、建设国际一流营商环境、加快融入全球产业分工体系带来了重大机遇。</w:t>
      </w:r>
    </w:p>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——多项政策叠加和制度红利持续释放，将为汕尾制造业</w:t>
      </w:r>
      <w:bookmarkStart w:id="7" w:name="_Hlk66261835"/>
      <w:r>
        <w:rPr>
          <w:rFonts w:hint="eastAsia" w:ascii="仿宋_GB2312" w:hAnsi="仿宋" w:eastAsia="仿宋_GB2312" w:cs="仿宋"/>
          <w:b/>
          <w:color w:val="000000" w:themeColor="text1"/>
          <w:sz w:val="32"/>
          <w:szCs w:val="32"/>
          <w14:textFill>
            <w14:solidFill>
              <w14:schemeClr w14:val="tx1"/>
            </w14:solidFill>
          </w14:textFill>
        </w:rPr>
        <w:t>发展提供有力支撑。</w:t>
      </w:r>
      <w:r>
        <w:rPr>
          <w:rFonts w:hint="eastAsia" w:ascii="仿宋_GB2312" w:hAnsi="仿宋" w:eastAsia="仿宋_GB2312" w:cs="仿宋"/>
          <w:bCs/>
          <w:color w:val="000000" w:themeColor="text1"/>
          <w:sz w:val="32"/>
          <w:szCs w:val="32"/>
          <w14:textFill>
            <w14:solidFill>
              <w14:schemeClr w14:val="tx1"/>
            </w14:solidFill>
          </w14:textFill>
        </w:rPr>
        <w:t>国家和省对革命老区的政策支持力度不断加大，广东贯彻落实“1+</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w:t>
      </w:r>
      <w:r>
        <w:rPr>
          <w:rFonts w:ascii="仿宋_GB2312" w:hAnsi="仿宋" w:eastAsia="仿宋_GB2312" w:cs="仿宋"/>
          <w:bCs/>
          <w:color w:val="000000" w:themeColor="text1"/>
          <w:sz w:val="32"/>
          <w:szCs w:val="32"/>
          <w14:textFill>
            <w14:solidFill>
              <w14:schemeClr w14:val="tx1"/>
            </w14:solidFill>
          </w14:textFill>
        </w:rPr>
        <w:t>9</w:t>
      </w:r>
      <w:r>
        <w:rPr>
          <w:rFonts w:hint="eastAsia" w:ascii="仿宋_GB2312" w:hAnsi="仿宋" w:eastAsia="仿宋_GB2312" w:cs="仿宋"/>
          <w:bCs/>
          <w:color w:val="000000" w:themeColor="text1"/>
          <w:sz w:val="32"/>
          <w:szCs w:val="32"/>
          <w14:textFill>
            <w14:solidFill>
              <w14:schemeClr w14:val="tx1"/>
            </w14:solidFill>
          </w14:textFill>
        </w:rPr>
        <w:t>”工作部署，加快构建“一核一带一区”区域发展新格局，赋予我市建设东翼沿海经济带重要战略支点功能定位，继续安排深圳全面对口帮扶汕尾，为我市用好用活各级支持政策，善用经济特区和先行示范区建在家门口的区位优势，集聚整合各类要素资源，推动制造业振兴发展提供了有力支撑。</w:t>
      </w:r>
    </w:p>
    <w:bookmarkEnd w:id="7"/>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bookmarkStart w:id="8" w:name="_Hlk49496158"/>
      <w:r>
        <w:rPr>
          <w:rFonts w:hint="eastAsia" w:ascii="仿宋_GB2312" w:hAnsi="仿宋" w:eastAsia="仿宋_GB2312" w:cs="仿宋"/>
          <w:b/>
          <w:color w:val="000000" w:themeColor="text1"/>
          <w:sz w:val="32"/>
          <w:szCs w:val="32"/>
          <w14:textFill>
            <w14:solidFill>
              <w14:schemeClr w14:val="tx1"/>
            </w14:solidFill>
          </w14:textFill>
        </w:rPr>
        <w:t>——市委市政府谋变破局，为汕尾制造业奋进崛起增添新动力。</w:t>
      </w:r>
      <w:r>
        <w:rPr>
          <w:rFonts w:hint="eastAsia" w:ascii="仿宋_GB2312" w:hAnsi="仿宋" w:eastAsia="仿宋_GB2312" w:cs="仿宋"/>
          <w:bCs/>
          <w:color w:val="000000" w:themeColor="text1"/>
          <w:sz w:val="32"/>
          <w:szCs w:val="32"/>
          <w14:textFill>
            <w14:solidFill>
              <w14:schemeClr w14:val="tx1"/>
            </w14:solidFill>
          </w14:textFill>
        </w:rPr>
        <w:t>为加快改变汕尾发展落后现状，市委市政府正视差距、谋新谋变，进一步强化责任担当，提出推进基层基础建设、“项目双进”会战、营商环境优化“三大行动”，聚焦聚力培固基层基础、培育发展动能、培优发展环境三个关键节点，向改革创新要动力，把加快发展作为破题突围的根本手段，为汕尾制造业奋进崛起注入了强大动力。</w:t>
      </w:r>
    </w:p>
    <w:bookmarkEnd w:id="8"/>
    <w:p>
      <w:pPr>
        <w:widowControl/>
        <w:shd w:val="clear" w:color="auto" w:fill="FFFFFF"/>
        <w:ind w:firstLine="643" w:firstLineChars="200"/>
        <w:contextualSpacing/>
        <w:rPr>
          <w:rFonts w:ascii="仿宋_GB2312" w:hAnsi="仿宋" w:eastAsia="仿宋_GB2312"/>
          <w:b/>
          <w:bCs/>
          <w:sz w:val="32"/>
          <w:szCs w:val="32"/>
        </w:rPr>
      </w:pPr>
      <w:r>
        <w:rPr>
          <w:rFonts w:hint="eastAsia" w:ascii="仿宋_GB2312" w:hAnsi="仿宋" w:eastAsia="仿宋_GB2312"/>
          <w:b/>
          <w:bCs/>
          <w:sz w:val="32"/>
          <w:szCs w:val="32"/>
        </w:rPr>
        <w:t>2.面临挑战</w:t>
      </w:r>
    </w:p>
    <w:p>
      <w:pPr>
        <w:widowControl/>
        <w:shd w:val="clear" w:color="auto" w:fill="FFFFFF"/>
        <w:ind w:firstLine="643" w:firstLineChars="200"/>
        <w:contextualSpacing/>
        <w:jc w:val="left"/>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——国际形势日趋严峻，制造业发展的外部环境正发生重构性质变。</w:t>
      </w:r>
      <w:r>
        <w:rPr>
          <w:rFonts w:hint="eastAsia" w:ascii="仿宋_GB2312" w:hAnsi="仿宋" w:eastAsia="仿宋_GB2312" w:cs="仿宋"/>
          <w:bCs/>
          <w:color w:val="000000" w:themeColor="text1"/>
          <w:sz w:val="32"/>
          <w:szCs w:val="32"/>
          <w14:textFill>
            <w14:solidFill>
              <w14:schemeClr w14:val="tx1"/>
            </w14:solidFill>
          </w14:textFill>
        </w:rPr>
        <w:t>世界正经历百年未有之大变局，逆全球化持续升温发酵，以美国为首的一些国家的单边主义、保护主义愈演愈烈，全球多边主义和自由贸易体制受到严重冲击，特别是美国对华政策重心从延续多年的管理中国崛起转向阻滞中国崛起，中美贸易摩擦前景不明朗，“十四五”时期中美政治上新冷战、经济上脱钩等风险将空前加大。加之全球疫情防控形势严峻，我市面临外部环境的不稳定不确定因素明显增加，产业发展形势较为严峻。</w:t>
      </w:r>
    </w:p>
    <w:p>
      <w:pPr>
        <w:widowControl/>
        <w:shd w:val="clear" w:color="auto" w:fill="FFFFFF"/>
        <w:ind w:firstLine="643" w:firstLineChars="200"/>
        <w:rPr>
          <w:rFonts w:ascii="仿宋_GB2312" w:hAnsi="仿宋" w:eastAsia="仿宋_GB2312" w:cs="仿宋"/>
          <w:bCs/>
          <w:color w:val="000000" w:themeColor="text1"/>
          <w:sz w:val="32"/>
          <w:szCs w:val="32"/>
          <w14:textFill>
            <w14:solidFill>
              <w14:schemeClr w14:val="tx1"/>
            </w14:solidFill>
          </w14:textFill>
        </w:rPr>
      </w:pPr>
      <w:bookmarkStart w:id="9" w:name="_Hlk60134286"/>
      <w:r>
        <w:rPr>
          <w:rFonts w:hint="eastAsia" w:ascii="仿宋_GB2312" w:hAnsi="仿宋" w:eastAsia="仿宋_GB2312" w:cs="仿宋"/>
          <w:b/>
          <w:bCs/>
          <w:color w:val="000000"/>
          <w:sz w:val="32"/>
          <w:szCs w:val="32"/>
        </w:rPr>
        <w:t>——国内进入以“双循环”战略促进高质量发展的新阶段，对我市制造业发展提出更高要求。</w:t>
      </w:r>
      <w:bookmarkEnd w:id="9"/>
      <w:r>
        <w:rPr>
          <w:rFonts w:hint="eastAsia" w:ascii="仿宋_GB2312" w:hAnsi="仿宋" w:eastAsia="仿宋_GB2312" w:cs="仿宋"/>
          <w:bCs/>
          <w:color w:val="000000" w:themeColor="text1"/>
          <w:sz w:val="32"/>
          <w:szCs w:val="32"/>
          <w14:textFill>
            <w14:solidFill>
              <w14:schemeClr w14:val="tx1"/>
            </w14:solidFill>
          </w14:textFill>
        </w:rPr>
        <w:t>为更好应对百年未有之大变局，统筹发展与安全，中央明确提出，要“加快形成以国内大循环为主体、国内国际双循环相互促进的新发展格局。”我市制造业规模小、产业链供应链不健全、缺乏创新能力支撑，同时面临做大制造业规模</w:t>
      </w:r>
      <w:r>
        <w:rPr>
          <w:rFonts w:hint="eastAsia" w:ascii="仿宋_GB2312" w:hAnsi="仿宋" w:eastAsia="仿宋_GB2312" w:cs="仿宋"/>
          <w:bCs/>
          <w:color w:val="000000" w:themeColor="text1"/>
          <w:sz w:val="32"/>
          <w:szCs w:val="32"/>
          <w:u w:val="none"/>
          <w14:textFill>
            <w14:solidFill>
              <w14:schemeClr w14:val="tx1"/>
            </w14:solidFill>
          </w14:textFill>
        </w:rPr>
        <w:t>和提升制造业发展质量的双重挑战，</w:t>
      </w:r>
      <w:r>
        <w:rPr>
          <w:rFonts w:hint="eastAsia" w:ascii="仿宋_GB2312" w:hAnsi="仿宋" w:eastAsia="仿宋_GB2312" w:cs="仿宋"/>
          <w:bCs/>
          <w:color w:val="000000" w:themeColor="text1"/>
          <w:sz w:val="32"/>
          <w:szCs w:val="32"/>
          <w14:textFill>
            <w14:solidFill>
              <w14:schemeClr w14:val="tx1"/>
            </w14:solidFill>
          </w14:textFill>
        </w:rPr>
        <w:t>对国际国内两个市场、两种资源的利用能力有限，融入国内国际双循环新发展格局面临较大挑战。</w:t>
      </w:r>
    </w:p>
    <w:p>
      <w:pPr>
        <w:widowControl/>
        <w:shd w:val="clear" w:color="auto" w:fill="FFFFFF"/>
        <w:ind w:firstLine="643"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——区域竞争不断加强，我市制造业与周边兄弟市的竞争将更加激烈。</w:t>
      </w:r>
      <w:r>
        <w:rPr>
          <w:rFonts w:hint="eastAsia" w:ascii="仿宋_GB2312" w:hAnsi="仿宋" w:eastAsia="仿宋_GB2312" w:cs="仿宋"/>
          <w:color w:val="000000"/>
          <w:sz w:val="32"/>
          <w:szCs w:val="32"/>
        </w:rPr>
        <w:t>随着“双区驱动”、“双城联动”以及都市圈的加快建设，周边兄弟市加快谋划打造高质量产业发展平台，在科技研发、项目招商、人才引进、资金统筹等方面，出台针对性更强的优惠政策，积极对接、吸聚粤港澳大湾区核心城市的制造业资源，制造业呈竞相发展的态势。我市虽然区位优势突出，但产业基础薄弱，在争取大湾区制造业资源方面将与兄弟市发生激烈竞争。</w:t>
      </w:r>
    </w:p>
    <w:p>
      <w:pPr>
        <w:spacing w:after="120"/>
        <w:ind w:firstLine="640" w:firstLineChars="200"/>
        <w:contextualSpacing/>
        <w:outlineLvl w:val="0"/>
        <w:rPr>
          <w:rFonts w:ascii="黑体" w:hAnsi="黑体" w:eastAsia="黑体" w:cs="仿宋"/>
          <w:bCs/>
          <w:color w:val="000000"/>
          <w:sz w:val="32"/>
          <w:szCs w:val="32"/>
        </w:rPr>
      </w:pPr>
      <w:bookmarkStart w:id="10" w:name="_Toc54615616"/>
      <w:bookmarkStart w:id="11" w:name="_Toc23767"/>
      <w:r>
        <w:rPr>
          <w:rFonts w:hint="eastAsia" w:ascii="黑体" w:hAnsi="黑体" w:eastAsia="黑体" w:cs="仿宋"/>
          <w:bCs/>
          <w:color w:val="000000"/>
          <w:sz w:val="32"/>
          <w:szCs w:val="32"/>
        </w:rPr>
        <w:t>二、总体要求</w:t>
      </w:r>
      <w:bookmarkEnd w:id="10"/>
      <w:bookmarkEnd w:id="11"/>
    </w:p>
    <w:p>
      <w:pPr>
        <w:ind w:firstLine="610"/>
        <w:contextualSpacing/>
        <w:outlineLvl w:val="1"/>
        <w:rPr>
          <w:rFonts w:ascii="楷体_GB2312" w:hAnsi="仿宋" w:eastAsia="楷体_GB2312" w:cs="仿宋"/>
          <w:bCs/>
          <w:color w:val="000000"/>
          <w:sz w:val="32"/>
          <w:szCs w:val="32"/>
        </w:rPr>
      </w:pPr>
      <w:bookmarkStart w:id="12" w:name="_Toc54615617"/>
      <w:bookmarkStart w:id="13" w:name="_Toc15104"/>
      <w:r>
        <w:rPr>
          <w:rFonts w:hint="eastAsia" w:ascii="楷体_GB2312" w:hAnsi="仿宋" w:eastAsia="楷体_GB2312" w:cs="仿宋"/>
          <w:bCs/>
          <w:color w:val="000000"/>
          <w:sz w:val="32"/>
          <w:szCs w:val="32"/>
        </w:rPr>
        <w:t>（一）指导思想</w:t>
      </w:r>
      <w:bookmarkEnd w:id="12"/>
      <w:bookmarkEnd w:id="13"/>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以习近平新时代中国特色社会主义思想为指导，全面贯彻落实党的十九大和十九届二中、三中、四中、五中全会精神，深入贯彻习近平总书记视察广东重要讲话和重要指示批示精神，坚持新发展理念，坚持制造强市不动摇，以供给侧结构性改革为主线，抓住深圳都市圈建设、“双区驱动”“双城联动”的重大机遇，加快融入“湾+区+带”战略布局，主动承接大湾区现代产业转移，推动汕尾先进制造业加快扩大规模，</w:t>
      </w:r>
      <w:r>
        <w:rPr>
          <w:rFonts w:hint="eastAsia" w:ascii="仿宋_GB2312" w:hAnsi="仿宋" w:eastAsia="仿宋_GB2312" w:cs="仿宋"/>
          <w:bCs/>
          <w:color w:val="000000"/>
          <w:sz w:val="32"/>
          <w:szCs w:val="32"/>
          <w:u w:val="none"/>
        </w:rPr>
        <w:t>以数字化转型提升传统产业，</w:t>
      </w:r>
      <w:r>
        <w:rPr>
          <w:rFonts w:hint="eastAsia" w:ascii="仿宋_GB2312" w:hAnsi="仿宋" w:eastAsia="仿宋_GB2312" w:cs="仿宋"/>
          <w:bCs/>
          <w:color w:val="000000"/>
          <w:sz w:val="32"/>
          <w:szCs w:val="32"/>
        </w:rPr>
        <w:t>着力提升产业基础和产业链现代化水平，实现发展规模、速度、质量、结构、效益和安全相统一，推动汕尾制造业实现由小到大、由弱到强、由低效益到高质量的历史跨越。</w:t>
      </w:r>
    </w:p>
    <w:p>
      <w:pPr>
        <w:ind w:firstLine="610"/>
        <w:contextualSpacing/>
        <w:outlineLvl w:val="1"/>
        <w:rPr>
          <w:rFonts w:ascii="楷体_GB2312" w:hAnsi="仿宋" w:eastAsia="楷体_GB2312" w:cs="仿宋"/>
          <w:bCs/>
          <w:color w:val="000000"/>
          <w:sz w:val="32"/>
          <w:szCs w:val="32"/>
        </w:rPr>
      </w:pPr>
      <w:bookmarkStart w:id="14" w:name="_Toc54615618"/>
      <w:bookmarkStart w:id="15" w:name="_Toc11733"/>
      <w:r>
        <w:rPr>
          <w:rFonts w:hint="eastAsia" w:ascii="楷体_GB2312" w:hAnsi="仿宋" w:eastAsia="楷体_GB2312" w:cs="仿宋"/>
          <w:bCs/>
          <w:color w:val="000000"/>
          <w:sz w:val="32"/>
          <w:szCs w:val="32"/>
        </w:rPr>
        <w:t>（二）基本原则</w:t>
      </w:r>
      <w:bookmarkEnd w:id="14"/>
      <w:bookmarkEnd w:id="15"/>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——市场主导、政府引导。</w:t>
      </w:r>
      <w:r>
        <w:rPr>
          <w:rFonts w:hint="eastAsia" w:ascii="仿宋_GB2312" w:hAnsi="仿宋" w:eastAsia="仿宋_GB2312" w:cs="仿宋"/>
          <w:bCs/>
          <w:sz w:val="32"/>
          <w:szCs w:val="32"/>
        </w:rPr>
        <w:t>以要素市场化配置改革为重点，推进全面深化改革，充分发挥市场在资源配置中的决定性作用，充分激发市场主体活力和创新创造潜能。更好发挥政府作用，加强系统设计和统筹引导，优化产业布局，推动要素资源向重大平台、优质企业集聚，不断壮大制造业产业集群。</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——协同融合、开放发展。</w:t>
      </w:r>
      <w:r>
        <w:rPr>
          <w:rFonts w:hint="eastAsia" w:ascii="仿宋_GB2312" w:hAnsi="仿宋" w:eastAsia="仿宋_GB2312" w:cs="仿宋"/>
          <w:bCs/>
          <w:sz w:val="32"/>
          <w:szCs w:val="32"/>
        </w:rPr>
        <w:t>与深圳开展高水平产业共建，加强与广州、香港等粤港澳大湾区核心城市的产业合作对接，推进汕尾制造业发展融入“双区驱动”“广深联动”的区域发展大格局，把珠三角制造业产业链延伸拓展至汕尾。更好利用国际、国内两个市场、两种资源，积极加强与“一带一路”沿线国家的制造业合作，更好引进来和走出去，提升制造业对内对外开放发展水平。</w:t>
      </w:r>
    </w:p>
    <w:p>
      <w:pPr>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——立足当前、着眼长远。</w:t>
      </w:r>
      <w:r>
        <w:rPr>
          <w:rFonts w:hint="eastAsia" w:ascii="仿宋_GB2312" w:hAnsi="仿宋" w:eastAsia="仿宋_GB2312" w:cs="仿宋"/>
          <w:bCs/>
          <w:sz w:val="32"/>
          <w:szCs w:val="32"/>
        </w:rPr>
        <w:t>针对制约支柱产业发展的瓶颈和薄弱环节，加快补短板，不断延伸产业链条，培育壮大支柱产业规模。准确把握新一轮科技革命和产业变革趋势，紧跟深圳、广州等核心城市战略性新兴产业发展动态，加强前瞻性谋划和战略布局，抢占未来产业发展制高点。</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——高端引领、集群发展。</w:t>
      </w:r>
      <w:r>
        <w:rPr>
          <w:rFonts w:hint="eastAsia" w:ascii="仿宋_GB2312" w:hAnsi="仿宋" w:eastAsia="仿宋_GB2312" w:cs="仿宋"/>
          <w:bCs/>
          <w:sz w:val="32"/>
          <w:szCs w:val="32"/>
        </w:rPr>
        <w:t>坚持高端引领，以重大产业平台为依托，聚焦高端新型电子信息、新能源汽车、电力能源、海工装备等重点产业开展精准招商，保障要素供给，加快推动制造业企业和项目入园集聚发展，不断完善制造业产业链条，形成多点支撑、多元发展的制造业产业集群。</w:t>
      </w:r>
    </w:p>
    <w:p>
      <w:pPr>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——自主可控、安全高效。</w:t>
      </w:r>
      <w:r>
        <w:rPr>
          <w:rFonts w:hint="eastAsia" w:ascii="仿宋_GB2312" w:hAnsi="仿宋" w:eastAsia="仿宋_GB2312" w:cs="仿宋"/>
          <w:bCs/>
          <w:sz w:val="32"/>
          <w:szCs w:val="32"/>
        </w:rPr>
        <w:t>加快实施创新驱动发展战略，增强自主创新能力，推动更多国产创新成果在汕尾转移转化，强化产业基础能力。打造具有战略性和全局性的产业链，支持上下游企业加强产业协同和技术合作攻关，增强产业链韧性，提升产业链水平，在开放合作中实现更加安全、更具韧性、更可持续的发展。</w:t>
      </w:r>
      <w:bookmarkStart w:id="16" w:name="_Hlk54165144"/>
    </w:p>
    <w:bookmarkEnd w:id="16"/>
    <w:p>
      <w:pPr>
        <w:ind w:firstLine="610"/>
        <w:contextualSpacing/>
        <w:outlineLvl w:val="1"/>
        <w:rPr>
          <w:rFonts w:ascii="楷体_GB2312" w:hAnsi="仿宋" w:eastAsia="楷体_GB2312" w:cs="仿宋"/>
          <w:bCs/>
          <w:color w:val="000000"/>
          <w:sz w:val="32"/>
          <w:szCs w:val="32"/>
        </w:rPr>
      </w:pPr>
      <w:bookmarkStart w:id="17" w:name="_Toc17945"/>
      <w:bookmarkStart w:id="18" w:name="_Toc54615619"/>
      <w:r>
        <w:rPr>
          <w:rFonts w:hint="eastAsia" w:ascii="楷体_GB2312" w:hAnsi="仿宋" w:eastAsia="楷体_GB2312" w:cs="仿宋"/>
          <w:bCs/>
          <w:color w:val="000000"/>
          <w:sz w:val="32"/>
          <w:szCs w:val="32"/>
        </w:rPr>
        <w:t>（三）发展定位</w:t>
      </w:r>
      <w:bookmarkEnd w:id="17"/>
      <w:bookmarkEnd w:id="18"/>
    </w:p>
    <w:p>
      <w:pPr>
        <w:ind w:firstLine="640" w:firstLineChars="200"/>
        <w:rPr>
          <w:rFonts w:ascii="仿宋_GB2312" w:hAnsi="仿宋" w:eastAsia="仿宋_GB2312" w:cs="仿宋"/>
          <w:bCs/>
          <w:sz w:val="32"/>
          <w:szCs w:val="32"/>
          <w:u w:val="none"/>
        </w:rPr>
      </w:pPr>
      <w:bookmarkStart w:id="19" w:name="_Toc54615620"/>
      <w:r>
        <w:rPr>
          <w:rFonts w:hint="eastAsia" w:ascii="仿宋_GB2312" w:hAnsi="仿宋" w:eastAsia="仿宋_GB2312" w:cs="仿宋"/>
          <w:bCs/>
          <w:sz w:val="32"/>
          <w:szCs w:val="32"/>
          <w:u w:val="none"/>
        </w:rPr>
        <w:t>善用汕尾毗邻粤港澳大湾区和深圳先行示范区、地处粤东沿海、“环珠三角”第一圈层的区位优势，抢抓“双区驱动”、“双城联动”和“一核一带一区”区域发展格局加快构建、深圳都市圈建设等重大战略机遇，推动制造业向西全面接轨深圳、融入“双区”，发挥沿海经济带战略支点作用，打造大湾区现代产业重要配套集聚区、珠三角制造业创新成果转化基地和粤东西北地区制造业改革创新示范区，在全面</w:t>
      </w:r>
      <w:r>
        <w:rPr>
          <w:rFonts w:hint="eastAsia" w:ascii="仿宋_GB2312" w:hAnsi="仿宋" w:eastAsia="仿宋_GB2312" w:cs="仿宋"/>
          <w:bCs/>
          <w:sz w:val="32"/>
          <w:szCs w:val="32"/>
          <w:u w:val="none"/>
          <w:lang w:eastAsia="zh-CN"/>
        </w:rPr>
        <w:t>东承西接</w:t>
      </w:r>
      <w:r>
        <w:rPr>
          <w:rFonts w:hint="eastAsia" w:ascii="仿宋_GB2312" w:hAnsi="仿宋" w:eastAsia="仿宋_GB2312" w:cs="仿宋"/>
          <w:bCs/>
          <w:sz w:val="32"/>
          <w:szCs w:val="32"/>
          <w:u w:val="none"/>
        </w:rPr>
        <w:t>中借梯登高，为加快建设沿海经济带靓丽明珠作出应有贡献。</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u w:val="none"/>
        </w:rPr>
        <w:t>——粤港澳大湾区</w:t>
      </w:r>
      <w:bookmarkStart w:id="20" w:name="_Hlk67388593"/>
      <w:r>
        <w:rPr>
          <w:rFonts w:hint="eastAsia" w:ascii="仿宋_GB2312" w:hAnsi="仿宋" w:eastAsia="仿宋_GB2312" w:cs="仿宋"/>
          <w:b/>
          <w:sz w:val="32"/>
          <w:szCs w:val="32"/>
          <w:u w:val="none"/>
        </w:rPr>
        <w:t>现代化产业重要配套集聚区</w:t>
      </w:r>
      <w:bookmarkEnd w:id="20"/>
      <w:r>
        <w:rPr>
          <w:rFonts w:hint="eastAsia" w:ascii="仿宋_GB2312" w:hAnsi="仿宋" w:eastAsia="仿宋_GB2312" w:cs="仿宋"/>
          <w:b/>
          <w:sz w:val="32"/>
          <w:szCs w:val="32"/>
          <w:u w:val="none"/>
        </w:rPr>
        <w:t>。</w:t>
      </w:r>
      <w:r>
        <w:rPr>
          <w:rFonts w:hint="eastAsia" w:ascii="仿宋_GB2312" w:hAnsi="仿宋" w:eastAsia="仿宋_GB2312" w:cs="仿宋"/>
          <w:bCs/>
          <w:sz w:val="32"/>
          <w:szCs w:val="32"/>
          <w:u w:val="none"/>
        </w:rPr>
        <w:t>全面融入深汕特别合作区，</w:t>
      </w:r>
      <w:r>
        <w:rPr>
          <w:rFonts w:hint="eastAsia" w:ascii="仿宋_GB2312" w:hAnsi="仿宋" w:eastAsia="仿宋_GB2312" w:cs="仿宋"/>
          <w:bCs/>
          <w:sz w:val="32"/>
          <w:szCs w:val="32"/>
        </w:rPr>
        <w:t>以重大产业发展平台为依托，积极对接粤港澳大湾区电子信息、电力能源、新能源汽车、数字经济、海洋经济、新材料等领域的链主企业、高成长企业、隐形冠军企业等高端产业资源，开展精准招商，加快完善汕尾现代化产业链，把汕尾建设成为粤港澳大湾区重要的制造业产业转移承接地、产业链延伸区和产业集群配套基地。</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w:t>
      </w:r>
      <w:r>
        <w:rPr>
          <w:rFonts w:hint="eastAsia" w:ascii="仿宋_GB2312" w:hAnsi="仿宋" w:eastAsia="仿宋_GB2312" w:cs="仿宋"/>
          <w:b/>
          <w:sz w:val="32"/>
          <w:szCs w:val="32"/>
          <w:u w:val="none"/>
        </w:rPr>
        <w:t>珠三角制造业创新成果转化基地。</w:t>
      </w:r>
      <w:r>
        <w:rPr>
          <w:rFonts w:hint="eastAsia" w:ascii="仿宋_GB2312" w:hAnsi="仿宋" w:eastAsia="仿宋_GB2312" w:cs="仿宋"/>
          <w:bCs/>
          <w:sz w:val="32"/>
          <w:szCs w:val="32"/>
        </w:rPr>
        <w:t>充分利用汕尾毗邻地处粤港澳大湾区向外辐射第一圈层的区位优势以及要素成本低等优势，主动对接粤港澳大湾区核心城市技术、资本、人才等创新要素，共建制造业创新载体、成果转化对接平台、孵化载体和创客中心，加快推动大湾区特别是深圳和广州的制造业创新成果在汕尾孵化、转化，把汕尾打造成为大湾区制造业创新成果重要转化基地和区域制造业创新节点。</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w:t>
      </w:r>
      <w:bookmarkStart w:id="21" w:name="_Hlk78105512"/>
      <w:r>
        <w:rPr>
          <w:rFonts w:hint="eastAsia" w:ascii="仿宋_GB2312" w:hAnsi="仿宋" w:eastAsia="仿宋_GB2312" w:cs="仿宋"/>
          <w:b/>
          <w:sz w:val="32"/>
          <w:szCs w:val="32"/>
          <w:u w:val="none"/>
        </w:rPr>
        <w:t>粤东西北地区制造业改革创新示范区</w:t>
      </w:r>
      <w:bookmarkEnd w:id="21"/>
      <w:r>
        <w:rPr>
          <w:rFonts w:hint="eastAsia" w:ascii="仿宋_GB2312" w:hAnsi="仿宋" w:eastAsia="仿宋_GB2312" w:cs="仿宋"/>
          <w:b/>
          <w:sz w:val="32"/>
          <w:szCs w:val="32"/>
        </w:rPr>
        <w:t>。</w:t>
      </w:r>
      <w:r>
        <w:rPr>
          <w:rFonts w:hint="eastAsia" w:ascii="仿宋_GB2312" w:hAnsi="仿宋" w:eastAsia="仿宋_GB2312" w:cs="仿宋"/>
          <w:bCs/>
          <w:sz w:val="32"/>
          <w:szCs w:val="32"/>
        </w:rPr>
        <w:t>善用经济特区和先行示范区建在家门口的区位优势，对标深圳先行示范区建设，围绕制造业振兴发展加快改革创新，在要素市场化配置、科技成果转化、高端人才引进、营商环境综合改革等方面谋划推进一批创造型引领型改革，打通阻碍粤港澳大湾区特别是深圳制造业资源要素流向汕尾的体制机制障碍，推动汕尾制造业加快实现跨越式发展，成为粤东西北地区探索制造业改革创新的示范样本。</w:t>
      </w:r>
    </w:p>
    <w:p>
      <w:pPr>
        <w:ind w:firstLine="610"/>
        <w:contextualSpacing/>
        <w:outlineLvl w:val="1"/>
        <w:rPr>
          <w:rFonts w:ascii="楷体_GB2312" w:hAnsi="仿宋" w:eastAsia="楷体_GB2312" w:cs="仿宋"/>
          <w:bCs/>
          <w:color w:val="000000"/>
          <w:sz w:val="32"/>
          <w:szCs w:val="32"/>
        </w:rPr>
      </w:pPr>
      <w:bookmarkStart w:id="22" w:name="_Toc8431"/>
      <w:bookmarkStart w:id="23" w:name="_Hlk60196133"/>
      <w:r>
        <w:rPr>
          <w:rFonts w:hint="eastAsia" w:ascii="楷体_GB2312" w:hAnsi="仿宋" w:eastAsia="楷体_GB2312" w:cs="仿宋"/>
          <w:bCs/>
          <w:color w:val="000000"/>
          <w:sz w:val="32"/>
          <w:szCs w:val="32"/>
        </w:rPr>
        <w:t>（四）发展目标</w:t>
      </w:r>
      <w:bookmarkEnd w:id="19"/>
      <w:bookmarkEnd w:id="22"/>
    </w:p>
    <w:bookmarkEnd w:id="23"/>
    <w:p>
      <w:pPr>
        <w:ind w:firstLine="640" w:firstLineChars="200"/>
        <w:rPr>
          <w:rFonts w:ascii="仿宋_GB2312" w:hAnsi="仿宋" w:eastAsia="仿宋_GB2312" w:cs="仿宋"/>
          <w:sz w:val="32"/>
          <w:szCs w:val="32"/>
        </w:rPr>
      </w:pPr>
      <w:bookmarkStart w:id="24" w:name="_Toc54615621"/>
      <w:r>
        <w:rPr>
          <w:rFonts w:hint="eastAsia" w:ascii="仿宋_GB2312" w:hAnsi="仿宋" w:eastAsia="仿宋_GB2312" w:cs="仿宋"/>
          <w:sz w:val="32"/>
          <w:szCs w:val="32"/>
        </w:rPr>
        <w:t>到</w:t>
      </w:r>
      <w:r>
        <w:rPr>
          <w:rFonts w:hint="eastAsia" w:ascii="仿宋_GB2312" w:hAnsi="仿宋" w:eastAsia="仿宋_GB2312"/>
          <w:sz w:val="32"/>
          <w:szCs w:val="32"/>
        </w:rPr>
        <w:t>2025</w:t>
      </w:r>
      <w:r>
        <w:rPr>
          <w:rFonts w:hint="eastAsia" w:ascii="仿宋_GB2312" w:hAnsi="仿宋" w:eastAsia="仿宋_GB2312" w:cs="仿宋"/>
          <w:sz w:val="32"/>
          <w:szCs w:val="32"/>
        </w:rPr>
        <w:t>年，汕尾制造业发展迈上新台阶，形成促进制造业高质量发展的政策支持体系和制度环境，产业基础高级化和产业链现代化建设取得明显成效，综合实力、质量效益、可续发展能力明显增强。到2</w:t>
      </w:r>
      <w:r>
        <w:rPr>
          <w:rFonts w:ascii="仿宋_GB2312" w:hAnsi="仿宋" w:eastAsia="仿宋_GB2312" w:cs="仿宋"/>
          <w:sz w:val="32"/>
          <w:szCs w:val="32"/>
        </w:rPr>
        <w:t>035</w:t>
      </w:r>
      <w:r>
        <w:rPr>
          <w:rFonts w:hint="eastAsia" w:ascii="仿宋_GB2312" w:hAnsi="仿宋" w:eastAsia="仿宋_GB2312" w:cs="仿宋"/>
          <w:sz w:val="32"/>
          <w:szCs w:val="32"/>
        </w:rPr>
        <w:t>年，制造强市地位更加巩固，制约产业发展的关键核心技术实现重大突破，建成在全省具有竞争力的特色现代产业体系，成为粤港澳大湾区现代化产业链重要配套集聚区。</w:t>
      </w:r>
    </w:p>
    <w:p>
      <w:pPr>
        <w:overflowPunct w:val="0"/>
        <w:ind w:firstLine="643" w:firstLineChars="200"/>
        <w:rPr>
          <w:rFonts w:ascii="仿宋_GB2312" w:hAnsi="仿宋" w:eastAsia="仿宋_GB2312"/>
          <w:sz w:val="32"/>
          <w:szCs w:val="32"/>
        </w:rPr>
      </w:pPr>
      <w:r>
        <w:rPr>
          <w:rFonts w:hint="eastAsia" w:ascii="仿宋_GB2312" w:hAnsi="仿宋" w:eastAsia="仿宋_GB2312" w:cs="仿宋"/>
          <w:b/>
          <w:bCs/>
          <w:sz w:val="32"/>
          <w:szCs w:val="32"/>
        </w:rPr>
        <w:t>——产业规模实现新跨越。</w:t>
      </w:r>
      <w:r>
        <w:rPr>
          <w:rFonts w:hint="eastAsia" w:ascii="仿宋_GB2312" w:hAnsi="仿宋" w:eastAsia="仿宋_GB2312" w:cs="仿宋"/>
          <w:sz w:val="32"/>
          <w:szCs w:val="32"/>
        </w:rPr>
        <w:t>到</w:t>
      </w:r>
      <w:r>
        <w:rPr>
          <w:rFonts w:hint="eastAsia" w:ascii="仿宋_GB2312" w:hAnsi="仿宋" w:eastAsia="仿宋_GB2312"/>
          <w:sz w:val="32"/>
          <w:szCs w:val="32"/>
        </w:rPr>
        <w:t>2025年，制造业规模进一步壮大，形成若干具有竞争力的战略性产业集群。</w:t>
      </w:r>
      <w:r>
        <w:rPr>
          <w:rFonts w:hint="eastAsia" w:ascii="仿宋_GB2312" w:hAnsi="仿宋" w:eastAsia="仿宋_GB2312"/>
          <w:sz w:val="32"/>
          <w:szCs w:val="32"/>
          <w:u w:val="none"/>
        </w:rPr>
        <w:t>制造业规模增加值达到400亿，占G</w:t>
      </w:r>
      <w:r>
        <w:rPr>
          <w:rFonts w:ascii="仿宋_GB2312" w:hAnsi="仿宋" w:eastAsia="仿宋_GB2312"/>
          <w:sz w:val="32"/>
          <w:szCs w:val="32"/>
          <w:u w:val="none"/>
        </w:rPr>
        <w:t>DP</w:t>
      </w:r>
      <w:r>
        <w:rPr>
          <w:rFonts w:hint="eastAsia" w:ascii="仿宋_GB2312" w:hAnsi="仿宋" w:eastAsia="仿宋_GB2312"/>
          <w:sz w:val="32"/>
          <w:szCs w:val="32"/>
          <w:u w:val="none"/>
        </w:rPr>
        <w:t>比重达2</w:t>
      </w:r>
      <w:r>
        <w:rPr>
          <w:rFonts w:ascii="仿宋_GB2312" w:hAnsi="仿宋" w:eastAsia="仿宋_GB2312"/>
          <w:sz w:val="32"/>
          <w:szCs w:val="32"/>
          <w:u w:val="none"/>
        </w:rPr>
        <w:t>2</w:t>
      </w:r>
      <w:r>
        <w:rPr>
          <w:rFonts w:hint="eastAsia" w:ascii="仿宋_GB2312" w:hAnsi="仿宋" w:eastAsia="仿宋_GB2312"/>
          <w:sz w:val="32"/>
          <w:szCs w:val="32"/>
          <w:u w:val="none"/>
        </w:rPr>
        <w:t>%；</w:t>
      </w:r>
      <w:r>
        <w:rPr>
          <w:rFonts w:hint="eastAsia" w:ascii="仿宋_GB2312" w:hAnsi="仿宋" w:eastAsia="仿宋_GB2312"/>
          <w:sz w:val="32"/>
          <w:szCs w:val="32"/>
        </w:rPr>
        <w:t>规上工业总产值力争达到</w:t>
      </w:r>
      <w:r>
        <w:rPr>
          <w:rFonts w:ascii="仿宋_GB2312" w:hAnsi="仿宋" w:eastAsia="仿宋_GB2312"/>
          <w:sz w:val="32"/>
          <w:szCs w:val="32"/>
        </w:rPr>
        <w:t>2</w:t>
      </w:r>
      <w:r>
        <w:rPr>
          <w:rFonts w:hint="eastAsia" w:ascii="仿宋_GB2312" w:hAnsi="仿宋" w:eastAsia="仿宋_GB2312"/>
          <w:sz w:val="32"/>
          <w:szCs w:val="32"/>
        </w:rPr>
        <w:t>25</w:t>
      </w:r>
      <w:r>
        <w:rPr>
          <w:rFonts w:ascii="仿宋_GB2312" w:hAnsi="仿宋" w:eastAsia="仿宋_GB2312"/>
          <w:sz w:val="32"/>
          <w:szCs w:val="32"/>
        </w:rPr>
        <w:t>0</w:t>
      </w:r>
      <w:r>
        <w:rPr>
          <w:rFonts w:hint="eastAsia" w:ascii="仿宋_GB2312" w:hAnsi="仿宋" w:eastAsia="仿宋_GB2312"/>
          <w:sz w:val="32"/>
          <w:szCs w:val="32"/>
        </w:rPr>
        <w:t>亿元以上，百亿以上产业集群达到</w:t>
      </w:r>
      <w:r>
        <w:rPr>
          <w:rFonts w:ascii="仿宋_GB2312" w:hAnsi="仿宋" w:eastAsia="仿宋_GB2312"/>
          <w:sz w:val="32"/>
          <w:szCs w:val="32"/>
        </w:rPr>
        <w:t>11</w:t>
      </w:r>
      <w:r>
        <w:rPr>
          <w:rFonts w:hint="eastAsia" w:ascii="仿宋_GB2312" w:hAnsi="仿宋" w:eastAsia="仿宋_GB2312"/>
          <w:sz w:val="32"/>
          <w:szCs w:val="32"/>
        </w:rPr>
        <w:t>个，十亿产值以上企业</w:t>
      </w:r>
      <w:r>
        <w:rPr>
          <w:rFonts w:ascii="仿宋_GB2312" w:hAnsi="仿宋" w:eastAsia="仿宋_GB2312"/>
          <w:sz w:val="32"/>
          <w:szCs w:val="32"/>
        </w:rPr>
        <w:t>55</w:t>
      </w:r>
      <w:r>
        <w:rPr>
          <w:rFonts w:hint="eastAsia" w:ascii="仿宋_GB2312" w:hAnsi="仿宋" w:eastAsia="仿宋_GB2312"/>
          <w:sz w:val="32"/>
          <w:szCs w:val="32"/>
        </w:rPr>
        <w:t>家，</w:t>
      </w:r>
      <w:bookmarkStart w:id="25" w:name="_Hlk60750759"/>
      <w:r>
        <w:rPr>
          <w:rFonts w:hint="eastAsia" w:ascii="仿宋_GB2312" w:hAnsi="仿宋" w:eastAsia="仿宋_GB2312"/>
          <w:sz w:val="32"/>
          <w:szCs w:val="32"/>
        </w:rPr>
        <w:t>其中百亿元以上航母企业4家，50亿元以上旗舰型企业</w:t>
      </w:r>
      <w:r>
        <w:rPr>
          <w:rFonts w:ascii="仿宋_GB2312" w:hAnsi="仿宋" w:eastAsia="仿宋_GB2312"/>
          <w:sz w:val="32"/>
          <w:szCs w:val="32"/>
        </w:rPr>
        <w:t>10</w:t>
      </w:r>
      <w:r>
        <w:rPr>
          <w:rFonts w:hint="eastAsia" w:ascii="仿宋_GB2312" w:hAnsi="仿宋" w:eastAsia="仿宋_GB2312"/>
          <w:sz w:val="32"/>
          <w:szCs w:val="32"/>
        </w:rPr>
        <w:t>家</w:t>
      </w:r>
      <w:r>
        <w:rPr>
          <w:rFonts w:hint="eastAsia" w:ascii="仿宋_GB2312" w:hAnsi="仿宋" w:eastAsia="仿宋_GB2312" w:cs="仿宋"/>
          <w:sz w:val="32"/>
          <w:szCs w:val="32"/>
        </w:rPr>
        <w:t>。</w:t>
      </w:r>
    </w:p>
    <w:bookmarkEnd w:id="25"/>
    <w:p>
      <w:pPr>
        <w:ind w:firstLine="643" w:firstLineChars="200"/>
        <w:rPr>
          <w:rFonts w:ascii="仿宋_GB2312" w:hAnsi="仿宋" w:eastAsia="仿宋_GB2312" w:cs="仿宋"/>
          <w:sz w:val="32"/>
          <w:szCs w:val="32"/>
        </w:rPr>
      </w:pPr>
      <w:r>
        <w:rPr>
          <w:rFonts w:hint="eastAsia" w:ascii="仿宋_GB2312" w:hAnsi="仿宋" w:eastAsia="仿宋_GB2312" w:cs="仿宋"/>
          <w:b/>
          <w:bCs/>
          <w:sz w:val="32"/>
          <w:szCs w:val="32"/>
        </w:rPr>
        <w:t>——产业结构显著优化。</w:t>
      </w:r>
      <w:r>
        <w:rPr>
          <w:rFonts w:hint="eastAsia" w:ascii="仿宋_GB2312" w:hAnsi="仿宋" w:eastAsia="仿宋_GB2312" w:cs="仿宋"/>
          <w:sz w:val="32"/>
          <w:szCs w:val="32"/>
        </w:rPr>
        <w:t>以电子信息、新能源汽车、海工装备为主导的先进制造业集群规模不断扩大，产业结构不断优化调整。到</w:t>
      </w:r>
      <w:r>
        <w:rPr>
          <w:rFonts w:hint="eastAsia" w:ascii="仿宋_GB2312" w:hAnsi="仿宋" w:eastAsia="仿宋_GB2312"/>
          <w:sz w:val="32"/>
          <w:szCs w:val="32"/>
        </w:rPr>
        <w:t>2025</w:t>
      </w:r>
      <w:r>
        <w:rPr>
          <w:rFonts w:hint="eastAsia" w:ascii="仿宋_GB2312" w:hAnsi="仿宋" w:eastAsia="仿宋_GB2312" w:cs="仿宋"/>
          <w:sz w:val="32"/>
          <w:szCs w:val="32"/>
        </w:rPr>
        <w:t>年，高技术制造业和先进制造业规模有显著提升，规模以上高技术制造业、先进制造业增加值占规模以上工业比重分别达到</w:t>
      </w:r>
      <w:r>
        <w:rPr>
          <w:rFonts w:hint="eastAsia" w:ascii="仿宋_GB2312" w:hAnsi="仿宋" w:eastAsia="仿宋_GB2312"/>
          <w:sz w:val="32"/>
          <w:szCs w:val="32"/>
        </w:rPr>
        <w:t>3</w:t>
      </w:r>
      <w:r>
        <w:rPr>
          <w:rFonts w:ascii="仿宋_GB2312" w:hAnsi="仿宋" w:eastAsia="仿宋_GB2312"/>
          <w:sz w:val="32"/>
          <w:szCs w:val="32"/>
        </w:rPr>
        <w:t>5</w:t>
      </w:r>
      <w:r>
        <w:rPr>
          <w:rFonts w:hint="eastAsia" w:ascii="仿宋_GB2312" w:hAnsi="仿宋" w:eastAsia="仿宋_GB2312"/>
          <w:sz w:val="32"/>
          <w:szCs w:val="32"/>
        </w:rPr>
        <w:t>%、4</w:t>
      </w:r>
      <w:r>
        <w:rPr>
          <w:rFonts w:ascii="仿宋_GB2312" w:hAnsi="仿宋" w:eastAsia="仿宋_GB2312"/>
          <w:sz w:val="32"/>
          <w:szCs w:val="32"/>
        </w:rPr>
        <w:t>5</w:t>
      </w:r>
      <w:r>
        <w:rPr>
          <w:rFonts w:hint="eastAsia" w:ascii="仿宋_GB2312" w:hAnsi="仿宋" w:eastAsia="仿宋_GB2312"/>
          <w:sz w:val="32"/>
          <w:szCs w:val="32"/>
        </w:rPr>
        <w:t>%以</w:t>
      </w:r>
      <w:r>
        <w:rPr>
          <w:rFonts w:hint="eastAsia" w:ascii="仿宋_GB2312" w:hAnsi="仿宋" w:eastAsia="仿宋_GB2312" w:cs="仿宋"/>
          <w:sz w:val="32"/>
          <w:szCs w:val="32"/>
        </w:rPr>
        <w:t>上。</w:t>
      </w:r>
    </w:p>
    <w:p>
      <w:pPr>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——产业发展质量明显提升。</w:t>
      </w:r>
      <w:r>
        <w:rPr>
          <w:rFonts w:hint="eastAsia" w:ascii="仿宋_GB2312" w:hAnsi="仿宋" w:eastAsia="仿宋_GB2312" w:cs="仿宋"/>
          <w:sz w:val="32"/>
          <w:szCs w:val="32"/>
        </w:rPr>
        <w:t>产业发展层次不断提升，产业竞争力加快迈向全省中上游水平。到</w:t>
      </w:r>
      <w:r>
        <w:rPr>
          <w:rFonts w:hint="eastAsia" w:ascii="仿宋_GB2312" w:hAnsi="仿宋" w:eastAsia="仿宋_GB2312"/>
          <w:sz w:val="32"/>
          <w:szCs w:val="32"/>
        </w:rPr>
        <w:t>2025年，规模以上工业增加值率达到22.5%以上；规模以上工业企业全员劳动生产率达到</w:t>
      </w:r>
      <w:r>
        <w:rPr>
          <w:rFonts w:ascii="仿宋_GB2312" w:hAnsi="仿宋" w:eastAsia="仿宋_GB2312"/>
          <w:sz w:val="32"/>
          <w:szCs w:val="32"/>
        </w:rPr>
        <w:t>20</w:t>
      </w:r>
      <w:r>
        <w:rPr>
          <w:rFonts w:hint="eastAsia" w:ascii="仿宋_GB2312" w:hAnsi="仿宋" w:eastAsia="仿宋_GB2312"/>
          <w:sz w:val="32"/>
          <w:szCs w:val="32"/>
        </w:rPr>
        <w:t>万元/人以上。</w:t>
      </w:r>
    </w:p>
    <w:p>
      <w:pPr>
        <w:ind w:firstLine="643" w:firstLineChars="200"/>
        <w:rPr>
          <w:rFonts w:ascii="仿宋_GB2312" w:hAnsi="仿宋" w:eastAsia="仿宋_GB2312"/>
          <w:b/>
          <w:bCs/>
          <w:color w:val="0000FF"/>
          <w:sz w:val="32"/>
          <w:szCs w:val="32"/>
        </w:rPr>
      </w:pPr>
      <w:r>
        <w:rPr>
          <w:rFonts w:hint="eastAsia" w:ascii="仿宋_GB2312" w:hAnsi="仿宋" w:eastAsia="仿宋_GB2312" w:cs="仿宋"/>
          <w:b/>
          <w:bCs/>
          <w:sz w:val="32"/>
          <w:szCs w:val="32"/>
        </w:rPr>
        <w:t>——创新能力建设大幅提升。</w:t>
      </w:r>
      <w:r>
        <w:rPr>
          <w:rFonts w:hint="eastAsia" w:ascii="仿宋_GB2312" w:hAnsi="仿宋" w:eastAsia="仿宋_GB2312"/>
          <w:sz w:val="32"/>
          <w:szCs w:val="32"/>
        </w:rPr>
        <w:t>5G和大数据产业蓬勃发展，建成5G基站5600个以上，</w:t>
      </w:r>
      <w:r>
        <w:rPr>
          <w:rFonts w:hint="eastAsia" w:ascii="仿宋_GB2312" w:hAnsi="仿宋" w:eastAsia="仿宋_GB2312"/>
          <w:color w:val="auto"/>
          <w:sz w:val="32"/>
          <w:szCs w:val="32"/>
        </w:rPr>
        <w:t>数字经济核心产业增加值占GDP比重达到11%。</w:t>
      </w:r>
      <w:r>
        <w:rPr>
          <w:rFonts w:hint="eastAsia" w:ascii="仿宋_GB2312" w:hAnsi="仿宋" w:eastAsia="仿宋_GB2312"/>
          <w:sz w:val="32"/>
          <w:szCs w:val="32"/>
        </w:rPr>
        <w:t>高新技术企业达到163家，省级新型研发机构数量达到10家，规上工业企业建有研发机构比例达到</w:t>
      </w:r>
      <w:r>
        <w:rPr>
          <w:rFonts w:ascii="仿宋_GB2312" w:hAnsi="仿宋" w:eastAsia="仿宋_GB2312"/>
          <w:sz w:val="32"/>
          <w:szCs w:val="32"/>
        </w:rPr>
        <w:t>7</w:t>
      </w:r>
      <w:r>
        <w:rPr>
          <w:rFonts w:hint="eastAsia" w:ascii="仿宋_GB2312" w:hAnsi="仿宋" w:eastAsia="仿宋_GB2312"/>
          <w:sz w:val="32"/>
          <w:szCs w:val="32"/>
        </w:rPr>
        <w:t>0%。</w:t>
      </w:r>
    </w:p>
    <w:p>
      <w:pPr>
        <w:ind w:firstLine="643" w:firstLineChars="200"/>
        <w:rPr>
          <w:rFonts w:ascii="仿宋_GB2312" w:hAnsi="仿宋" w:eastAsia="仿宋_GB2312" w:cs="仿宋"/>
          <w:sz w:val="32"/>
          <w:szCs w:val="32"/>
        </w:rPr>
      </w:pPr>
      <w:r>
        <w:rPr>
          <w:rFonts w:hint="eastAsia" w:ascii="仿宋_GB2312" w:hAnsi="仿宋" w:eastAsia="仿宋_GB2312" w:cs="仿宋"/>
          <w:b/>
          <w:bCs/>
          <w:sz w:val="32"/>
          <w:szCs w:val="32"/>
        </w:rPr>
        <w:t>——绿色发展取得新突破。</w:t>
      </w:r>
      <w:r>
        <w:rPr>
          <w:rFonts w:hint="eastAsia" w:ascii="仿宋_GB2312" w:hAnsi="仿宋" w:eastAsia="仿宋_GB2312" w:cs="仿宋"/>
          <w:sz w:val="32"/>
          <w:szCs w:val="32"/>
        </w:rPr>
        <w:t>初步建立绿色制造体系，能源利用效率和资源利用水平进一步提升，主要污染物排放量进一步下降。</w:t>
      </w:r>
      <w:r>
        <w:rPr>
          <w:rFonts w:hint="eastAsia" w:ascii="仿宋_GB2312" w:hAnsi="仿宋" w:eastAsia="仿宋_GB2312"/>
          <w:sz w:val="32"/>
          <w:szCs w:val="32"/>
        </w:rPr>
        <w:t>到2025年，单位工业增加值能耗比2020年下降14个百分点，单位工业增加值水耗比2020年下降27个百</w:t>
      </w:r>
      <w:r>
        <w:rPr>
          <w:rFonts w:hint="eastAsia" w:ascii="仿宋_GB2312" w:hAnsi="仿宋" w:eastAsia="仿宋_GB2312" w:cs="仿宋"/>
          <w:sz w:val="32"/>
          <w:szCs w:val="32"/>
        </w:rPr>
        <w:t>分点。</w:t>
      </w:r>
    </w:p>
    <w:p>
      <w:pPr>
        <w:spacing w:line="600" w:lineRule="exact"/>
        <w:jc w:val="center"/>
        <w:rPr>
          <w:rFonts w:ascii="黑体" w:hAnsi="黑体" w:eastAsia="黑体" w:cs="仿宋"/>
          <w:sz w:val="32"/>
          <w:szCs w:val="32"/>
        </w:rPr>
      </w:pPr>
      <w:bookmarkStart w:id="26" w:name="_Toc953"/>
      <w:bookmarkStart w:id="27" w:name="_Hlk60674861"/>
      <w:r>
        <w:rPr>
          <w:rFonts w:hint="eastAsia" w:ascii="黑体" w:hAnsi="黑体" w:eastAsia="黑体"/>
          <w:sz w:val="32"/>
          <w:szCs w:val="32"/>
        </w:rPr>
        <w:t>汕尾市“十四五” 制造业高质量发展指标体系表</w:t>
      </w:r>
    </w:p>
    <w:tbl>
      <w:tblPr>
        <w:tblStyle w:val="12"/>
        <w:tblW w:w="8290" w:type="dxa"/>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268"/>
        <w:gridCol w:w="851"/>
        <w:gridCol w:w="3340"/>
        <w:gridCol w:w="1340"/>
        <w:gridCol w:w="1491"/>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bookmarkStart w:id="28" w:name="_Hlk61423845"/>
            <w:r>
              <w:rPr>
                <w:rFonts w:hint="eastAsia" w:ascii="黑体" w:hAnsi="黑体" w:eastAsia="黑体" w:cs="宋体"/>
                <w:color w:val="333333"/>
                <w:kern w:val="0"/>
                <w:sz w:val="24"/>
              </w:rPr>
              <w:t>类别</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序号</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指标</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2020年</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2025年</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bookmarkStart w:id="29" w:name="_Hlk54599753"/>
            <w:r>
              <w:rPr>
                <w:rFonts w:hint="eastAsia" w:cs="宋体" w:asciiTheme="minorEastAsia" w:hAnsiTheme="minorEastAsia" w:eastAsiaTheme="minorEastAsia"/>
                <w:b/>
                <w:bCs/>
                <w:color w:val="333333"/>
                <w:kern w:val="0"/>
                <w:sz w:val="24"/>
              </w:rPr>
              <w:t>规模实力</w:t>
            </w: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规模以上制造业增加值（亿元）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179.9</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4</w:t>
            </w:r>
            <w:r>
              <w:rPr>
                <w:rFonts w:cs="宋体" w:asciiTheme="minorEastAsia" w:hAnsiTheme="minorEastAsia" w:eastAsiaTheme="minorEastAsia"/>
                <w:color w:val="auto"/>
                <w:kern w:val="0"/>
                <w:sz w:val="24"/>
              </w:rPr>
              <w:t>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2</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战略性主导产业集群产值规模（亿元）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1258.08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1700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3</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战略性新兴产业集群产值规模（亿元）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64.27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1600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4</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优势传统产业集群产值规模（亿元）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279.48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800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98"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5</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制造业增加值占G</w:t>
            </w:r>
            <w:r>
              <w:rPr>
                <w:rFonts w:cs="宋体" w:asciiTheme="minorEastAsia" w:hAnsiTheme="minorEastAsia" w:eastAsiaTheme="minorEastAsia"/>
                <w:color w:val="333333"/>
                <w:kern w:val="0"/>
                <w:sz w:val="24"/>
              </w:rPr>
              <w:t>DP</w:t>
            </w:r>
            <w:r>
              <w:rPr>
                <w:rFonts w:hint="eastAsia" w:cs="宋体" w:asciiTheme="minorEastAsia" w:hAnsiTheme="minorEastAsia" w:eastAsiaTheme="minorEastAsia"/>
                <w:color w:val="333333"/>
                <w:kern w:val="0"/>
                <w:sz w:val="24"/>
              </w:rPr>
              <w:t>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16</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98"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6</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年营业收入超十亿元的制造业企业（家）</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16</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55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98"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7</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制造业上市企业（家）</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2</w:t>
            </w:r>
          </w:p>
        </w:tc>
      </w:tr>
      <w:bookmarkEnd w:id="29"/>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质量效率</w:t>
            </w: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8</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亩均工业投资（万元/亩）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32.7</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9</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工业用地亩均产出（万元/亩）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148.5</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10</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工业用地亩均税收（万元/亩）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5.3</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1</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制造业产品质量合格率（%）</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93.7</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9</w:t>
            </w:r>
            <w:r>
              <w:rPr>
                <w:rFonts w:cs="宋体" w:asciiTheme="minorEastAsia" w:hAnsiTheme="minorEastAsia" w:eastAsiaTheme="minorEastAsia"/>
                <w:color w:val="auto"/>
                <w:kern w:val="0"/>
                <w:sz w:val="24"/>
              </w:rPr>
              <w:t>4</w:t>
            </w:r>
            <w:r>
              <w:rPr>
                <w:rFonts w:hint="eastAsia" w:cs="宋体" w:asciiTheme="minorEastAsia" w:hAnsiTheme="minorEastAsia" w:eastAsiaTheme="minorEastAsia"/>
                <w:color w:val="auto"/>
                <w:kern w:val="0"/>
                <w:sz w:val="24"/>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15"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2</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规模以上工业全员劳动生产率（万元/人）</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16.12</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w:t>
            </w:r>
            <w:r>
              <w:rPr>
                <w:rFonts w:cs="宋体" w:asciiTheme="minorEastAsia" w:hAnsiTheme="minorEastAsia" w:eastAsiaTheme="minorEastAsia"/>
                <w:color w:val="auto"/>
                <w:kern w:val="0"/>
                <w:sz w:val="24"/>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57"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创新驱动</w:t>
            </w:r>
          </w:p>
        </w:tc>
        <w:tc>
          <w:tcPr>
            <w:tcW w:w="85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3</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规上工业企业建有研发机构比例（%）</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4.6</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highlight w:val="yellow"/>
              </w:rPr>
            </w:pPr>
            <w:r>
              <w:rPr>
                <w:rFonts w:cs="宋体" w:asciiTheme="minorEastAsia" w:hAnsiTheme="minorEastAsia" w:eastAsiaTheme="minorEastAsia"/>
                <w:color w:val="auto"/>
                <w:kern w:val="0"/>
                <w:sz w:val="24"/>
              </w:rPr>
              <w:t>70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939" w:hRule="atLeast"/>
          <w:jc w:val="center"/>
        </w:trPr>
        <w:tc>
          <w:tcPr>
            <w:tcW w:w="1268" w:type="dxa"/>
            <w:vMerge w:val="continue"/>
            <w:tcBorders>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4</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规模以上制造业企业研发经费内部支出占主营业务收入比重（%）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0.44</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vMerge w:val="continue"/>
            <w:tcBorders>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5</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制造业技术改造投资额占制造业投资总额的比重（%）</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 xml:space="preserve">   38.8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39"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融合发展</w:t>
            </w:r>
          </w:p>
        </w:tc>
        <w:tc>
          <w:tcPr>
            <w:tcW w:w="851"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6</w:t>
            </w:r>
          </w:p>
        </w:tc>
        <w:tc>
          <w:tcPr>
            <w:tcW w:w="3340" w:type="dxa"/>
            <w:tcBorders>
              <w:top w:val="outset" w:color="000000" w:sz="6" w:space="0"/>
              <w:left w:val="outset" w:color="000000" w:sz="6" w:space="0"/>
              <w:right w:val="outset" w:color="000000" w:sz="6" w:space="0"/>
            </w:tcBorders>
            <w:shd w:val="clear" w:color="auto" w:fill="FFFFFF"/>
            <w:vAlign w:val="center"/>
          </w:tcPr>
          <w:p>
            <w:pPr>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5G基站站点数量（个）</w:t>
            </w:r>
          </w:p>
        </w:tc>
        <w:tc>
          <w:tcPr>
            <w:tcW w:w="1340"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w:t>
            </w:r>
            <w:r>
              <w:rPr>
                <w:rFonts w:cs="宋体" w:asciiTheme="minorEastAsia" w:hAnsiTheme="minorEastAsia" w:eastAsiaTheme="minorEastAsia"/>
                <w:color w:val="auto"/>
                <w:kern w:val="0"/>
                <w:sz w:val="24"/>
              </w:rPr>
              <w:t>011</w:t>
            </w:r>
          </w:p>
        </w:tc>
        <w:tc>
          <w:tcPr>
            <w:tcW w:w="1491"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w:t>
            </w:r>
            <w:r>
              <w:rPr>
                <w:rFonts w:cs="宋体" w:asciiTheme="minorEastAsia" w:hAnsiTheme="minorEastAsia" w:eastAsiaTheme="minorEastAsia"/>
                <w:color w:val="auto"/>
                <w:kern w:val="0"/>
                <w:sz w:val="24"/>
              </w:rPr>
              <w:t>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7</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应用工业互联网实施数字化转型的规上工业企业数量（家）</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 xml:space="preserve">     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w:t>
            </w:r>
            <w:r>
              <w:rPr>
                <w:rFonts w:cs="宋体" w:asciiTheme="minorEastAsia" w:hAnsiTheme="minorEastAsia" w:eastAsiaTheme="minorEastAsia"/>
                <w:color w:val="auto"/>
                <w:kern w:val="0"/>
                <w:sz w:val="24"/>
              </w:rPr>
              <w:t>2</w:t>
            </w:r>
            <w:r>
              <w:rPr>
                <w:rFonts w:hint="eastAsia" w:cs="宋体" w:asciiTheme="minorEastAsia" w:hAnsiTheme="minorEastAsia" w:eastAsiaTheme="minorEastAsia"/>
                <w:color w:val="auto"/>
                <w:kern w:val="0"/>
                <w:sz w:val="24"/>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18</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上云上平台企业数量（家）</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46</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180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b/>
                <w:bCs/>
                <w:color w:val="333333"/>
                <w:kern w:val="0"/>
                <w:sz w:val="24"/>
              </w:rPr>
              <w:t>绿色发展</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19</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规上制造业单位工业增加值能耗降幅（%）</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-3.76</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Cs w:val="21"/>
              </w:rPr>
              <w:t>完成省下达目标</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20</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单位工业增加值用水量降幅（%）</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Cs w:val="21"/>
              </w:rPr>
              <w:t>完成省下达目标</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开放发展</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21</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制造业境外直接投资额占全市对外投资总额比重（%）</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2</w:t>
            </w:r>
            <w:r>
              <w:rPr>
                <w:rFonts w:cs="宋体" w:asciiTheme="minorEastAsia" w:hAnsiTheme="minorEastAsia" w:eastAsiaTheme="minorEastAsia"/>
                <w:color w:val="333333"/>
                <w:kern w:val="0"/>
                <w:sz w:val="24"/>
              </w:rPr>
              <w:t>2</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制造业实际使用外资占全市实际使用外资的比重（%）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w:t>
            </w:r>
            <w:r>
              <w:rPr>
                <w:rFonts w:cs="宋体" w:asciiTheme="minorEastAsia" w:hAnsiTheme="minorEastAsia" w:eastAsiaTheme="minorEastAsia"/>
                <w:color w:val="auto"/>
                <w:kern w:val="0"/>
                <w:sz w:val="24"/>
              </w:rPr>
              <w:t>8.5</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w:t>
            </w:r>
            <w:r>
              <w:rPr>
                <w:rFonts w:cs="宋体" w:asciiTheme="minorEastAsia" w:hAnsiTheme="minorEastAsia" w:eastAsiaTheme="minorEastAsia"/>
                <w:color w:val="auto"/>
                <w:kern w:val="0"/>
                <w:sz w:val="24"/>
              </w:rPr>
              <w:t>0</w:t>
            </w:r>
          </w:p>
        </w:tc>
      </w:tr>
      <w:bookmarkEnd w:id="28"/>
    </w:tbl>
    <w:p/>
    <w:p>
      <w:pPr>
        <w:spacing w:after="120"/>
        <w:ind w:firstLine="640" w:firstLineChars="200"/>
        <w:contextualSpacing/>
        <w:outlineLvl w:val="0"/>
        <w:rPr>
          <w:rFonts w:ascii="黑体" w:hAnsi="黑体" w:eastAsia="黑体" w:cs="仿宋"/>
          <w:bCs/>
          <w:color w:val="000000"/>
          <w:sz w:val="32"/>
          <w:szCs w:val="32"/>
        </w:rPr>
      </w:pPr>
      <w:r>
        <w:rPr>
          <w:rFonts w:hint="eastAsia" w:ascii="黑体" w:hAnsi="黑体" w:eastAsia="黑体" w:cs="仿宋"/>
          <w:bCs/>
          <w:color w:val="000000"/>
          <w:sz w:val="32"/>
          <w:szCs w:val="32"/>
        </w:rPr>
        <w:t>三</w:t>
      </w:r>
      <w:bookmarkEnd w:id="24"/>
      <w:r>
        <w:rPr>
          <w:rFonts w:hint="eastAsia" w:ascii="黑体" w:hAnsi="黑体" w:eastAsia="黑体" w:cs="仿宋"/>
          <w:bCs/>
          <w:color w:val="000000"/>
          <w:sz w:val="32"/>
          <w:szCs w:val="32"/>
        </w:rPr>
        <w:t>、产业发展重点</w:t>
      </w:r>
      <w:bookmarkEnd w:id="26"/>
    </w:p>
    <w:bookmarkEnd w:id="27"/>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“十四五”时期，立足汕尾制造业发展基础和比较优势，对标省“双十”战略性产业集群，坚持高质量发展导向，做大做强战略性主导产业，</w:t>
      </w:r>
      <w:bookmarkStart w:id="30" w:name="_Hlk66335293"/>
      <w:r>
        <w:rPr>
          <w:rFonts w:hint="eastAsia" w:ascii="仿宋_GB2312" w:hAnsi="仿宋" w:eastAsia="仿宋_GB2312" w:cs="仿宋"/>
          <w:bCs/>
          <w:color w:val="000000"/>
          <w:sz w:val="32"/>
          <w:szCs w:val="32"/>
        </w:rPr>
        <w:t>加快培育战略性新兴产业，巩固提升优势传统产业，</w:t>
      </w:r>
      <w:bookmarkEnd w:id="30"/>
      <w:r>
        <w:rPr>
          <w:rFonts w:hint="eastAsia" w:ascii="仿宋_GB2312" w:hAnsi="仿宋" w:eastAsia="仿宋_GB2312" w:cs="仿宋"/>
          <w:bCs/>
          <w:color w:val="000000"/>
          <w:sz w:val="32"/>
          <w:szCs w:val="32"/>
        </w:rPr>
        <w:t>加快构建具有汕尾特色、为大湾区制造业配套的、具有竞争力的现代产业体系。</w:t>
      </w:r>
    </w:p>
    <w:p>
      <w:pPr>
        <w:ind w:firstLine="610"/>
        <w:contextualSpacing/>
        <w:outlineLvl w:val="1"/>
        <w:rPr>
          <w:rFonts w:ascii="楷体_GB2312" w:hAnsi="仿宋" w:eastAsia="楷体_GB2312" w:cs="仿宋"/>
          <w:bCs/>
          <w:color w:val="000000"/>
          <w:sz w:val="32"/>
          <w:szCs w:val="32"/>
        </w:rPr>
      </w:pPr>
      <w:bookmarkStart w:id="31" w:name="_Toc9964"/>
      <w:bookmarkStart w:id="32" w:name="_Hlk60199408"/>
      <w:r>
        <w:rPr>
          <w:rFonts w:hint="eastAsia" w:ascii="楷体_GB2312" w:hAnsi="仿宋" w:eastAsia="楷体_GB2312" w:cs="仿宋"/>
          <w:bCs/>
          <w:color w:val="000000"/>
          <w:sz w:val="32"/>
          <w:szCs w:val="32"/>
        </w:rPr>
        <w:t>（一）做大做强战略性主导产业</w:t>
      </w:r>
      <w:bookmarkEnd w:id="31"/>
    </w:p>
    <w:bookmarkEnd w:id="32"/>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切实推动资源、要素和工作力量向战略性主导产业倾斜，</w:t>
      </w:r>
      <w:bookmarkStart w:id="33" w:name="_Hlk60736809"/>
      <w:r>
        <w:rPr>
          <w:rFonts w:hint="eastAsia" w:ascii="仿宋_GB2312" w:hAnsi="仿宋" w:eastAsia="仿宋_GB2312" w:cs="仿宋"/>
          <w:bCs/>
          <w:color w:val="000000"/>
          <w:sz w:val="32"/>
          <w:szCs w:val="32"/>
        </w:rPr>
        <w:t>加快做大做强电子信息、新能源汽车、</w:t>
      </w:r>
      <w:r>
        <w:rPr>
          <w:rFonts w:hint="eastAsia" w:ascii="仿宋_GB2312" w:hAnsi="仿宋" w:eastAsia="仿宋_GB2312" w:cs="仿宋"/>
          <w:bCs/>
          <w:color w:val="000000"/>
          <w:sz w:val="32"/>
          <w:szCs w:val="32"/>
          <w:u w:val="none"/>
        </w:rPr>
        <w:t>绿色石化、</w:t>
      </w:r>
      <w:r>
        <w:rPr>
          <w:rFonts w:hint="eastAsia" w:ascii="仿宋_GB2312" w:hAnsi="仿宋" w:eastAsia="仿宋_GB2312" w:cs="仿宋"/>
          <w:bCs/>
          <w:color w:val="000000"/>
          <w:sz w:val="32"/>
          <w:szCs w:val="32"/>
        </w:rPr>
        <w:t>电力能源产业。</w:t>
      </w:r>
    </w:p>
    <w:bookmarkEnd w:id="33"/>
    <w:p>
      <w:pPr>
        <w:ind w:firstLine="643" w:firstLineChars="200"/>
        <w:outlineLvl w:val="2"/>
        <w:rPr>
          <w:rFonts w:ascii="仿宋_GB2312" w:hAnsi="仿宋" w:eastAsia="仿宋_GB2312" w:cs="仿宋"/>
          <w:b/>
          <w:color w:val="000000"/>
          <w:sz w:val="32"/>
          <w:szCs w:val="32"/>
        </w:rPr>
      </w:pPr>
      <w:bookmarkStart w:id="34" w:name="_Toc10832"/>
      <w:bookmarkStart w:id="35" w:name="_Hlk60200354"/>
      <w:bookmarkStart w:id="36" w:name="_Toc54615631"/>
      <w:r>
        <w:rPr>
          <w:rFonts w:hint="eastAsia" w:ascii="仿宋_GB2312" w:hAnsi="仿宋" w:eastAsia="仿宋_GB2312" w:cs="仿宋"/>
          <w:b/>
          <w:color w:val="000000"/>
          <w:sz w:val="32"/>
          <w:szCs w:val="32"/>
        </w:rPr>
        <w:t>1.电子信息产业</w:t>
      </w:r>
      <w:bookmarkEnd w:id="34"/>
    </w:p>
    <w:bookmarkEnd w:id="35"/>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抓住世界电子信息产业变革加快和珠江东岸电子信息产业外溢发展的战略机遇，瞄准电子信息产业世界500强、国内200强、央企和知名企业，创新招商模式，实施产业链精准招商，着力引进一批引领型、带动型重大龙头项目，积极对接一批科技含量高、附加值高、品牌度高的关键技术项目，夯实我市光电子器件、半导体分立器件、新型平板显示及其模块等零配件产业基础，推动发展新型显示、超高清摄像模组及智能终端等高端电子器件产业，</w:t>
      </w:r>
      <w:bookmarkStart w:id="37" w:name="_Hlk60759678"/>
      <w:r>
        <w:rPr>
          <w:rFonts w:hint="eastAsia" w:ascii="仿宋_GB2312" w:hAnsi="仿宋" w:eastAsia="仿宋_GB2312" w:cs="仿宋"/>
          <w:bCs/>
          <w:color w:val="000000"/>
          <w:sz w:val="32"/>
          <w:szCs w:val="32"/>
        </w:rPr>
        <w:t>完善“材料-面板-模组-整机”纵向产业链，逐步向5G、IDC关联产业中下游制造业延伸，做大做强电子信息产业集群。加强与深莞惠电子信息产业的协作联动，深度融入珠江东岸电子信息产业带发展，为其提供配套服务。加大对信利、</w:t>
      </w:r>
      <w:r>
        <w:rPr>
          <w:rFonts w:hint="eastAsia" w:ascii="仿宋_GB2312" w:hAnsi="仿宋" w:eastAsia="仿宋_GB2312" w:cs="仿宋"/>
          <w:bCs/>
          <w:color w:val="000000"/>
          <w:sz w:val="32"/>
          <w:szCs w:val="32"/>
          <w:lang w:eastAsia="zh-CN"/>
        </w:rPr>
        <w:t>康佳</w:t>
      </w:r>
      <w:r>
        <w:rPr>
          <w:rFonts w:hint="eastAsia" w:ascii="仿宋_GB2312" w:hAnsi="仿宋" w:eastAsia="仿宋_GB2312" w:cs="仿宋"/>
          <w:bCs/>
          <w:color w:val="000000"/>
          <w:sz w:val="32"/>
          <w:szCs w:val="32"/>
        </w:rPr>
        <w:t>、比亚迪电子等龙头企业的系统扶持力度，</w:t>
      </w:r>
      <w:bookmarkEnd w:id="37"/>
      <w:r>
        <w:rPr>
          <w:rFonts w:hint="eastAsia" w:ascii="仿宋_GB2312" w:hAnsi="仿宋" w:eastAsia="仿宋_GB2312" w:cs="仿宋"/>
          <w:bCs/>
          <w:color w:val="000000"/>
          <w:sz w:val="32"/>
          <w:szCs w:val="32"/>
        </w:rPr>
        <w:t>实施“一企一策”跟班服务，支持中小企业通过协同创新、产业链上下游协作配套等融入龙头企业的产业链、供应链和创新链，打造大中小企业创新协同、产能共享、供应链互通的新型产业创新生态。健全完善产业孵化培育体系，支持电子信息产业领域孵化器、众创空间等载体的升级发展，创新科技成果转化机制，提升创新能力。大力实施电子信息人才引育战略，积极争取粤港澳大湾区优质职业教育资源落户，探索多校合作、校企共建、前校后厂等职业教育培训新模式，建设一支稳定的高技能电子信息人才队伍。力争到2025年，电子信息制造业产值达到8</w:t>
      </w:r>
      <w:r>
        <w:rPr>
          <w:rFonts w:ascii="仿宋_GB2312" w:hAnsi="仿宋" w:eastAsia="仿宋_GB2312" w:cs="仿宋"/>
          <w:bCs/>
          <w:color w:val="000000"/>
          <w:sz w:val="32"/>
          <w:szCs w:val="32"/>
        </w:rPr>
        <w:t>00</w:t>
      </w:r>
      <w:r>
        <w:rPr>
          <w:rFonts w:hint="eastAsia" w:ascii="仿宋_GB2312" w:hAnsi="仿宋" w:eastAsia="仿宋_GB2312" w:cs="仿宋"/>
          <w:bCs/>
          <w:color w:val="000000"/>
          <w:sz w:val="32"/>
          <w:szCs w:val="32"/>
        </w:rPr>
        <w:t>亿元以上。</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bookmarkStart w:id="38" w:name="_Hlk66281128"/>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 </w:t>
            </w:r>
            <w:r>
              <w:rPr>
                <w:rFonts w:hint="eastAsia" w:ascii="黑体" w:hAnsi="黑体" w:eastAsia="黑体"/>
                <w:color w:val="000000" w:themeColor="text1"/>
                <w:sz w:val="30"/>
                <w:szCs w:val="30"/>
                <w14:textFill>
                  <w14:solidFill>
                    <w14:schemeClr w14:val="tx1"/>
                  </w14:solidFill>
                </w14:textFill>
              </w:rPr>
              <w:t>电子信息产业“十四五”重点项目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陆丰康佳半导体光电显示及终端项目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2024</w:t>
            </w:r>
            <w:r>
              <w:rPr>
                <w:rFonts w:hint="eastAsia" w:ascii="宋体" w:hAnsi="宋体"/>
                <w:color w:val="000000" w:themeColor="text1"/>
                <w:sz w:val="28"/>
                <w:szCs w:val="28"/>
                <w14:textFill>
                  <w14:solidFill>
                    <w14:schemeClr w14:val="tx1"/>
                  </w14:solidFill>
                </w14:textFill>
              </w:rPr>
              <w:t>年，总投资2</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亿元。主要生产智能穿戴类终端、手机触控显示模组、摄像头模组、智能音箱产品、工业类触控显示模组及终端产品。建成达产后预计实现年产值50亿，年税利1.2亿。</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新区国信通博翼科技产业园</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017</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2023</w:t>
            </w:r>
            <w:r>
              <w:rPr>
                <w:rFonts w:hint="eastAsia" w:ascii="宋体" w:hAnsi="宋体"/>
                <w:color w:val="000000" w:themeColor="text1"/>
                <w:sz w:val="28"/>
                <w:szCs w:val="28"/>
                <w14:textFill>
                  <w14:solidFill>
                    <w14:schemeClr w14:val="tx1"/>
                  </w14:solidFill>
                </w14:textFill>
              </w:rPr>
              <w:t>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亿元，建设用地总面积3</w:t>
            </w:r>
            <w:r>
              <w:rPr>
                <w:rFonts w:ascii="宋体" w:hAnsi="宋体"/>
                <w:color w:val="000000" w:themeColor="text1"/>
                <w:sz w:val="28"/>
                <w:szCs w:val="28"/>
                <w14:textFill>
                  <w14:solidFill>
                    <w14:schemeClr w14:val="tx1"/>
                  </w14:solidFill>
                </w14:textFill>
              </w:rPr>
              <w:t>08</w:t>
            </w:r>
            <w:r>
              <w:rPr>
                <w:rFonts w:hint="eastAsia" w:ascii="宋体" w:hAnsi="宋体"/>
                <w:color w:val="000000" w:themeColor="text1"/>
                <w:sz w:val="28"/>
                <w:szCs w:val="28"/>
                <w14:textFill>
                  <w14:solidFill>
                    <w14:schemeClr w14:val="tx1"/>
                  </w14:solidFill>
                </w14:textFill>
              </w:rPr>
              <w:t>亩，“十四五”期间投资1</w:t>
            </w:r>
            <w:r>
              <w:rPr>
                <w:rFonts w:ascii="宋体" w:hAnsi="宋体"/>
                <w:color w:val="000000" w:themeColor="text1"/>
                <w:sz w:val="28"/>
                <w:szCs w:val="28"/>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亿元，预计2</w:t>
            </w:r>
            <w:r>
              <w:rPr>
                <w:rFonts w:ascii="宋体" w:hAnsi="宋体"/>
                <w:color w:val="000000" w:themeColor="text1"/>
                <w:sz w:val="28"/>
                <w:szCs w:val="28"/>
                <w14:textFill>
                  <w14:solidFill>
                    <w14:schemeClr w14:val="tx1"/>
                  </w14:solidFill>
                </w14:textFill>
              </w:rPr>
              <w:t>023</w:t>
            </w:r>
            <w:r>
              <w:rPr>
                <w:rFonts w:hint="eastAsia" w:ascii="宋体" w:hAnsi="宋体"/>
                <w:color w:val="000000" w:themeColor="text1"/>
                <w:sz w:val="28"/>
                <w:szCs w:val="28"/>
                <w14:textFill>
                  <w14:solidFill>
                    <w14:schemeClr w14:val="tx1"/>
                  </w14:solidFill>
                </w14:textFill>
              </w:rPr>
              <w:t>年投产。主要建设工业标准化厂房、配套办公楼及生活区，采用高端精密的自动化设备，以机械化流水线作业为主，研制生产锂离子电池、动力电池与移动电话等产品，实现年产锂离子电池12000万只与通讯手机1200万部的产能。</w:t>
            </w:r>
          </w:p>
          <w:p>
            <w:pPr>
              <w:spacing w:line="400" w:lineRule="exact"/>
              <w:ind w:firstLine="562" w:firstLineChars="200"/>
              <w:rPr>
                <w:rFonts w:ascii="宋体" w:hAnsi="宋体" w:cs="宋体"/>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海丰锦合电子科技线路板产业基地：</w:t>
            </w:r>
            <w:r>
              <w:rPr>
                <w:rFonts w:hint="eastAsia" w:ascii="宋体" w:hAnsi="宋体" w:cs="宋体"/>
                <w:color w:val="000000" w:themeColor="text1"/>
                <w:sz w:val="28"/>
                <w:szCs w:val="28"/>
                <w14:textFill>
                  <w14:solidFill>
                    <w14:schemeClr w14:val="tx1"/>
                  </w14:solidFill>
                </w14:textFill>
              </w:rPr>
              <w:t>建设时限2021-2023年，总投资60亿元，建设用地总面积300亩，主要生产高密度集成线路板、柔性电路板、封装基板产品、模块模组封装产品等。</w:t>
            </w:r>
          </w:p>
          <w:p>
            <w:pPr>
              <w:spacing w:line="40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信利半导体CF玻璃基板、TFT panel面板及配套显示模组生产项目：</w:t>
            </w:r>
            <w:r>
              <w:rPr>
                <w:rFonts w:hint="eastAsia" w:ascii="宋体" w:hAnsi="宋体" w:cs="宋体"/>
                <w:color w:val="000000" w:themeColor="text1"/>
                <w:sz w:val="28"/>
                <w:szCs w:val="28"/>
                <w14:textFill>
                  <w14:solidFill>
                    <w14:schemeClr w14:val="tx1"/>
                  </w14:solidFill>
                </w14:textFill>
              </w:rPr>
              <w:t>建设时限为2021-2023年，总投资为50亿元，用地面积31.44万平方米，主要生产针对高端车载显示市场、工业医疗及物联网显示市场、手机等中小尺寸显示屏。预计新增TFT大板产能3.5万片/月及彩色滤光片（CF）产能5万片/月，玻璃基板尺寸为1100mm*1300mm，新增配套模组产能350万片/月。</w:t>
            </w:r>
          </w:p>
        </w:tc>
      </w:tr>
      <w:bookmarkEnd w:id="38"/>
    </w:tbl>
    <w:p>
      <w:pPr>
        <w:ind w:firstLine="643" w:firstLineChars="200"/>
        <w:outlineLvl w:val="2"/>
        <w:rPr>
          <w:rFonts w:ascii="仿宋_GB2312" w:hAnsi="仿宋" w:eastAsia="仿宋_GB2312" w:cs="仿宋"/>
          <w:b/>
          <w:color w:val="000000"/>
          <w:sz w:val="32"/>
          <w:szCs w:val="32"/>
        </w:rPr>
      </w:pPr>
      <w:bookmarkStart w:id="39" w:name="_Toc10774"/>
      <w:r>
        <w:rPr>
          <w:rFonts w:hint="eastAsia" w:ascii="仿宋_GB2312" w:hAnsi="仿宋" w:eastAsia="仿宋_GB2312" w:cs="仿宋"/>
          <w:b/>
          <w:color w:val="000000"/>
          <w:sz w:val="32"/>
          <w:szCs w:val="32"/>
        </w:rPr>
        <w:t>2.新能源汽车产业</w:t>
      </w:r>
      <w:bookmarkEnd w:id="39"/>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充分发挥比亚迪在整车制造、车型开发、系统开发、总部协同等方面的优势，吸引产业链上下游龙头企业在汕尾设立生产基地和研发中心，引入及培育具有国际竞争力的零部件供应商，形成从零部件到整车的新能源汽车制造完整产业集群。积极引导整车企业与关键零部件、材料企业加强合作,提升产业链上下游融合发展水平。加强关键核心技术研发，鼓励车用操作系统、动力电池等开发创新，引进锂电池核心配套产商，加强锂电池在储能领域和新能源汽车领域的应用。支持企业构建技术创新载体，推动企业与科研院所加强合作，加快推进具有自主知识产权的关键核心技术专利化、专利标准化，促进科技成果产业化。积极引进智能网联汽车企业，实现车与人、路、后台等智能信息交换共享，打造粤东智能网联汽车基地。加快陆河比亚迪试车场项目建设，支持其将汽车产业链条拓展到汽车智能配件、汽车内饰生产、新材料研发、汽车展销和物流、汽车金融服务等领域。加快新能源汽车充电基础设施建设，建立新能源汽车大数据监测平台，完善新能源汽车推广应用扶持政策体系。力争到2025年，新能源汽车产值达到</w:t>
      </w:r>
      <w:r>
        <w:rPr>
          <w:rFonts w:ascii="仿宋_GB2312" w:hAnsi="仿宋" w:eastAsia="仿宋_GB2312" w:cs="仿宋"/>
          <w:bCs/>
          <w:color w:val="000000"/>
          <w:sz w:val="32"/>
          <w:szCs w:val="32"/>
        </w:rPr>
        <w:t>200</w:t>
      </w:r>
      <w:r>
        <w:rPr>
          <w:rFonts w:hint="eastAsia" w:ascii="仿宋_GB2312" w:hAnsi="仿宋" w:eastAsia="仿宋_GB2312" w:cs="仿宋"/>
          <w:bCs/>
          <w:color w:val="000000"/>
          <w:sz w:val="32"/>
          <w:szCs w:val="32"/>
        </w:rPr>
        <w:t>亿元以上。</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2 </w:t>
            </w:r>
            <w:r>
              <w:rPr>
                <w:rFonts w:hint="eastAsia" w:ascii="黑体" w:hAnsi="黑体" w:eastAsia="黑体"/>
                <w:color w:val="000000" w:themeColor="text1"/>
                <w:sz w:val="30"/>
                <w:szCs w:val="30"/>
                <w14:textFill>
                  <w14:solidFill>
                    <w14:schemeClr w14:val="tx1"/>
                  </w14:solidFill>
                </w14:textFill>
              </w:rPr>
              <w:t>新能源汽车产业“十四五”重点项目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陆河县新能源汽车充电设施建设项目：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020</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2022</w:t>
            </w:r>
            <w:r>
              <w:rPr>
                <w:rFonts w:hint="eastAsia" w:ascii="宋体" w:hAnsi="宋体"/>
                <w:color w:val="000000" w:themeColor="text1"/>
                <w:sz w:val="28"/>
                <w:szCs w:val="28"/>
                <w14:textFill>
                  <w14:solidFill>
                    <w14:schemeClr w14:val="tx1"/>
                  </w14:solidFill>
                </w14:textFill>
              </w:rPr>
              <w:t>年，总投资3亿元，建设用地总面积7</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亩，“十四五”期间投资2.</w:t>
            </w:r>
            <w:r>
              <w:rPr>
                <w:rFonts w:ascii="宋体" w:hAnsi="宋体"/>
                <w:color w:val="000000" w:themeColor="text1"/>
                <w:sz w:val="28"/>
                <w:szCs w:val="28"/>
                <w14:textFill>
                  <w14:solidFill>
                    <w14:schemeClr w14:val="tx1"/>
                  </w14:solidFill>
                </w14:textFill>
              </w:rPr>
              <w:t>9</w:t>
            </w:r>
            <w:r>
              <w:rPr>
                <w:rFonts w:hint="eastAsia" w:ascii="宋体" w:hAnsi="宋体"/>
                <w:color w:val="000000" w:themeColor="text1"/>
                <w:sz w:val="28"/>
                <w:szCs w:val="28"/>
                <w14:textFill>
                  <w14:solidFill>
                    <w14:schemeClr w14:val="tx1"/>
                  </w14:solidFill>
                </w14:textFill>
              </w:rPr>
              <w:t>亿元，在陆河县区内建设充电桩。</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陆河比亚迪汽车综合试验场项目：</w:t>
            </w:r>
            <w:r>
              <w:rPr>
                <w:rFonts w:hint="eastAsia" w:ascii="宋体" w:hAnsi="宋体"/>
                <w:color w:val="000000" w:themeColor="text1"/>
                <w:sz w:val="28"/>
                <w:szCs w:val="28"/>
                <w14:textFill>
                  <w14:solidFill>
                    <w14:schemeClr w14:val="tx1"/>
                  </w14:solidFill>
                </w14:textFill>
              </w:rPr>
              <w:t>建设时限为2020-2022年，总投资3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亿元，建设用地总面积</w:t>
            </w:r>
            <w:r>
              <w:rPr>
                <w:rFonts w:ascii="宋体" w:hAnsi="宋体"/>
                <w:color w:val="000000" w:themeColor="text1"/>
                <w:sz w:val="28"/>
                <w:szCs w:val="28"/>
                <w14:textFill>
                  <w14:solidFill>
                    <w14:schemeClr w14:val="tx1"/>
                  </w14:solidFill>
                </w14:textFill>
              </w:rPr>
              <w:t>2400</w:t>
            </w:r>
            <w:r>
              <w:rPr>
                <w:rFonts w:hint="eastAsia" w:ascii="宋体" w:hAnsi="宋体"/>
                <w:color w:val="000000" w:themeColor="text1"/>
                <w:sz w:val="28"/>
                <w:szCs w:val="28"/>
                <w14:textFill>
                  <w14:solidFill>
                    <w14:schemeClr w14:val="tx1"/>
                  </w14:solidFill>
                </w14:textFill>
              </w:rPr>
              <w:t>亩，“十四五”期间投资29亿元，主要建设办公楼、员工宿舍、充电及加油站、维修车间、试验室等以及高速环道、动态广场等各类测试路面。</w:t>
            </w:r>
          </w:p>
          <w:p>
            <w:pPr>
              <w:spacing w:line="400" w:lineRule="exact"/>
              <w:ind w:firstLine="560"/>
              <w:rPr>
                <w:rFonts w:ascii="仿宋" w:hAnsi="仿宋" w:eastAsia="仿宋"/>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比亚迪红草工业园：</w:t>
            </w:r>
            <w:r>
              <w:rPr>
                <w:rFonts w:hint="eastAsia" w:ascii="宋体" w:hAnsi="宋体"/>
                <w:color w:val="000000" w:themeColor="text1"/>
                <w:sz w:val="28"/>
                <w:szCs w:val="28"/>
                <w14:textFill>
                  <w14:solidFill>
                    <w14:schemeClr w14:val="tx1"/>
                  </w14:solidFill>
                </w14:textFill>
              </w:rPr>
              <w:t>建设时限为2016-2021年，总投资</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0亿元，建设用地总面积</w:t>
            </w:r>
            <w:r>
              <w:rPr>
                <w:rFonts w:ascii="宋体" w:hAnsi="宋体"/>
                <w:color w:val="000000" w:themeColor="text1"/>
                <w:sz w:val="28"/>
                <w:szCs w:val="28"/>
                <w14:textFill>
                  <w14:solidFill>
                    <w14:schemeClr w14:val="tx1"/>
                  </w14:solidFill>
                </w14:textFill>
              </w:rPr>
              <w:t>829</w:t>
            </w:r>
            <w:r>
              <w:rPr>
                <w:rFonts w:hint="eastAsia" w:ascii="宋体" w:hAnsi="宋体"/>
                <w:color w:val="000000" w:themeColor="text1"/>
                <w:sz w:val="28"/>
                <w:szCs w:val="28"/>
                <w14:textFill>
                  <w14:solidFill>
                    <w14:schemeClr w14:val="tx1"/>
                  </w14:solidFill>
                </w14:textFill>
              </w:rPr>
              <w:t>亩，“十四五”期间投资</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亿元，主要生产汽车相关零部件及IT零部件。</w:t>
            </w:r>
          </w:p>
        </w:tc>
      </w:tr>
    </w:tbl>
    <w:p>
      <w:pPr>
        <w:ind w:firstLine="643" w:firstLineChars="200"/>
        <w:outlineLvl w:val="2"/>
        <w:rPr>
          <w:rFonts w:ascii="仿宋_GB2312" w:hAnsi="仿宋" w:eastAsia="仿宋_GB2312" w:cs="仿宋"/>
          <w:b/>
          <w:color w:val="000000"/>
          <w:sz w:val="32"/>
          <w:szCs w:val="32"/>
        </w:rPr>
      </w:pPr>
      <w:bookmarkStart w:id="40" w:name="_Toc23072"/>
      <w:r>
        <w:rPr>
          <w:rFonts w:hint="eastAsia" w:ascii="仿宋_GB2312" w:hAnsi="仿宋" w:eastAsia="仿宋_GB2312" w:cs="仿宋"/>
          <w:b/>
          <w:color w:val="000000"/>
          <w:sz w:val="32"/>
          <w:szCs w:val="32"/>
        </w:rPr>
        <w:t>3.</w:t>
      </w:r>
      <w:bookmarkEnd w:id="40"/>
      <w:r>
        <w:rPr>
          <w:rFonts w:hint="eastAsia" w:ascii="仿宋_GB2312" w:hAnsi="仿宋" w:eastAsia="仿宋_GB2312" w:cs="仿宋"/>
          <w:b/>
          <w:color w:val="000000"/>
          <w:sz w:val="32"/>
          <w:szCs w:val="32"/>
        </w:rPr>
        <w:t>绿色石化产业</w:t>
      </w:r>
    </w:p>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抢抓省政府推动大南海石化产业园扩园、推动与揭阳合作共建潮汕平原大石化板块的历史机遇，</w:t>
      </w:r>
      <w:r>
        <w:rPr>
          <w:rFonts w:hint="eastAsia" w:ascii="仿宋_GB2312" w:hAnsi="仿宋" w:eastAsia="仿宋_GB2312"/>
          <w:sz w:val="32"/>
          <w:szCs w:val="32"/>
          <w:u w:val="none"/>
          <w:lang w:val="en-US" w:eastAsia="zh-CN"/>
        </w:rPr>
        <w:t>规划建设大南海石化工业园，</w:t>
      </w:r>
      <w:r>
        <w:rPr>
          <w:rFonts w:hint="eastAsia" w:ascii="仿宋_GB2312" w:hAnsi="仿宋" w:eastAsia="仿宋_GB2312"/>
          <w:sz w:val="32"/>
          <w:szCs w:val="32"/>
          <w:lang w:val="en-US" w:eastAsia="zh-CN"/>
        </w:rPr>
        <w:t>与揭阳共同打造潮汕平原大石化工业板块。优化石化园区空间布局，突出汕尾产业特色，对接利用好揭阳石化能源上游产业资源，重点引进培育烯烃、芳烃、化工新材料、新能源材料、特种精细化学品等大石化延伸产业，进一步壮大产业规模。到2</w:t>
      </w:r>
      <w:r>
        <w:rPr>
          <w:rFonts w:ascii="仿宋_GB2312" w:hAnsi="仿宋" w:eastAsia="仿宋_GB2312"/>
          <w:sz w:val="32"/>
          <w:szCs w:val="32"/>
          <w:lang w:val="en-US" w:eastAsia="zh-CN"/>
        </w:rPr>
        <w:t>025</w:t>
      </w:r>
      <w:r>
        <w:rPr>
          <w:rFonts w:hint="eastAsia" w:ascii="仿宋_GB2312" w:hAnsi="仿宋" w:eastAsia="仿宋_GB2312"/>
          <w:sz w:val="32"/>
          <w:szCs w:val="32"/>
          <w:lang w:val="en-US" w:eastAsia="zh-CN"/>
        </w:rPr>
        <w:t>年，石化产业产值达到2</w:t>
      </w:r>
      <w:r>
        <w:rPr>
          <w:rFonts w:ascii="仿宋_GB2312" w:hAnsi="仿宋" w:eastAsia="仿宋_GB2312"/>
          <w:sz w:val="32"/>
          <w:szCs w:val="32"/>
          <w:lang w:val="en-US" w:eastAsia="zh-CN"/>
        </w:rPr>
        <w:t>00</w:t>
      </w:r>
      <w:r>
        <w:rPr>
          <w:rFonts w:hint="eastAsia" w:ascii="仿宋_GB2312" w:hAnsi="仿宋" w:eastAsia="仿宋_GB2312"/>
          <w:sz w:val="32"/>
          <w:szCs w:val="32"/>
          <w:lang w:val="en-US" w:eastAsia="zh-CN"/>
        </w:rPr>
        <w:t>亿元。</w:t>
      </w: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296" w:type="dxa"/>
          </w:tcPr>
          <w:p>
            <w:pPr>
              <w:adjustRightInd w:val="0"/>
              <w:snapToGrid w:val="0"/>
              <w:contextualSpacing/>
              <w:jc w:val="center"/>
              <w:rPr>
                <w:rFonts w:ascii="黑体" w:hAnsi="黑体" w:eastAsia="黑体" w:cs="仿宋"/>
                <w:color w:val="000000" w:themeColor="text1"/>
                <w:sz w:val="30"/>
                <w:szCs w:val="30"/>
                <w14:textFill>
                  <w14:solidFill>
                    <w14:schemeClr w14:val="tx1"/>
                  </w14:solidFill>
                </w14:textFill>
              </w:rPr>
            </w:pPr>
            <w:r>
              <w:rPr>
                <w:rFonts w:hint="eastAsia" w:ascii="黑体" w:hAnsi="黑体" w:eastAsia="黑体" w:cs="仿宋"/>
                <w:color w:val="000000" w:themeColor="text1"/>
                <w:sz w:val="30"/>
                <w:szCs w:val="30"/>
                <w14:textFill>
                  <w14:solidFill>
                    <w14:schemeClr w14:val="tx1"/>
                  </w14:solidFill>
                </w14:textFill>
              </w:rPr>
              <w:t>专栏</w:t>
            </w:r>
            <w:r>
              <w:rPr>
                <w:rFonts w:ascii="黑体" w:hAnsi="黑体" w:eastAsia="黑体" w:cs="仿宋"/>
                <w:color w:val="000000" w:themeColor="text1"/>
                <w:sz w:val="30"/>
                <w:szCs w:val="30"/>
                <w14:textFill>
                  <w14:solidFill>
                    <w14:schemeClr w14:val="tx1"/>
                  </w14:solidFill>
                </w14:textFill>
              </w:rPr>
              <w:t>3</w:t>
            </w:r>
            <w:r>
              <w:rPr>
                <w:rFonts w:hint="eastAsia" w:ascii="黑体" w:hAnsi="黑体" w:eastAsia="黑体" w:cs="仿宋"/>
                <w:color w:val="000000" w:themeColor="text1"/>
                <w:sz w:val="30"/>
                <w:szCs w:val="30"/>
                <w14:textFill>
                  <w14:solidFill>
                    <w14:schemeClr w14:val="tx1"/>
                  </w14:solidFill>
                </w14:textFill>
              </w:rPr>
              <w:t xml:space="preserve"> 大南海石化汕尾基地建设项目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96" w:type="dxa"/>
          </w:tcPr>
          <w:p>
            <w:pPr>
              <w:adjustRightInd w:val="0"/>
              <w:snapToGrid w:val="0"/>
              <w:spacing w:line="400" w:lineRule="exact"/>
              <w:ind w:firstLine="560"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规划面积约46.7平方公里，发展以轻烃、烯烃、芳烃等综合利用为主线，以先进合成材料、化工新材料、新能源材料、特种精细化学品等为代表的高附加值产品。</w:t>
            </w:r>
          </w:p>
          <w:p>
            <w:pPr>
              <w:adjustRightInd w:val="0"/>
              <w:snapToGrid w:val="0"/>
              <w:spacing w:line="400" w:lineRule="exact"/>
              <w:ind w:firstLine="562"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近期（2021-2025年）：</w:t>
            </w:r>
            <w:r>
              <w:rPr>
                <w:rFonts w:hint="eastAsia" w:ascii="宋体" w:hAnsi="宋体" w:cs="仿宋"/>
                <w:color w:val="000000" w:themeColor="text1"/>
                <w:sz w:val="28"/>
                <w:szCs w:val="28"/>
                <w14:textFill>
                  <w14:solidFill>
                    <w14:schemeClr w14:val="tx1"/>
                  </w14:solidFill>
                </w14:textFill>
              </w:rPr>
              <w:t>集中开展园区基础设施及配套工程建设，重点引进芳烯炼化一体化项目及下游配套深加工产业。其中，2</w:t>
            </w:r>
            <w:r>
              <w:rPr>
                <w:rFonts w:ascii="宋体" w:hAnsi="宋体" w:cs="仿宋"/>
                <w:color w:val="000000" w:themeColor="text1"/>
                <w:sz w:val="28"/>
                <w:szCs w:val="28"/>
                <w14:textFill>
                  <w14:solidFill>
                    <w14:schemeClr w14:val="tx1"/>
                  </w14:solidFill>
                </w14:textFill>
              </w:rPr>
              <w:t>022</w:t>
            </w:r>
            <w:r>
              <w:rPr>
                <w:rFonts w:hint="eastAsia" w:ascii="宋体" w:hAnsi="宋体" w:cs="仿宋"/>
                <w:color w:val="000000" w:themeColor="text1"/>
                <w:sz w:val="28"/>
                <w:szCs w:val="28"/>
                <w14:textFill>
                  <w14:solidFill>
                    <w14:schemeClr w14:val="tx1"/>
                  </w14:solidFill>
                </w14:textFill>
              </w:rPr>
              <w:t>-</w:t>
            </w:r>
            <w:r>
              <w:rPr>
                <w:rFonts w:ascii="宋体" w:hAnsi="宋体" w:cs="仿宋"/>
                <w:color w:val="000000" w:themeColor="text1"/>
                <w:sz w:val="28"/>
                <w:szCs w:val="28"/>
                <w14:textFill>
                  <w14:solidFill>
                    <w14:schemeClr w14:val="tx1"/>
                  </w14:solidFill>
                </w14:textFill>
              </w:rPr>
              <w:t>2025</w:t>
            </w:r>
            <w:r>
              <w:rPr>
                <w:rFonts w:hint="eastAsia" w:ascii="宋体" w:hAnsi="宋体" w:cs="仿宋"/>
                <w:color w:val="000000" w:themeColor="text1"/>
                <w:sz w:val="28"/>
                <w:szCs w:val="28"/>
                <w14:textFill>
                  <w14:solidFill>
                    <w14:schemeClr w14:val="tx1"/>
                  </w14:solidFill>
                </w14:textFill>
              </w:rPr>
              <w:t>年拟投资6</w:t>
            </w:r>
            <w:r>
              <w:rPr>
                <w:rFonts w:ascii="宋体" w:hAnsi="宋体" w:cs="仿宋"/>
                <w:color w:val="000000" w:themeColor="text1"/>
                <w:sz w:val="28"/>
                <w:szCs w:val="28"/>
                <w14:textFill>
                  <w14:solidFill>
                    <w14:schemeClr w14:val="tx1"/>
                  </w14:solidFill>
                </w14:textFill>
              </w:rPr>
              <w:t>50</w:t>
            </w:r>
            <w:r>
              <w:rPr>
                <w:rFonts w:hint="eastAsia" w:ascii="宋体" w:hAnsi="宋体" w:cs="仿宋"/>
                <w:color w:val="000000" w:themeColor="text1"/>
                <w:sz w:val="28"/>
                <w:szCs w:val="28"/>
                <w14:textFill>
                  <w14:solidFill>
                    <w14:schemeClr w14:val="tx1"/>
                  </w14:solidFill>
                </w14:textFill>
              </w:rPr>
              <w:t>亿元，建设标准化厂房、石化工业区、重装备产业区及港口物流区、科教研发区、综合服务区等配套设施，建设引水工程及污水处理厂等基础设施和货场、停车场、消防站等公共配套项目。</w:t>
            </w:r>
          </w:p>
          <w:p>
            <w:pPr>
              <w:adjustRightInd w:val="0"/>
              <w:snapToGrid w:val="0"/>
              <w:spacing w:line="400" w:lineRule="exact"/>
              <w:ind w:firstLine="562"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中期（2026-2030年）：</w:t>
            </w:r>
            <w:r>
              <w:rPr>
                <w:rFonts w:hint="eastAsia" w:ascii="宋体" w:hAnsi="宋体" w:cs="仿宋"/>
                <w:color w:val="000000" w:themeColor="text1"/>
                <w:sz w:val="28"/>
                <w:szCs w:val="28"/>
                <w14:textFill>
                  <w14:solidFill>
                    <w14:schemeClr w14:val="tx1"/>
                  </w14:solidFill>
                </w14:textFill>
              </w:rPr>
              <w:t>重点建成以轻烃综合利用为龙头的烯烃多元化项目，并大力引进先进合成材料、新能源材料、化工新材料、特种精细化学品等高附加值产品和企业。</w:t>
            </w:r>
          </w:p>
          <w:p>
            <w:pPr>
              <w:adjustRightInd w:val="0"/>
              <w:snapToGrid w:val="0"/>
              <w:spacing w:line="400" w:lineRule="exact"/>
              <w:ind w:firstLine="562" w:firstLineChars="200"/>
              <w:contextualSpacing/>
              <w:rPr>
                <w:rFonts w:ascii="仿宋" w:hAnsi="仿宋" w:eastAsia="仿宋"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远期（2026-2035年）：</w:t>
            </w:r>
            <w:r>
              <w:rPr>
                <w:rFonts w:hint="eastAsia" w:ascii="宋体" w:hAnsi="宋体" w:cs="仿宋"/>
                <w:color w:val="000000" w:themeColor="text1"/>
                <w:sz w:val="28"/>
                <w:szCs w:val="28"/>
                <w14:textFill>
                  <w14:solidFill>
                    <w14:schemeClr w14:val="tx1"/>
                  </w14:solidFill>
                </w14:textFill>
              </w:rPr>
              <w:t>按照强链、补链、拓链的原则，持续优化园区产业结构，绿色、安全、先进、优质的示范性产业园基本建成。</w:t>
            </w:r>
          </w:p>
        </w:tc>
      </w:tr>
    </w:tbl>
    <w:p>
      <w:pPr>
        <w:ind w:firstLine="643" w:firstLineChars="200"/>
        <w:outlineLvl w:val="2"/>
        <w:rPr>
          <w:rFonts w:ascii="仿宋_GB2312" w:hAnsi="仿宋" w:eastAsia="仿宋_GB2312" w:cs="仿宋"/>
          <w:b/>
          <w:color w:val="000000"/>
          <w:sz w:val="32"/>
          <w:szCs w:val="32"/>
        </w:rPr>
      </w:pPr>
      <w:bookmarkStart w:id="41" w:name="_Hlk66335371"/>
      <w:bookmarkStart w:id="42" w:name="_Toc5218"/>
      <w:r>
        <w:rPr>
          <w:rFonts w:hint="eastAsia" w:ascii="仿宋_GB2312" w:hAnsi="仿宋" w:eastAsia="仿宋_GB2312" w:cs="仿宋"/>
          <w:b/>
          <w:color w:val="000000"/>
          <w:sz w:val="32"/>
          <w:szCs w:val="32"/>
        </w:rPr>
        <w:t>4.</w:t>
      </w:r>
      <w:bookmarkEnd w:id="41"/>
      <w:r>
        <w:rPr>
          <w:rFonts w:hint="eastAsia" w:ascii="仿宋_GB2312" w:hAnsi="仿宋" w:eastAsia="仿宋_GB2312" w:cs="仿宋"/>
          <w:b/>
          <w:color w:val="000000"/>
          <w:sz w:val="32"/>
          <w:szCs w:val="32"/>
        </w:rPr>
        <w:t>电力能源产业</w:t>
      </w:r>
      <w:bookmarkEnd w:id="42"/>
    </w:p>
    <w:p>
      <w:pPr>
        <w:pStyle w:val="27"/>
        <w:spacing w:line="240" w:lineRule="auto"/>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依托丰富岸线和广阔腹地,</w:t>
      </w:r>
      <w:r>
        <w:rPr>
          <w:rFonts w:hint="eastAsia"/>
        </w:rPr>
        <w:t xml:space="preserve"> </w:t>
      </w:r>
      <w:r>
        <w:rPr>
          <w:rFonts w:hint="eastAsia" w:ascii="仿宋_GB2312" w:hAnsi="仿宋" w:eastAsia="仿宋_GB2312" w:cs="仿宋"/>
          <w:bCs/>
          <w:color w:val="000000"/>
          <w:sz w:val="32"/>
          <w:szCs w:val="32"/>
        </w:rPr>
        <w:t>加快推进一批重点能源项目建设，推动现有火电电厂实施扩容改造，大力发展核电、海上风电、光伏发电，合理发展气电，推动全市形成火电、核电、水电、风电和光伏发电并存的格局，打造全省乃至全国重要的电力能源生产基地。加快推进陆丰核电前期工作，争取尽快开工建设。推进陆丰燃气发电项目建设，稳步推进陆丰后湖、甲子、碣石海上风电等项目规划建设，积极规划粤东（汕尾）千万千瓦海上风电基地。推进陆河三江口抽水蓄能电站前期工作。适度发展高效煤电，加快广东陆丰甲湖湾电厂扩建工程，推动煤电行业加快推进设备更新和技术升级改造。积极引进大湾区先进技术和服务，大力发展智能电网技术，加快研发分布式能源、储能、智能微网等关键技术，大力发展“互联网+”智慧能源，大幅提升新能源消纳能力，推动智能电气装备产业高端化发展。到2025年，</w:t>
      </w:r>
      <w:r>
        <w:rPr>
          <w:rFonts w:hint="eastAsia" w:ascii="仿宋_GB2312" w:hAnsi="仿宋" w:eastAsia="仿宋_GB2312" w:cs="仿宋"/>
          <w:bCs/>
          <w:color w:val="000000"/>
          <w:sz w:val="32"/>
          <w:szCs w:val="32"/>
          <w:u w:val="single"/>
        </w:rPr>
        <w:t>新能源总装机</w:t>
      </w:r>
      <w:r>
        <w:rPr>
          <w:rFonts w:hint="eastAsia" w:ascii="仿宋_GB2312" w:hAnsi="仿宋" w:eastAsia="仿宋_GB2312" w:cs="仿宋"/>
          <w:bCs/>
          <w:color w:val="000000"/>
          <w:sz w:val="32"/>
          <w:szCs w:val="32"/>
        </w:rPr>
        <w:t>规模达到</w:t>
      </w:r>
      <w:r>
        <w:rPr>
          <w:rFonts w:hint="eastAsia" w:ascii="仿宋_GB2312" w:hAnsi="仿宋" w:eastAsia="仿宋_GB2312" w:cs="仿宋"/>
          <w:bCs/>
          <w:color w:val="000000"/>
          <w:sz w:val="32"/>
          <w:szCs w:val="32"/>
          <w:lang w:val="en-US" w:eastAsia="zh-CN"/>
        </w:rPr>
        <w:t>2570</w:t>
      </w:r>
      <w:r>
        <w:rPr>
          <w:rFonts w:hint="eastAsia" w:ascii="仿宋_GB2312" w:hAnsi="仿宋" w:eastAsia="仿宋_GB2312" w:cs="仿宋"/>
          <w:bCs/>
          <w:color w:val="000000"/>
          <w:sz w:val="32"/>
          <w:szCs w:val="32"/>
        </w:rPr>
        <w:t>万千瓦时，电力能源产业产值达到</w:t>
      </w:r>
      <w:r>
        <w:rPr>
          <w:rFonts w:hint="eastAsia" w:ascii="仿宋_GB2312" w:hAnsi="仿宋" w:eastAsia="仿宋_GB2312" w:cs="仿宋"/>
          <w:bCs/>
          <w:color w:val="000000"/>
          <w:sz w:val="32"/>
          <w:szCs w:val="32"/>
          <w:lang w:val="en-US" w:eastAsia="zh-CN"/>
        </w:rPr>
        <w:t>5</w:t>
      </w:r>
      <w:r>
        <w:rPr>
          <w:rFonts w:ascii="仿宋_GB2312" w:hAnsi="仿宋" w:eastAsia="PMingLiU" w:cs="仿宋"/>
          <w:bCs/>
          <w:color w:val="000000"/>
          <w:sz w:val="32"/>
          <w:szCs w:val="32"/>
        </w:rPr>
        <w:t>0</w:t>
      </w:r>
      <w:r>
        <w:rPr>
          <w:rFonts w:ascii="仿宋_GB2312" w:hAnsi="仿宋" w:eastAsia="仿宋_GB2312" w:cs="仿宋"/>
          <w:bCs/>
          <w:color w:val="000000"/>
          <w:sz w:val="32"/>
          <w:szCs w:val="32"/>
        </w:rPr>
        <w:t>0</w:t>
      </w:r>
      <w:r>
        <w:rPr>
          <w:rFonts w:hint="eastAsia" w:ascii="仿宋_GB2312" w:hAnsi="仿宋" w:eastAsia="仿宋_GB2312" w:cs="仿宋"/>
          <w:bCs/>
          <w:color w:val="000000"/>
          <w:sz w:val="32"/>
          <w:szCs w:val="32"/>
        </w:rPr>
        <w:t>亿元。</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43" w:name="_Hlk66349361"/>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4 </w:t>
            </w:r>
            <w:r>
              <w:rPr>
                <w:rFonts w:hint="eastAsia" w:ascii="黑体" w:hAnsi="黑体" w:eastAsia="黑体"/>
                <w:color w:val="000000" w:themeColor="text1"/>
                <w:sz w:val="30"/>
                <w:szCs w:val="30"/>
                <w14:textFill>
                  <w14:solidFill>
                    <w14:schemeClr w14:val="tx1"/>
                  </w14:solidFill>
                </w14:textFill>
              </w:rPr>
              <w:t>“十四五”时期我市电力能源建设重点项目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1</w:t>
            </w:r>
            <w:r>
              <w:rPr>
                <w:rFonts w:cs="仿宋" w:asciiTheme="minorEastAsia" w:hAnsiTheme="minorEastAsia"/>
                <w:b/>
                <w:bCs/>
                <w:color w:val="000000"/>
                <w:sz w:val="28"/>
                <w:szCs w:val="28"/>
              </w:rPr>
              <w:t>.</w:t>
            </w:r>
            <w:r>
              <w:rPr>
                <w:rFonts w:hint="eastAsia" w:cs="仿宋" w:asciiTheme="minorEastAsia" w:hAnsiTheme="minorEastAsia"/>
                <w:b/>
                <w:bCs/>
                <w:color w:val="000000"/>
                <w:sz w:val="28"/>
                <w:szCs w:val="28"/>
              </w:rPr>
              <w:t>核电</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陆丰核电工程：</w:t>
            </w:r>
            <w:r>
              <w:rPr>
                <w:rFonts w:hint="eastAsia" w:cs="仿宋" w:asciiTheme="minorEastAsia" w:hAnsiTheme="minorEastAsia"/>
                <w:color w:val="000000"/>
                <w:sz w:val="28"/>
                <w:szCs w:val="28"/>
              </w:rPr>
              <w:t>规划建设6台百万千瓦级压水堆核电机组，一次规划分期建设。一期工程：建设时限为2</w:t>
            </w:r>
            <w:r>
              <w:rPr>
                <w:rFonts w:cs="仿宋" w:asciiTheme="minorEastAsia" w:hAnsiTheme="minorEastAsia"/>
                <w:color w:val="000000"/>
                <w:sz w:val="28"/>
                <w:szCs w:val="28"/>
              </w:rPr>
              <w:t>016</w:t>
            </w:r>
            <w:r>
              <w:rPr>
                <w:rFonts w:hint="eastAsia" w:cs="仿宋" w:asciiTheme="minorEastAsia" w:hAnsiTheme="minorEastAsia"/>
                <w:color w:val="000000"/>
                <w:sz w:val="28"/>
                <w:szCs w:val="28"/>
              </w:rPr>
              <w:t>-</w:t>
            </w:r>
            <w:r>
              <w:rPr>
                <w:rFonts w:cs="仿宋" w:asciiTheme="minorEastAsia" w:hAnsiTheme="minorEastAsia"/>
                <w:color w:val="000000"/>
                <w:sz w:val="28"/>
                <w:szCs w:val="28"/>
              </w:rPr>
              <w:t>2023</w:t>
            </w:r>
            <w:r>
              <w:rPr>
                <w:rFonts w:hint="eastAsia" w:cs="仿宋" w:asciiTheme="minorEastAsia" w:hAnsiTheme="minorEastAsia"/>
                <w:color w:val="000000"/>
                <w:sz w:val="28"/>
                <w:szCs w:val="28"/>
              </w:rPr>
              <w:t>年，总投资4</w:t>
            </w:r>
            <w:r>
              <w:rPr>
                <w:rFonts w:cs="仿宋" w:asciiTheme="minorEastAsia" w:hAnsiTheme="minorEastAsia"/>
                <w:color w:val="000000"/>
                <w:sz w:val="28"/>
                <w:szCs w:val="28"/>
              </w:rPr>
              <w:t>20.76</w:t>
            </w:r>
            <w:r>
              <w:rPr>
                <w:rFonts w:hint="eastAsia" w:cs="仿宋" w:asciiTheme="minorEastAsia" w:hAnsiTheme="minorEastAsia"/>
                <w:color w:val="000000"/>
                <w:sz w:val="28"/>
                <w:szCs w:val="28"/>
              </w:rPr>
              <w:t>亿元，“十四五”期间投资2</w:t>
            </w:r>
            <w:r>
              <w:rPr>
                <w:rFonts w:cs="仿宋" w:asciiTheme="minorEastAsia" w:hAnsiTheme="minorEastAsia"/>
                <w:color w:val="000000"/>
                <w:sz w:val="28"/>
                <w:szCs w:val="28"/>
              </w:rPr>
              <w:t>35.76</w:t>
            </w:r>
            <w:r>
              <w:rPr>
                <w:rFonts w:hint="eastAsia" w:cs="仿宋" w:asciiTheme="minorEastAsia" w:hAnsiTheme="minorEastAsia"/>
                <w:color w:val="000000"/>
                <w:sz w:val="28"/>
                <w:szCs w:val="28"/>
              </w:rPr>
              <w:t>亿元；建设两台AP1000机组，设计寿命60年，单机容量1245MW，换料周期18个月。二期工程：建设时限为</w:t>
            </w:r>
            <w:r>
              <w:rPr>
                <w:rFonts w:cs="仿宋" w:asciiTheme="minorEastAsia" w:hAnsiTheme="minorEastAsia"/>
                <w:color w:val="000000"/>
                <w:sz w:val="28"/>
                <w:szCs w:val="28"/>
              </w:rPr>
              <w:t>2022-2028</w:t>
            </w:r>
            <w:r>
              <w:rPr>
                <w:rFonts w:hint="eastAsia" w:cs="仿宋" w:asciiTheme="minorEastAsia" w:hAnsiTheme="minorEastAsia"/>
                <w:color w:val="000000"/>
                <w:sz w:val="28"/>
                <w:szCs w:val="28"/>
              </w:rPr>
              <w:t>年，总投资4</w:t>
            </w:r>
            <w:r>
              <w:rPr>
                <w:rFonts w:cs="仿宋" w:asciiTheme="minorEastAsia" w:hAnsiTheme="minorEastAsia"/>
                <w:color w:val="000000"/>
                <w:sz w:val="28"/>
                <w:szCs w:val="28"/>
              </w:rPr>
              <w:t>09</w:t>
            </w:r>
            <w:r>
              <w:rPr>
                <w:rFonts w:hint="eastAsia" w:cs="仿宋" w:asciiTheme="minorEastAsia" w:hAnsiTheme="minorEastAsia"/>
                <w:color w:val="000000"/>
                <w:sz w:val="28"/>
                <w:szCs w:val="28"/>
              </w:rPr>
              <w:t>.</w:t>
            </w:r>
            <w:r>
              <w:rPr>
                <w:rFonts w:cs="仿宋" w:asciiTheme="minorEastAsia" w:hAnsiTheme="minorEastAsia"/>
                <w:color w:val="000000"/>
                <w:sz w:val="28"/>
                <w:szCs w:val="28"/>
              </w:rPr>
              <w:t>99</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10</w:t>
            </w:r>
            <w:r>
              <w:rPr>
                <w:rFonts w:hint="eastAsia" w:cs="仿宋" w:asciiTheme="minorEastAsia" w:hAnsiTheme="minorEastAsia"/>
                <w:color w:val="000000"/>
                <w:sz w:val="28"/>
                <w:szCs w:val="28"/>
              </w:rPr>
              <w:t>亿元；建设两台华龙一号机组。三期工程：建设时限为</w:t>
            </w:r>
            <w:r>
              <w:rPr>
                <w:rFonts w:cs="仿宋" w:asciiTheme="minorEastAsia" w:hAnsiTheme="minorEastAsia"/>
                <w:color w:val="000000"/>
                <w:sz w:val="28"/>
                <w:szCs w:val="28"/>
              </w:rPr>
              <w:t>2024-2030</w:t>
            </w:r>
            <w:r>
              <w:rPr>
                <w:rFonts w:hint="eastAsia" w:cs="仿宋" w:asciiTheme="minorEastAsia" w:hAnsiTheme="minorEastAsia"/>
                <w:color w:val="000000"/>
                <w:sz w:val="28"/>
                <w:szCs w:val="28"/>
              </w:rPr>
              <w:t>年，总投资</w:t>
            </w:r>
            <w:r>
              <w:rPr>
                <w:rFonts w:cs="仿宋" w:asciiTheme="minorEastAsia" w:hAnsiTheme="minorEastAsia"/>
                <w:color w:val="000000"/>
                <w:sz w:val="28"/>
                <w:szCs w:val="28"/>
              </w:rPr>
              <w:t>315</w:t>
            </w:r>
            <w:r>
              <w:rPr>
                <w:rFonts w:hint="eastAsia" w:cs="仿宋" w:asciiTheme="minorEastAsia" w:hAnsiTheme="minorEastAsia"/>
                <w:color w:val="000000"/>
                <w:sz w:val="28"/>
                <w:szCs w:val="28"/>
              </w:rPr>
              <w:t>.</w:t>
            </w:r>
            <w:r>
              <w:rPr>
                <w:rFonts w:cs="仿宋" w:asciiTheme="minorEastAsia" w:hAnsiTheme="minorEastAsia"/>
                <w:color w:val="000000"/>
                <w:sz w:val="28"/>
                <w:szCs w:val="28"/>
              </w:rPr>
              <w:t>25</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90</w:t>
            </w:r>
            <w:r>
              <w:rPr>
                <w:rFonts w:hint="eastAsia" w:cs="仿宋" w:asciiTheme="minorEastAsia" w:hAnsiTheme="minorEastAsia"/>
                <w:color w:val="000000"/>
                <w:sz w:val="28"/>
                <w:szCs w:val="28"/>
              </w:rPr>
              <w:t>.</w:t>
            </w:r>
            <w:r>
              <w:rPr>
                <w:rFonts w:cs="仿宋" w:asciiTheme="minorEastAsia" w:hAnsiTheme="minorEastAsia"/>
                <w:color w:val="000000"/>
                <w:sz w:val="28"/>
                <w:szCs w:val="28"/>
              </w:rPr>
              <w:t>07</w:t>
            </w:r>
            <w:r>
              <w:rPr>
                <w:rFonts w:hint="eastAsia" w:cs="仿宋" w:asciiTheme="minorEastAsia" w:hAnsiTheme="minorEastAsia"/>
                <w:color w:val="000000"/>
                <w:sz w:val="28"/>
                <w:szCs w:val="28"/>
              </w:rPr>
              <w:t>亿元；建设两台华龙一号机组。</w:t>
            </w:r>
          </w:p>
          <w:p>
            <w:pPr>
              <w:tabs>
                <w:tab w:val="left" w:pos="7362"/>
              </w:tabs>
              <w:adjustRightInd w:val="0"/>
              <w:snapToGrid w:val="0"/>
              <w:spacing w:line="400" w:lineRule="exact"/>
              <w:ind w:firstLine="562" w:firstLineChars="200"/>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2</w:t>
            </w:r>
            <w:r>
              <w:rPr>
                <w:rFonts w:cs="仿宋" w:asciiTheme="minorEastAsia" w:hAnsiTheme="minorEastAsia"/>
                <w:b/>
                <w:bCs/>
                <w:color w:val="000000"/>
                <w:sz w:val="28"/>
                <w:szCs w:val="28"/>
              </w:rPr>
              <w:t>.</w:t>
            </w:r>
            <w:r>
              <w:rPr>
                <w:rFonts w:hint="eastAsia" w:cs="仿宋" w:asciiTheme="minorEastAsia" w:hAnsiTheme="minorEastAsia"/>
                <w:b/>
                <w:bCs/>
                <w:color w:val="000000"/>
                <w:sz w:val="28"/>
                <w:szCs w:val="28"/>
              </w:rPr>
              <w:t>煤电</w:t>
            </w:r>
          </w:p>
          <w:p>
            <w:pPr>
              <w:tabs>
                <w:tab w:val="left" w:pos="7362"/>
              </w:tabs>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陆丰甲湖湾电厂3、4号机组扩建工程</w:t>
            </w:r>
            <w:r>
              <w:rPr>
                <w:rFonts w:hint="eastAsia" w:cs="仿宋" w:asciiTheme="minorEastAsia" w:hAnsiTheme="minorEastAsia"/>
                <w:color w:val="000000"/>
                <w:sz w:val="28"/>
                <w:szCs w:val="28"/>
              </w:rPr>
              <w:t>：建设时限为20</w:t>
            </w:r>
            <w:r>
              <w:rPr>
                <w:rFonts w:cs="仿宋" w:asciiTheme="minorEastAsia" w:hAnsiTheme="minorEastAsia"/>
                <w:color w:val="000000"/>
                <w:sz w:val="28"/>
                <w:szCs w:val="28"/>
              </w:rPr>
              <w:t>21</w:t>
            </w:r>
            <w:r>
              <w:rPr>
                <w:rFonts w:hint="eastAsia" w:cs="仿宋" w:asciiTheme="minorEastAsia" w:hAnsiTheme="minorEastAsia"/>
                <w:color w:val="000000"/>
                <w:sz w:val="28"/>
                <w:szCs w:val="28"/>
              </w:rPr>
              <w:t>-2023年，“十四五</w:t>
            </w:r>
            <w:r>
              <w:rPr>
                <w:rFonts w:cs="仿宋" w:asciiTheme="minorEastAsia" w:hAnsiTheme="minorEastAsia"/>
                <w:color w:val="000000"/>
                <w:sz w:val="28"/>
                <w:szCs w:val="28"/>
              </w:rPr>
              <w:t>”</w:t>
            </w:r>
            <w:r>
              <w:rPr>
                <w:rFonts w:hint="eastAsia" w:cs="仿宋" w:asciiTheme="minorEastAsia" w:hAnsiTheme="minorEastAsia"/>
                <w:color w:val="000000"/>
                <w:sz w:val="28"/>
                <w:szCs w:val="28"/>
              </w:rPr>
              <w:t>期间投资</w:t>
            </w:r>
            <w:r>
              <w:rPr>
                <w:rFonts w:cs="仿宋" w:asciiTheme="minorEastAsia" w:hAnsiTheme="minorEastAsia"/>
                <w:color w:val="000000"/>
                <w:sz w:val="28"/>
                <w:szCs w:val="28"/>
              </w:rPr>
              <w:t>72</w:t>
            </w:r>
            <w:r>
              <w:rPr>
                <w:rFonts w:hint="eastAsia" w:cs="仿宋" w:asciiTheme="minorEastAsia" w:hAnsiTheme="minorEastAsia"/>
                <w:color w:val="000000"/>
                <w:sz w:val="28"/>
                <w:szCs w:val="28"/>
              </w:rPr>
              <w:t>.</w:t>
            </w:r>
            <w:r>
              <w:rPr>
                <w:rFonts w:cs="仿宋" w:asciiTheme="minorEastAsia" w:hAnsiTheme="minorEastAsia"/>
                <w:color w:val="000000"/>
                <w:sz w:val="28"/>
                <w:szCs w:val="28"/>
              </w:rPr>
              <w:t>87</w:t>
            </w:r>
            <w:r>
              <w:rPr>
                <w:rFonts w:hint="eastAsia" w:cs="仿宋" w:asciiTheme="minorEastAsia" w:hAnsiTheme="minorEastAsia"/>
                <w:color w:val="000000"/>
                <w:sz w:val="28"/>
                <w:szCs w:val="28"/>
              </w:rPr>
              <w:t>亿元，建设2台100万千瓦超超临界燃煤发电机组，同步建设烟气脱硫、脱硝设施。</w:t>
            </w:r>
          </w:p>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3</w:t>
            </w:r>
            <w:r>
              <w:rPr>
                <w:rFonts w:cs="仿宋" w:asciiTheme="minorEastAsia" w:hAnsiTheme="minorEastAsia"/>
                <w:b/>
                <w:bCs/>
                <w:color w:val="000000"/>
                <w:sz w:val="28"/>
                <w:szCs w:val="28"/>
              </w:rPr>
              <w:t>.</w:t>
            </w:r>
            <w:r>
              <w:rPr>
                <w:rFonts w:hint="eastAsia" w:cs="仿宋" w:asciiTheme="minorEastAsia" w:hAnsiTheme="minorEastAsia"/>
                <w:b/>
                <w:bCs/>
                <w:color w:val="000000"/>
                <w:sz w:val="28"/>
                <w:szCs w:val="28"/>
              </w:rPr>
              <w:t>风电</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中广核汕尾后湖海上风电场项目：</w:t>
            </w:r>
            <w:r>
              <w:rPr>
                <w:rFonts w:hint="eastAsia" w:cs="仿宋" w:asciiTheme="minorEastAsia" w:hAnsiTheme="minorEastAsia"/>
                <w:color w:val="000000"/>
                <w:sz w:val="28"/>
                <w:szCs w:val="28"/>
              </w:rPr>
              <w:t>建设时限为20</w:t>
            </w:r>
            <w:r>
              <w:rPr>
                <w:rFonts w:cs="仿宋" w:asciiTheme="minorEastAsia" w:hAnsiTheme="minorEastAsia"/>
                <w:color w:val="000000"/>
                <w:sz w:val="28"/>
                <w:szCs w:val="28"/>
              </w:rPr>
              <w:t>18</w:t>
            </w:r>
            <w:r>
              <w:rPr>
                <w:rFonts w:hint="eastAsia" w:cs="仿宋" w:asciiTheme="minorEastAsia" w:hAnsiTheme="minorEastAsia"/>
                <w:color w:val="000000"/>
                <w:sz w:val="28"/>
                <w:szCs w:val="28"/>
              </w:rPr>
              <w:t>-202</w:t>
            </w:r>
            <w:r>
              <w:rPr>
                <w:rFonts w:cs="仿宋" w:asciiTheme="minorEastAsia" w:hAnsiTheme="minorEastAsia"/>
                <w:color w:val="000000"/>
                <w:sz w:val="28"/>
                <w:szCs w:val="28"/>
              </w:rPr>
              <w:t>1</w:t>
            </w:r>
            <w:r>
              <w:rPr>
                <w:rFonts w:hint="eastAsia" w:cs="仿宋" w:asciiTheme="minorEastAsia" w:hAnsiTheme="minorEastAsia"/>
                <w:color w:val="000000"/>
                <w:sz w:val="28"/>
                <w:szCs w:val="28"/>
              </w:rPr>
              <w:t>年，总投资8</w:t>
            </w:r>
            <w:r>
              <w:rPr>
                <w:rFonts w:cs="仿宋" w:asciiTheme="minorEastAsia" w:hAnsiTheme="minorEastAsia"/>
                <w:color w:val="000000"/>
                <w:sz w:val="28"/>
                <w:szCs w:val="28"/>
              </w:rPr>
              <w:t>4.22</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39</w:t>
            </w:r>
            <w:r>
              <w:rPr>
                <w:rFonts w:hint="eastAsia" w:cs="仿宋" w:asciiTheme="minorEastAsia" w:hAnsiTheme="minorEastAsia"/>
                <w:color w:val="000000"/>
                <w:sz w:val="28"/>
                <w:szCs w:val="28"/>
              </w:rPr>
              <w:t>.</w:t>
            </w:r>
            <w:r>
              <w:rPr>
                <w:rFonts w:cs="仿宋" w:asciiTheme="minorEastAsia" w:hAnsiTheme="minorEastAsia"/>
                <w:color w:val="000000"/>
                <w:sz w:val="28"/>
                <w:szCs w:val="28"/>
              </w:rPr>
              <w:t>22</w:t>
            </w:r>
            <w:r>
              <w:rPr>
                <w:rFonts w:hint="eastAsia" w:cs="仿宋" w:asciiTheme="minorEastAsia" w:hAnsiTheme="minorEastAsia"/>
                <w:color w:val="000000"/>
                <w:sz w:val="28"/>
                <w:szCs w:val="28"/>
              </w:rPr>
              <w:t>亿元；装机容量500MW海上风力发电场，配套建设220kV海底电缆、35kV海底电缆、海上升压站及陆上集控中心。</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中广核汕尾甲子海上风电场：①项目(一)：</w:t>
            </w:r>
            <w:r>
              <w:rPr>
                <w:rFonts w:hint="eastAsia" w:cs="仿宋" w:asciiTheme="minorEastAsia" w:hAnsiTheme="minorEastAsia"/>
                <w:color w:val="000000"/>
                <w:sz w:val="28"/>
                <w:szCs w:val="28"/>
              </w:rPr>
              <w:t>建设时限为201</w:t>
            </w:r>
            <w:r>
              <w:rPr>
                <w:rFonts w:cs="仿宋" w:asciiTheme="minorEastAsia" w:hAnsiTheme="minorEastAsia"/>
                <w:color w:val="000000"/>
                <w:sz w:val="28"/>
                <w:szCs w:val="28"/>
              </w:rPr>
              <w:t>9</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年，总投资8</w:t>
            </w:r>
            <w:r>
              <w:rPr>
                <w:rFonts w:cs="仿宋" w:asciiTheme="minorEastAsia" w:hAnsiTheme="minorEastAsia"/>
                <w:color w:val="000000"/>
                <w:sz w:val="28"/>
                <w:szCs w:val="28"/>
              </w:rPr>
              <w:t>4</w:t>
            </w:r>
            <w:r>
              <w:rPr>
                <w:rFonts w:hint="eastAsia" w:cs="仿宋" w:asciiTheme="minorEastAsia" w:hAnsiTheme="minorEastAsia"/>
                <w:color w:val="000000"/>
                <w:sz w:val="28"/>
                <w:szCs w:val="28"/>
              </w:rPr>
              <w:t>.</w:t>
            </w:r>
            <w:r>
              <w:rPr>
                <w:rFonts w:cs="仿宋" w:asciiTheme="minorEastAsia" w:hAnsiTheme="minorEastAsia"/>
                <w:color w:val="000000"/>
                <w:sz w:val="28"/>
                <w:szCs w:val="28"/>
              </w:rPr>
              <w:t>51</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44</w:t>
            </w:r>
            <w:r>
              <w:rPr>
                <w:rFonts w:hint="eastAsia" w:cs="仿宋" w:asciiTheme="minorEastAsia" w:hAnsiTheme="minorEastAsia"/>
                <w:color w:val="000000"/>
                <w:sz w:val="28"/>
                <w:szCs w:val="28"/>
              </w:rPr>
              <w:t>.</w:t>
            </w:r>
            <w:r>
              <w:rPr>
                <w:rFonts w:cs="仿宋" w:asciiTheme="minorEastAsia" w:hAnsiTheme="minorEastAsia"/>
                <w:color w:val="000000"/>
                <w:sz w:val="28"/>
                <w:szCs w:val="28"/>
              </w:rPr>
              <w:t>36</w:t>
            </w:r>
            <w:r>
              <w:rPr>
                <w:rFonts w:hint="eastAsia" w:cs="仿宋" w:asciiTheme="minorEastAsia" w:hAnsiTheme="minorEastAsia"/>
                <w:color w:val="000000"/>
                <w:sz w:val="28"/>
                <w:szCs w:val="28"/>
              </w:rPr>
              <w:t>亿元。建设500MW海上风力发电场，配套建设一座220kV海上升压站、35kV集电海缆、220kV登陆海缆，陆上集控中心与汕尾后湖项目共建；</w:t>
            </w:r>
            <w:r>
              <w:rPr>
                <w:rFonts w:hint="eastAsia" w:cs="仿宋" w:asciiTheme="minorEastAsia" w:hAnsiTheme="minorEastAsia"/>
                <w:b/>
                <w:bCs/>
                <w:color w:val="000000"/>
                <w:sz w:val="28"/>
                <w:szCs w:val="28"/>
              </w:rPr>
              <w:t>②项目（二）</w:t>
            </w:r>
            <w:r>
              <w:rPr>
                <w:rFonts w:hint="eastAsia" w:cs="仿宋" w:asciiTheme="minorEastAsia" w:hAnsiTheme="minorEastAsia"/>
                <w:color w:val="000000"/>
                <w:sz w:val="28"/>
                <w:szCs w:val="28"/>
              </w:rPr>
              <w:t>：建设时限为201</w:t>
            </w:r>
            <w:r>
              <w:rPr>
                <w:rFonts w:cs="仿宋" w:asciiTheme="minorEastAsia" w:hAnsiTheme="minorEastAsia"/>
                <w:color w:val="000000"/>
                <w:sz w:val="28"/>
                <w:szCs w:val="28"/>
              </w:rPr>
              <w:t>9</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w:t>
            </w:r>
            <w:r>
              <w:rPr>
                <w:rFonts w:cs="仿宋" w:asciiTheme="minorEastAsia" w:hAnsiTheme="minorEastAsia"/>
                <w:color w:val="000000"/>
                <w:sz w:val="28"/>
                <w:szCs w:val="28"/>
              </w:rPr>
              <w:t>69</w:t>
            </w:r>
            <w:r>
              <w:rPr>
                <w:rFonts w:hint="eastAsia" w:cs="仿宋" w:asciiTheme="minorEastAsia" w:hAnsiTheme="minorEastAsia"/>
                <w:color w:val="000000"/>
                <w:sz w:val="28"/>
                <w:szCs w:val="28"/>
              </w:rPr>
              <w:t>.</w:t>
            </w:r>
            <w:r>
              <w:rPr>
                <w:rFonts w:cs="仿宋" w:asciiTheme="minorEastAsia" w:hAnsiTheme="minorEastAsia"/>
                <w:color w:val="000000"/>
                <w:sz w:val="28"/>
                <w:szCs w:val="28"/>
              </w:rPr>
              <w:t>1</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39</w:t>
            </w:r>
            <w:r>
              <w:rPr>
                <w:rFonts w:hint="eastAsia" w:cs="仿宋" w:asciiTheme="minorEastAsia" w:hAnsiTheme="minorEastAsia"/>
                <w:color w:val="000000"/>
                <w:sz w:val="28"/>
                <w:szCs w:val="28"/>
              </w:rPr>
              <w:t>.</w:t>
            </w:r>
            <w:r>
              <w:rPr>
                <w:rFonts w:cs="仿宋" w:asciiTheme="minorEastAsia" w:hAnsiTheme="minorEastAsia"/>
                <w:color w:val="000000"/>
                <w:sz w:val="28"/>
                <w:szCs w:val="28"/>
              </w:rPr>
              <w:t>1</w:t>
            </w:r>
            <w:r>
              <w:rPr>
                <w:rFonts w:hint="eastAsia" w:cs="仿宋" w:asciiTheme="minorEastAsia" w:hAnsiTheme="minorEastAsia"/>
                <w:color w:val="000000"/>
                <w:sz w:val="28"/>
                <w:szCs w:val="28"/>
              </w:rPr>
              <w:t>亿元；建设400MW海上风力发电场，配套建设一座220kV海上升压站、35kV集电海缆、220kV登陆海缆，陆上集控中心与汕尾后湖项目共建。</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中广核汕尾碣石海上风电场项目</w:t>
            </w:r>
            <w:r>
              <w:rPr>
                <w:rFonts w:hint="eastAsia" w:cs="仿宋" w:asciiTheme="minorEastAsia" w:hAnsiTheme="minorEastAsia"/>
                <w:color w:val="000000"/>
                <w:sz w:val="28"/>
                <w:szCs w:val="28"/>
              </w:rPr>
              <w:t>：建设时限为20</w:t>
            </w:r>
            <w:r>
              <w:rPr>
                <w:rFonts w:cs="仿宋" w:asciiTheme="minorEastAsia" w:hAnsiTheme="minorEastAsia"/>
                <w:color w:val="000000"/>
                <w:sz w:val="28"/>
                <w:szCs w:val="28"/>
              </w:rPr>
              <w:t>21</w:t>
            </w:r>
            <w:r>
              <w:rPr>
                <w:rFonts w:hint="eastAsia" w:cs="仿宋" w:asciiTheme="minorEastAsia" w:hAnsiTheme="minorEastAsia"/>
                <w:color w:val="000000"/>
                <w:sz w:val="28"/>
                <w:szCs w:val="28"/>
              </w:rPr>
              <w:t>-202</w:t>
            </w:r>
            <w:r>
              <w:rPr>
                <w:rFonts w:cs="仿宋" w:asciiTheme="minorEastAsia" w:hAnsiTheme="minorEastAsia"/>
                <w:color w:val="000000"/>
                <w:sz w:val="28"/>
                <w:szCs w:val="28"/>
              </w:rPr>
              <w:t>7</w:t>
            </w:r>
            <w:r>
              <w:rPr>
                <w:rFonts w:hint="eastAsia" w:cs="仿宋" w:asciiTheme="minorEastAsia" w:hAnsiTheme="minorEastAsia"/>
                <w:color w:val="000000"/>
                <w:sz w:val="28"/>
                <w:szCs w:val="28"/>
              </w:rPr>
              <w:t>年，总投资</w:t>
            </w:r>
            <w:r>
              <w:rPr>
                <w:rFonts w:cs="仿宋" w:asciiTheme="minorEastAsia" w:hAnsiTheme="minorEastAsia"/>
                <w:color w:val="000000"/>
                <w:sz w:val="28"/>
                <w:szCs w:val="28"/>
              </w:rPr>
              <w:t>715.34</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300</w:t>
            </w:r>
            <w:r>
              <w:rPr>
                <w:rFonts w:hint="eastAsia" w:cs="仿宋" w:asciiTheme="minorEastAsia" w:hAnsiTheme="minorEastAsia"/>
                <w:color w:val="000000"/>
                <w:sz w:val="28"/>
                <w:szCs w:val="28"/>
              </w:rPr>
              <w:t>亿元；建设装机容量3000MW海上风力发电场，配套建设海上升压站、集电海缆、登陆海缆及陆上控制中心。</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中广核深海海上风电厂项目：</w:t>
            </w:r>
            <w:r>
              <w:rPr>
                <w:rFonts w:hint="eastAsia" w:cs="仿宋" w:asciiTheme="minorEastAsia" w:hAnsiTheme="minorEastAsia"/>
                <w:color w:val="000000"/>
                <w:sz w:val="28"/>
                <w:szCs w:val="28"/>
              </w:rPr>
              <w:t>建设时限为2025-2028年，总投资</w:t>
            </w:r>
            <w:r>
              <w:rPr>
                <w:rFonts w:cs="仿宋" w:asciiTheme="minorEastAsia" w:hAnsiTheme="minorEastAsia"/>
                <w:color w:val="000000"/>
                <w:sz w:val="28"/>
                <w:szCs w:val="28"/>
              </w:rPr>
              <w:t>2000</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500</w:t>
            </w:r>
            <w:r>
              <w:rPr>
                <w:rFonts w:hint="eastAsia" w:cs="仿宋" w:asciiTheme="minorEastAsia" w:hAnsiTheme="minorEastAsia"/>
                <w:color w:val="000000"/>
                <w:sz w:val="28"/>
                <w:szCs w:val="28"/>
              </w:rPr>
              <w:t>亿元；建设装机容量10000MW海上风力发电场，配套建设海上升压站、集电海缆、登陆海缆及陆上控制中心。</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三峡汕尾红海湾海上风电场项目</w:t>
            </w:r>
            <w:r>
              <w:rPr>
                <w:rFonts w:hint="eastAsia" w:cs="仿宋" w:asciiTheme="minorEastAsia" w:hAnsiTheme="minorEastAsia"/>
                <w:color w:val="000000"/>
                <w:sz w:val="28"/>
                <w:szCs w:val="28"/>
              </w:rPr>
              <w:t>：建设时限为2022-2027</w:t>
            </w:r>
            <w:r>
              <w:rPr>
                <w:rFonts w:hint="eastAsia" w:cs="仿宋" w:asciiTheme="minorEastAsia" w:hAnsiTheme="minorEastAsia"/>
                <w:color w:val="000000"/>
                <w:sz w:val="28"/>
                <w:szCs w:val="28"/>
              </w:rPr>
              <w:tab/>
            </w:r>
            <w:r>
              <w:rPr>
                <w:rFonts w:hint="eastAsia" w:cs="仿宋" w:asciiTheme="minorEastAsia" w:hAnsiTheme="minorEastAsia"/>
                <w:color w:val="000000"/>
                <w:sz w:val="28"/>
                <w:szCs w:val="28"/>
              </w:rPr>
              <w:t>年，总投资</w:t>
            </w:r>
            <w:r>
              <w:rPr>
                <w:rFonts w:cs="仿宋" w:asciiTheme="minorEastAsia" w:hAnsiTheme="minorEastAsia"/>
                <w:color w:val="000000"/>
                <w:sz w:val="28"/>
                <w:szCs w:val="28"/>
              </w:rPr>
              <w:t>300</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50</w:t>
            </w:r>
            <w:r>
              <w:rPr>
                <w:rFonts w:hint="eastAsia" w:cs="仿宋" w:asciiTheme="minorEastAsia" w:hAnsiTheme="minorEastAsia"/>
                <w:color w:val="000000"/>
                <w:sz w:val="28"/>
                <w:szCs w:val="28"/>
              </w:rPr>
              <w:t>亿元；谋划建设750万千瓦近海深水海上风电场。</w:t>
            </w:r>
            <w:r>
              <w:rPr>
                <w:rFonts w:hint="eastAsia" w:cs="仿宋" w:asciiTheme="minorEastAsia" w:hAnsiTheme="minorEastAsia"/>
                <w:color w:val="000000"/>
                <w:sz w:val="28"/>
                <w:szCs w:val="28"/>
              </w:rPr>
              <w:tab/>
            </w:r>
          </w:p>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4</w:t>
            </w:r>
            <w:r>
              <w:rPr>
                <w:rFonts w:cs="仿宋" w:asciiTheme="minorEastAsia" w:hAnsiTheme="minorEastAsia"/>
                <w:b/>
                <w:bCs/>
                <w:color w:val="000000"/>
                <w:sz w:val="28"/>
                <w:szCs w:val="28"/>
              </w:rPr>
              <w:t>.</w:t>
            </w:r>
            <w:r>
              <w:rPr>
                <w:rFonts w:hint="eastAsia" w:cs="仿宋" w:asciiTheme="minorEastAsia" w:hAnsiTheme="minorEastAsia"/>
                <w:b/>
                <w:bCs/>
                <w:color w:val="000000"/>
                <w:sz w:val="28"/>
                <w:szCs w:val="28"/>
              </w:rPr>
              <w:t>水电</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汕尾陆河抽水蓄能电站工程：</w:t>
            </w:r>
            <w:r>
              <w:rPr>
                <w:rFonts w:hint="eastAsia" w:cs="仿宋" w:asciiTheme="minorEastAsia" w:hAnsiTheme="minorEastAsia"/>
                <w:color w:val="000000"/>
                <w:sz w:val="28"/>
                <w:szCs w:val="28"/>
              </w:rPr>
              <w:t>建设时限为2021-2026年，“十四五”期间投资</w:t>
            </w:r>
            <w:r>
              <w:rPr>
                <w:rFonts w:cs="仿宋" w:asciiTheme="minorEastAsia" w:hAnsiTheme="minorEastAsia"/>
                <w:color w:val="000000"/>
                <w:sz w:val="28"/>
                <w:szCs w:val="28"/>
              </w:rPr>
              <w:t>58</w:t>
            </w:r>
            <w:r>
              <w:rPr>
                <w:rFonts w:hint="eastAsia" w:cs="仿宋" w:asciiTheme="minorEastAsia" w:hAnsiTheme="minorEastAsia"/>
                <w:color w:val="000000"/>
                <w:sz w:val="28"/>
                <w:szCs w:val="28"/>
              </w:rPr>
              <w:t>.</w:t>
            </w:r>
            <w:r>
              <w:rPr>
                <w:rFonts w:cs="仿宋" w:asciiTheme="minorEastAsia" w:hAnsiTheme="minorEastAsia"/>
                <w:color w:val="000000"/>
                <w:sz w:val="28"/>
                <w:szCs w:val="28"/>
              </w:rPr>
              <w:t>23</w:t>
            </w:r>
            <w:r>
              <w:rPr>
                <w:rFonts w:hint="eastAsia" w:cs="仿宋" w:asciiTheme="minorEastAsia" w:hAnsiTheme="minorEastAsia"/>
                <w:color w:val="000000"/>
                <w:sz w:val="28"/>
                <w:szCs w:val="28"/>
              </w:rPr>
              <w:t>亿元，建设规模120万千瓦。</w:t>
            </w:r>
          </w:p>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5</w:t>
            </w:r>
            <w:r>
              <w:rPr>
                <w:rFonts w:cs="仿宋" w:asciiTheme="minorEastAsia" w:hAnsiTheme="minorEastAsia"/>
                <w:b/>
                <w:bCs/>
                <w:color w:val="000000"/>
                <w:sz w:val="28"/>
                <w:szCs w:val="28"/>
              </w:rPr>
              <w:t>.</w:t>
            </w:r>
            <w:r>
              <w:rPr>
                <w:rFonts w:hint="eastAsia" w:cs="仿宋" w:asciiTheme="minorEastAsia" w:hAnsiTheme="minorEastAsia"/>
                <w:b/>
                <w:bCs/>
                <w:color w:val="000000"/>
                <w:sz w:val="28"/>
                <w:szCs w:val="28"/>
              </w:rPr>
              <w:t>燃气发电</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大唐汕尾陆丰燃气发电项目：</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-202</w:t>
            </w:r>
            <w:r>
              <w:rPr>
                <w:rFonts w:cs="仿宋" w:asciiTheme="minorEastAsia" w:hAnsiTheme="minorEastAsia"/>
                <w:color w:val="000000"/>
                <w:sz w:val="28"/>
                <w:szCs w:val="28"/>
              </w:rPr>
              <w:t>5</w:t>
            </w:r>
            <w:r>
              <w:rPr>
                <w:rFonts w:hint="eastAsia" w:cs="仿宋" w:asciiTheme="minorEastAsia" w:hAnsiTheme="minorEastAsia"/>
                <w:color w:val="000000"/>
                <w:sz w:val="28"/>
                <w:szCs w:val="28"/>
              </w:rPr>
              <w:t>年，“十四五”期间投资</w:t>
            </w:r>
            <w:r>
              <w:rPr>
                <w:rFonts w:cs="仿宋" w:asciiTheme="minorEastAsia" w:hAnsiTheme="minorEastAsia"/>
                <w:color w:val="000000"/>
                <w:sz w:val="28"/>
                <w:szCs w:val="28"/>
              </w:rPr>
              <w:t>80</w:t>
            </w:r>
            <w:r>
              <w:rPr>
                <w:rFonts w:hint="eastAsia" w:cs="仿宋" w:asciiTheme="minorEastAsia" w:hAnsiTheme="minorEastAsia"/>
                <w:color w:val="000000"/>
                <w:sz w:val="28"/>
                <w:szCs w:val="28"/>
              </w:rPr>
              <w:t>亿元，项目规划用地350亩，分二期建设。一期规划用地220亩，投资40元，年产值超过30亿元，创税约每年2.5亿元。二期规划用地130亩，投资40元。全部投产后年产值超过60亿元，创税约每年5亿元。</w:t>
            </w:r>
          </w:p>
        </w:tc>
      </w:tr>
      <w:bookmarkEnd w:id="43"/>
    </w:tbl>
    <w:p>
      <w:pPr>
        <w:ind w:firstLine="640" w:firstLineChars="200"/>
        <w:outlineLvl w:val="1"/>
        <w:rPr>
          <w:rFonts w:ascii="楷体_GB2312" w:hAnsi="仿宋" w:eastAsia="楷体_GB2312" w:cs="仿宋"/>
          <w:bCs/>
          <w:color w:val="000000"/>
          <w:sz w:val="32"/>
          <w:szCs w:val="32"/>
        </w:rPr>
      </w:pPr>
      <w:bookmarkStart w:id="44" w:name="_Toc15666"/>
      <w:r>
        <w:rPr>
          <w:rFonts w:hint="eastAsia" w:ascii="楷体_GB2312" w:hAnsi="仿宋" w:eastAsia="楷体_GB2312" w:cs="仿宋"/>
          <w:bCs/>
          <w:color w:val="000000"/>
          <w:sz w:val="32"/>
          <w:szCs w:val="32"/>
        </w:rPr>
        <w:t>（二）加快培育战略性新兴产业</w:t>
      </w:r>
      <w:bookmarkEnd w:id="44"/>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充分发挥汕尾毗邻粤港澳大湾区和深圳先行示范区的地缘优势以及海岸线长等资源优势，以汕尾所能积极对接“双区”所需，</w:t>
      </w:r>
      <w:r>
        <w:rPr>
          <w:rFonts w:hint="eastAsia" w:ascii="仿宋_GB2312" w:hAnsi="仿宋" w:eastAsia="仿宋_GB2312" w:cs="仿宋"/>
          <w:bCs/>
          <w:color w:val="000000"/>
          <w:sz w:val="32"/>
          <w:szCs w:val="32"/>
          <w:u w:val="none"/>
        </w:rPr>
        <w:t>加快培育发展数字经济核心产业、海工装备制造、新材料、生物医药等产业，</w:t>
      </w:r>
      <w:r>
        <w:rPr>
          <w:rFonts w:hint="eastAsia" w:ascii="仿宋_GB2312" w:hAnsi="仿宋" w:eastAsia="仿宋_GB2312" w:cs="仿宋"/>
          <w:bCs/>
          <w:color w:val="000000"/>
          <w:sz w:val="32"/>
          <w:szCs w:val="32"/>
        </w:rPr>
        <w:t>形成多个规模效益显著、创新优势突出、产业配套完备、区域特色明显的战略性新兴产业集群。</w:t>
      </w:r>
    </w:p>
    <w:p>
      <w:pPr>
        <w:ind w:firstLine="643" w:firstLineChars="200"/>
        <w:outlineLvl w:val="2"/>
        <w:rPr>
          <w:rFonts w:ascii="仿宋_GB2312" w:hAnsi="仿宋" w:eastAsia="仿宋_GB2312" w:cs="仿宋"/>
          <w:b/>
          <w:color w:val="000000"/>
          <w:sz w:val="32"/>
          <w:szCs w:val="32"/>
        </w:rPr>
      </w:pPr>
      <w:bookmarkStart w:id="45" w:name="_Toc22511"/>
      <w:r>
        <w:rPr>
          <w:rFonts w:ascii="仿宋_GB2312" w:hAnsi="仿宋" w:eastAsia="仿宋_GB2312" w:cs="仿宋"/>
          <w:b/>
          <w:color w:val="000000"/>
          <w:sz w:val="32"/>
          <w:szCs w:val="32"/>
        </w:rPr>
        <w:t>1</w:t>
      </w:r>
      <w:r>
        <w:rPr>
          <w:rFonts w:hint="eastAsia" w:ascii="仿宋_GB2312" w:hAnsi="仿宋" w:eastAsia="仿宋_GB2312" w:cs="仿宋"/>
          <w:b/>
          <w:color w:val="000000"/>
          <w:sz w:val="32"/>
          <w:szCs w:val="32"/>
        </w:rPr>
        <w:t>.数字经济核心产业</w:t>
      </w:r>
      <w:bookmarkEnd w:id="45"/>
    </w:p>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全力推动数字经济创新发展，推进云计算、大数据、物联网、工业互联网、人工智能、区块链等核心产业发展，促进数字技术与实体经济深度融合，加快丰富应用场景，赋能传统产业转型升级，催生新产业新业态新模式，壮大经济发展新引擎。到2025年，</w:t>
      </w:r>
      <w:r>
        <w:rPr>
          <w:rFonts w:hint="eastAsia" w:ascii="仿宋_GB2312" w:hAnsi="仿宋" w:eastAsia="仿宋_GB2312"/>
          <w:color w:val="auto"/>
          <w:sz w:val="32"/>
          <w:szCs w:val="32"/>
          <w:lang w:val="en-US" w:eastAsia="zh-CN"/>
        </w:rPr>
        <w:t>数字经济核心产业增加值占G</w:t>
      </w:r>
      <w:r>
        <w:rPr>
          <w:rFonts w:ascii="仿宋_GB2312" w:hAnsi="仿宋" w:eastAsia="仿宋_GB2312"/>
          <w:color w:val="auto"/>
          <w:sz w:val="32"/>
          <w:szCs w:val="32"/>
          <w:lang w:val="en-US" w:eastAsia="zh-CN"/>
        </w:rPr>
        <w:t>DP</w:t>
      </w:r>
      <w:r>
        <w:rPr>
          <w:rFonts w:hint="eastAsia" w:ascii="仿宋_GB2312" w:hAnsi="仿宋" w:eastAsia="仿宋_GB2312"/>
          <w:color w:val="auto"/>
          <w:sz w:val="32"/>
          <w:szCs w:val="32"/>
          <w:lang w:val="en-US" w:eastAsia="zh-CN"/>
        </w:rPr>
        <w:t>比重达11%，</w:t>
      </w:r>
      <w:r>
        <w:rPr>
          <w:rFonts w:hint="eastAsia" w:ascii="仿宋_GB2312" w:hAnsi="仿宋" w:eastAsia="仿宋_GB2312"/>
          <w:sz w:val="32"/>
          <w:szCs w:val="32"/>
          <w:lang w:val="en-US" w:eastAsia="zh-CN"/>
        </w:rPr>
        <w:t>争取把汕尾打造成为粤港澳大湾区大数据战略储备腹地、广东沿海数字经济联动支撑区和革命老区工业互联网发展示范区。</w:t>
      </w:r>
    </w:p>
    <w:p>
      <w:pPr>
        <w:pStyle w:val="27"/>
        <w:spacing w:line="240" w:lineRule="auto"/>
        <w:ind w:firstLine="643" w:firstLineChars="200"/>
        <w:rPr>
          <w:rFonts w:ascii="仿宋_GB2312" w:hAnsi="仿宋" w:eastAsia="仿宋_GB2312"/>
          <w:sz w:val="32"/>
          <w:szCs w:val="32"/>
          <w:lang w:val="en-US" w:eastAsia="zh-CN"/>
        </w:rPr>
      </w:pPr>
      <w:r>
        <w:rPr>
          <w:rFonts w:hint="eastAsia" w:ascii="仿宋_GB2312" w:hAnsi="楷体" w:eastAsia="仿宋_GB2312" w:cs="Times New Roman"/>
          <w:b/>
          <w:bCs/>
          <w:kern w:val="0"/>
          <w:sz w:val="32"/>
          <w:szCs w:val="32"/>
        </w:rPr>
        <w:t>加快新一代通信基础设施建设</w:t>
      </w:r>
      <w:r>
        <w:rPr>
          <w:rFonts w:hint="eastAsia" w:ascii="仿宋_GB2312" w:hAnsi="楷体" w:eastAsia="仿宋_GB2312" w:cs="Times New Roman"/>
          <w:b/>
          <w:bCs/>
          <w:kern w:val="0"/>
          <w:sz w:val="32"/>
          <w:szCs w:val="32"/>
          <w:lang w:eastAsia="zh-CN"/>
        </w:rPr>
        <w:t>。</w:t>
      </w:r>
      <w:r>
        <w:rPr>
          <w:rFonts w:hint="eastAsia" w:ascii="仿宋_GB2312" w:hAnsi="楷体" w:eastAsia="仿宋_GB2312" w:cs="Times New Roman"/>
          <w:kern w:val="0"/>
          <w:sz w:val="32"/>
          <w:szCs w:val="32"/>
        </w:rPr>
        <w:t>推进5G基站和智慧杆塔建设，加快推进5G网络连续覆盖，到2025年，5G主要城区和重点镇实现全覆盖。优化提升高速宽带网络，加快骨干光缆扩容、IPv6升级、千兆光网普及，进一步提高网络容量、通信质量和传输速率，打造“光纤+5G”双千兆网络体系。</w:t>
      </w:r>
      <w:r>
        <w:rPr>
          <w:rFonts w:hint="eastAsia" w:ascii="仿宋_GB2312" w:hAnsi="仿宋" w:eastAsia="仿宋_GB2312"/>
          <w:sz w:val="32"/>
          <w:szCs w:val="32"/>
          <w:lang w:val="en-US" w:eastAsia="zh-CN"/>
        </w:rPr>
        <w:t>加快推进NB-IoT（窄带互联网）、工业无源光网络（PON）等新型网络基础设施建设和普及应用。</w:t>
      </w:r>
    </w:p>
    <w:p>
      <w:pPr>
        <w:pStyle w:val="27"/>
        <w:spacing w:line="240" w:lineRule="auto"/>
        <w:ind w:firstLine="643" w:firstLineChars="200"/>
        <w:rPr>
          <w:rFonts w:ascii="仿宋_GB2312" w:hAnsi="楷体" w:eastAsia="PMingLiU" w:cs="Times New Roman"/>
          <w:kern w:val="0"/>
          <w:sz w:val="32"/>
          <w:szCs w:val="32"/>
        </w:rPr>
      </w:pPr>
      <w:r>
        <w:rPr>
          <w:rFonts w:hint="eastAsia" w:ascii="仿宋_GB2312" w:hAnsi="楷体" w:eastAsia="仿宋_GB2312" w:cs="Times New Roman"/>
          <w:b/>
          <w:bCs/>
          <w:kern w:val="0"/>
          <w:sz w:val="32"/>
          <w:szCs w:val="32"/>
        </w:rPr>
        <w:t>培育发展数字产业。</w:t>
      </w:r>
      <w:r>
        <w:rPr>
          <w:rFonts w:hint="eastAsia" w:ascii="仿宋_GB2312" w:hAnsi="仿宋" w:eastAsia="仿宋_GB2312"/>
          <w:sz w:val="32"/>
          <w:szCs w:val="32"/>
          <w:lang w:val="en-US" w:eastAsia="zh-CN"/>
        </w:rPr>
        <w:t>依托汕尾高新区和海丰生态科技城，加快推进“明珠数谷”</w:t>
      </w:r>
      <w:r>
        <w:rPr>
          <w:rFonts w:hint="eastAsia" w:ascii="仿宋_GB2312" w:hAnsi="楷体" w:eastAsia="仿宋_GB2312" w:cs="Times New Roman"/>
          <w:kern w:val="0"/>
          <w:sz w:val="32"/>
          <w:szCs w:val="32"/>
        </w:rPr>
        <w:t>大数据产业园</w:t>
      </w:r>
      <w:r>
        <w:rPr>
          <w:rFonts w:hint="eastAsia" w:ascii="仿宋_GB2312" w:hAnsi="仿宋" w:eastAsia="仿宋_GB2312"/>
          <w:sz w:val="32"/>
          <w:szCs w:val="32"/>
          <w:lang w:val="en-US" w:eastAsia="zh-CN"/>
        </w:rPr>
        <w:t>，</w:t>
      </w:r>
      <w:r>
        <w:rPr>
          <w:rFonts w:hint="eastAsia" w:ascii="仿宋_GB2312" w:hAnsi="楷体" w:eastAsia="仿宋_GB2312" w:cs="Times New Roman"/>
          <w:kern w:val="0"/>
          <w:sz w:val="32"/>
          <w:szCs w:val="32"/>
        </w:rPr>
        <w:t>提升大数据业务承载能力，</w:t>
      </w:r>
      <w:r>
        <w:rPr>
          <w:rFonts w:hint="eastAsia" w:ascii="仿宋_GB2312" w:hAnsi="仿宋" w:eastAsia="仿宋_GB2312"/>
          <w:sz w:val="32"/>
          <w:szCs w:val="32"/>
          <w:lang w:val="en-US" w:eastAsia="zh-CN"/>
        </w:rPr>
        <w:t>培育发展信创服务器、存储设备、数据中心配套设备等大型设备制造产业，积极拓展发展数据清洗与标注、动漫视频渲染、人工智能计算服务等大数据服务业。</w:t>
      </w:r>
      <w:r>
        <w:rPr>
          <w:rFonts w:hint="eastAsia" w:ascii="仿宋_GB2312" w:hAnsi="楷体" w:eastAsia="仿宋_GB2312" w:cs="Times New Roman"/>
          <w:kern w:val="0"/>
          <w:sz w:val="32"/>
          <w:szCs w:val="32"/>
        </w:rPr>
        <w:t>培育壮大人工智能、区块链、云计算等新兴数字产业。构建基于5G的应用场景和产业生态，</w:t>
      </w:r>
      <w:r>
        <w:rPr>
          <w:rFonts w:hint="eastAsia" w:ascii="仿宋_GB2312" w:hAnsi="楷体" w:eastAsia="仿宋_GB2312" w:cs="Times New Roman"/>
          <w:kern w:val="0"/>
          <w:sz w:val="32"/>
          <w:szCs w:val="32"/>
          <w:lang w:eastAsia="zh-CN"/>
        </w:rPr>
        <w:t>积极引进京东、华为、腾讯、字节跳动、中瀚云和中软国际等企业，</w:t>
      </w:r>
      <w:r>
        <w:rPr>
          <w:rFonts w:hint="eastAsia" w:ascii="仿宋_GB2312" w:hAnsi="楷体" w:eastAsia="仿宋_GB2312" w:cs="Times New Roman"/>
          <w:kern w:val="0"/>
          <w:sz w:val="32"/>
          <w:szCs w:val="32"/>
        </w:rPr>
        <w:t>深度挖掘5G+AR/VR营销、5G+智慧文旅、5G+沉浸式教学等5G应用场景，探索发展新模式、新业态、新经济，推动“大数据+”人工智能、区块链应用。</w:t>
      </w:r>
    </w:p>
    <w:p>
      <w:pPr>
        <w:pStyle w:val="27"/>
        <w:spacing w:line="240" w:lineRule="auto"/>
        <w:ind w:firstLine="643" w:firstLineChars="200"/>
        <w:rPr>
          <w:rFonts w:ascii="仿宋_GB2312"/>
          <w:szCs w:val="32"/>
        </w:rPr>
      </w:pPr>
      <w:r>
        <w:rPr>
          <w:rFonts w:hint="eastAsia" w:ascii="仿宋_GB2312" w:hAnsi="楷体" w:eastAsia="仿宋_GB2312" w:cs="Times New Roman"/>
          <w:b/>
          <w:bCs/>
          <w:kern w:val="0"/>
          <w:sz w:val="32"/>
          <w:szCs w:val="32"/>
        </w:rPr>
        <w:t>推动产业数字化发展。</w:t>
      </w:r>
      <w:r>
        <w:rPr>
          <w:rFonts w:hint="eastAsia" w:ascii="仿宋_GB2312" w:hAnsi="楷体" w:eastAsia="仿宋_GB2312" w:cs="Times New Roman"/>
          <w:kern w:val="0"/>
          <w:sz w:val="32"/>
          <w:szCs w:val="32"/>
        </w:rPr>
        <w:t>实施工业互联网创新应用工程，打造汕尾市工业互联网服务平台，推动一批重点龙头企业打造</w:t>
      </w:r>
      <w:r>
        <w:rPr>
          <w:rFonts w:hint="eastAsia" w:ascii="仿宋_GB2312" w:hAnsi="楷体" w:eastAsia="仿宋_GB2312" w:cs="Times New Roman"/>
          <w:kern w:val="0"/>
          <w:sz w:val="32"/>
          <w:szCs w:val="32"/>
          <w:lang w:eastAsia="zh-CN"/>
        </w:rPr>
        <w:t>数字化转型及</w:t>
      </w:r>
      <w:r>
        <w:rPr>
          <w:rFonts w:hint="eastAsia" w:ascii="仿宋_GB2312" w:hAnsi="楷体" w:eastAsia="仿宋_GB2312" w:cs="Times New Roman"/>
          <w:kern w:val="0"/>
          <w:sz w:val="32"/>
          <w:szCs w:val="32"/>
        </w:rPr>
        <w:t>工业互联网标杆企业，形成示范效应。</w:t>
      </w:r>
      <w:r>
        <w:rPr>
          <w:rFonts w:hint="eastAsia" w:ascii="仿宋_GB2312" w:hAnsi="仿宋" w:eastAsia="仿宋_GB2312"/>
          <w:sz w:val="32"/>
          <w:szCs w:val="32"/>
          <w:lang w:val="en-US" w:eastAsia="zh-CN"/>
        </w:rPr>
        <w:t>以汕尾珠宝首饰加工、海洋、工业、服装纺织等特色产业数字化转型为突破点，发展云游戏、智能呼叫、智能网联车、VR/AR产业数字化应用，培育发展融合应用创新产业。</w:t>
      </w:r>
      <w:r>
        <w:rPr>
          <w:rFonts w:hint="eastAsia" w:ascii="仿宋_GB2312" w:hAnsi="楷体" w:eastAsia="仿宋_GB2312" w:cs="Times New Roman"/>
          <w:kern w:val="0"/>
          <w:sz w:val="32"/>
          <w:szCs w:val="32"/>
        </w:rPr>
        <w:t>推动食品加工行业实施5G+工业互联网+产业集群升级工程，建设集成食品加工、冷链仓储、物流等信息数据的线上线下一体化运营中心和数据化平台，申报省级特色产业集群数字化转型试点。</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ind w:firstLine="600" w:firstLineChars="200"/>
              <w:jc w:val="center"/>
              <w:rPr>
                <w:rFonts w:ascii="黑体" w:hAnsi="黑体" w:eastAsia="黑体"/>
                <w:color w:val="000000" w:themeColor="text1"/>
                <w:sz w:val="30"/>
                <w:szCs w:val="30"/>
                <w14:textFill>
                  <w14:solidFill>
                    <w14:schemeClr w14:val="tx1"/>
                  </w14:solidFill>
                </w14:textFill>
              </w:rPr>
            </w:pPr>
            <w:bookmarkStart w:id="46" w:name="_Hlk65663951"/>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5 </w:t>
            </w:r>
            <w:r>
              <w:rPr>
                <w:rFonts w:hint="eastAsia" w:ascii="黑体" w:hAnsi="黑体" w:eastAsia="黑体"/>
                <w:color w:val="000000" w:themeColor="text1"/>
                <w:sz w:val="30"/>
                <w:szCs w:val="30"/>
                <w14:textFill>
                  <w14:solidFill>
                    <w14:schemeClr w14:val="tx1"/>
                  </w14:solidFill>
                </w14:textFill>
              </w:rPr>
              <w:t>“明珠数谷”大数据产业园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0" w:firstLineChars="200"/>
              <w:rPr>
                <w:rFonts w:ascii="仿宋" w:hAnsi="仿宋" w:eastAsia="仿宋"/>
                <w:b/>
                <w:bCs/>
                <w:color w:val="000000" w:themeColor="text1"/>
                <w:sz w:val="28"/>
                <w:szCs w:val="28"/>
                <w14:textFill>
                  <w14:solidFill>
                    <w14:schemeClr w14:val="tx1"/>
                  </w14:solidFill>
                </w14:textFill>
              </w:rPr>
            </w:pPr>
            <w:r>
              <w:rPr>
                <w:rFonts w:hint="eastAsia" w:cs="仿宋" w:asciiTheme="minorEastAsia" w:hAnsiTheme="minorEastAsia"/>
                <w:color w:val="000000"/>
                <w:sz w:val="28"/>
                <w:szCs w:val="28"/>
              </w:rPr>
              <w:t>采取“一园多地”模式，形成总规划面积约为2000亩的“双核两带多点”空间布局。其中，“双核”以汕尾高新区和海丰县生态科技城为核心先导和起步区，打造高水平数据中心和大数据服务和制造产业集聚基地。“两带”即大数据关联产业带，主要覆盖汕尾市城区、海丰县；大数据辐射融合产业带主要覆盖汕尾红海湾经济开发区和陆丰市。其他县区作为全市大数据产业“辐射点”，依托红海湾互联网+旅游示范小镇，梅陇珠宝、可塘彩宝加工、陆丰新河建筑装饰等重点产业拉动大数据应用辐射需求。以数据中心为核心，以中瀚云大数据+智能制造产业园项目为引领，形成设备制造、云计算、大数据、人工智能、电子商务、综合商业、楼宇经济、展会经济集聚发展的产业新格局。到2025年底，建成涵盖信创服务器制造、大数据预处理、大数据服务、大数据融合应用创新的产业体系，成为广东省数据中心核心布局节点之一、新型大数据产业基地。</w:t>
            </w:r>
          </w:p>
        </w:tc>
      </w:tr>
      <w:bookmarkEnd w:id="46"/>
    </w:tbl>
    <w:p>
      <w:pPr>
        <w:ind w:firstLine="643" w:firstLineChars="200"/>
        <w:outlineLvl w:val="2"/>
        <w:rPr>
          <w:rFonts w:ascii="仿宋_GB2312" w:hAnsi="仿宋" w:eastAsia="仿宋_GB2312"/>
          <w:sz w:val="32"/>
          <w:szCs w:val="32"/>
        </w:rPr>
      </w:pPr>
      <w:bookmarkStart w:id="47" w:name="_Toc13407"/>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w:t>
      </w:r>
      <w:bookmarkEnd w:id="47"/>
      <w:r>
        <w:rPr>
          <w:rFonts w:hint="eastAsia" w:ascii="仿宋_GB2312" w:hAnsi="仿宋" w:eastAsia="仿宋_GB2312" w:cs="仿宋"/>
          <w:b/>
          <w:color w:val="000000"/>
          <w:sz w:val="32"/>
          <w:szCs w:val="32"/>
        </w:rPr>
        <w:t>海洋工程及装备制造产业</w:t>
      </w:r>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汕尾（陆丰）临港产业园等发展平台，以海洋工程装备制造为核心，延伸发展海洋电子信息、海洋高端装备、海洋配套服务等新兴产业，加快打造产业链关联度大、辐射带动作用强的高端海工装备制造产业集群。</w:t>
      </w:r>
      <w:bookmarkStart w:id="48" w:name="_Hlk67995605"/>
      <w:r>
        <w:rPr>
          <w:rFonts w:hint="eastAsia" w:ascii="仿宋_GB2312" w:hAnsi="仿宋" w:eastAsia="仿宋_GB2312" w:cs="仿宋"/>
          <w:bCs/>
          <w:color w:val="000000"/>
          <w:sz w:val="32"/>
          <w:szCs w:val="32"/>
        </w:rPr>
        <w:t>发挥中广核新能源、中天科技、</w:t>
      </w:r>
      <w:r>
        <w:rPr>
          <w:rFonts w:hint="eastAsia" w:ascii="仿宋_GB2312" w:hAnsi="仿宋" w:eastAsia="仿宋_GB2312" w:cs="仿宋"/>
          <w:bCs/>
          <w:color w:val="000000"/>
          <w:sz w:val="32"/>
          <w:szCs w:val="32"/>
          <w:u w:val="none"/>
        </w:rPr>
        <w:t>长风、</w:t>
      </w:r>
      <w:r>
        <w:rPr>
          <w:rFonts w:hint="eastAsia" w:ascii="仿宋_GB2312" w:hAnsi="仿宋" w:eastAsia="仿宋_GB2312" w:cs="仿宋"/>
          <w:bCs/>
          <w:color w:val="000000"/>
          <w:sz w:val="32"/>
          <w:szCs w:val="32"/>
        </w:rPr>
        <w:t>明阳智能等龙头企业引领带动作用，</w:t>
      </w:r>
      <w:bookmarkEnd w:id="48"/>
      <w:r>
        <w:rPr>
          <w:rFonts w:hint="eastAsia" w:ascii="仿宋_GB2312" w:hAnsi="仿宋" w:eastAsia="仿宋_GB2312" w:cs="仿宋"/>
          <w:bCs/>
          <w:color w:val="000000"/>
          <w:sz w:val="32"/>
          <w:szCs w:val="32"/>
        </w:rPr>
        <w:t>推动集风机、叶片、塔筒、钢管桩、导管架、海底电缆等产业链条为一体的海工装备制造产业链供应链快速发展，逐步完善和优化海上风电装备产业链，打造集研发设计、装备制造、检测认证、建设安装、运营维护为一体，具有世界一流水平的海上风电装备制造产业集群。依托先进能源科学与技术广东省实验室汕尾分中心，聚焦海上风电和多能互补领域，建设风机整机测试、大型叶片研发测试实验室等平台，开展大容量风机及关键部件国产化核心技术、海上风电前沿设计建造技术等基础与应用基础研究，突破海上风电“卡脖子”关键核心技术。依托电子信息制造业基础优势，顺应新一代信息技术、大数据和人工智能向海洋领域拓展趋势，加快引进培育新兴海洋电子信息龙头企业，重点发展船载智能终端、船用导航雷达、海洋自动监测系统等高端海洋电子设备及系统。力争到2025年，海工装备制造产业集群产值达到</w:t>
      </w:r>
      <w:r>
        <w:rPr>
          <w:rFonts w:ascii="仿宋_GB2312" w:hAnsi="仿宋" w:eastAsia="仿宋_GB2312" w:cs="仿宋"/>
          <w:bCs/>
          <w:color w:val="000000"/>
          <w:sz w:val="32"/>
          <w:szCs w:val="32"/>
        </w:rPr>
        <w:t>500</w:t>
      </w:r>
      <w:r>
        <w:rPr>
          <w:rFonts w:hint="eastAsia" w:ascii="仿宋_GB2312" w:hAnsi="仿宋" w:eastAsia="仿宋_GB2312" w:cs="仿宋"/>
          <w:bCs/>
          <w:color w:val="000000"/>
          <w:sz w:val="32"/>
          <w:szCs w:val="32"/>
        </w:rPr>
        <w:t>亿元。</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6 </w:t>
            </w:r>
            <w:r>
              <w:rPr>
                <w:rFonts w:hint="eastAsia" w:ascii="黑体" w:hAnsi="黑体" w:eastAsia="黑体"/>
                <w:color w:val="000000" w:themeColor="text1"/>
                <w:sz w:val="30"/>
                <w:szCs w:val="30"/>
                <w14:textFill>
                  <w14:solidFill>
                    <w14:schemeClr w14:val="tx1"/>
                  </w14:solidFill>
                </w14:textFill>
              </w:rPr>
              <w:t>海洋工程装备制造产业“十四五”重点项目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0" w:type="auto"/>
          </w:tcPr>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汕尾明阳大型海上漂浮式风机一体化智能装备中心项目：</w:t>
            </w:r>
            <w:r>
              <w:rPr>
                <w:rFonts w:hint="eastAsia" w:ascii="宋体" w:hAnsi="宋体"/>
                <w:color w:val="000000" w:themeColor="text1"/>
                <w:sz w:val="28"/>
                <w:szCs w:val="28"/>
                <w14:textFill>
                  <w14:solidFill>
                    <w14:schemeClr w14:val="tx1"/>
                  </w14:solidFill>
                </w14:textFill>
              </w:rPr>
              <w:t>建设时限为2020-202</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亿元，“十四五”期间投资2</w:t>
            </w:r>
            <w:r>
              <w:rPr>
                <w:rFonts w:ascii="宋体" w:hAnsi="宋体"/>
                <w:color w:val="000000" w:themeColor="text1"/>
                <w:sz w:val="28"/>
                <w:szCs w:val="28"/>
                <w14:textFill>
                  <w14:solidFill>
                    <w14:schemeClr w14:val="tx1"/>
                  </w14:solidFill>
                </w14:textFill>
              </w:rPr>
              <w:t>9</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亿元。主要建设大型海上风电漂浮式风机基础制造中心，包括漂浮式基础建造基地，配套钢材及混凝土分段建造厂房和设备设施及其他生产、生活配套设施。</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汕尾海洋工程基地（陆丰）中天科技产业园项目：</w:t>
            </w:r>
            <w:r>
              <w:rPr>
                <w:rFonts w:hint="eastAsia" w:ascii="宋体" w:hAnsi="宋体"/>
                <w:color w:val="000000" w:themeColor="text1"/>
                <w:sz w:val="28"/>
                <w:szCs w:val="28"/>
                <w14:textFill>
                  <w14:solidFill>
                    <w14:schemeClr w14:val="tx1"/>
                  </w14:solidFill>
                </w14:textFill>
              </w:rPr>
              <w:t>建设时限为20</w:t>
            </w:r>
            <w:r>
              <w:rPr>
                <w:rFonts w:ascii="宋体" w:hAnsi="宋体"/>
                <w:color w:val="000000" w:themeColor="text1"/>
                <w:sz w:val="28"/>
                <w:szCs w:val="28"/>
                <w14:textFill>
                  <w14:solidFill>
                    <w14:schemeClr w14:val="tx1"/>
                  </w14:solidFill>
                </w14:textFill>
              </w:rPr>
              <w:t>19</w:t>
            </w:r>
            <w:r>
              <w:rPr>
                <w:rFonts w:hint="eastAsia" w:ascii="宋体" w:hAnsi="宋体"/>
                <w:color w:val="000000" w:themeColor="text1"/>
                <w:sz w:val="28"/>
                <w:szCs w:val="28"/>
                <w14:textFill>
                  <w14:solidFill>
                    <w14:schemeClr w14:val="tx1"/>
                  </w14:solidFill>
                </w14:textFill>
              </w:rPr>
              <w:t>-202</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年，总投资</w:t>
            </w:r>
            <w:r>
              <w:rPr>
                <w:rFonts w:ascii="宋体" w:hAnsi="宋体"/>
                <w:color w:val="000000" w:themeColor="text1"/>
                <w:sz w:val="28"/>
                <w:szCs w:val="28"/>
                <w14:textFill>
                  <w14:solidFill>
                    <w14:schemeClr w14:val="tx1"/>
                  </w14:solidFill>
                </w14:textFill>
              </w:rPr>
              <w:t>15</w:t>
            </w:r>
            <w:r>
              <w:rPr>
                <w:rFonts w:hint="eastAsia" w:ascii="宋体" w:hAnsi="宋体"/>
                <w:color w:val="000000" w:themeColor="text1"/>
                <w:sz w:val="28"/>
                <w:szCs w:val="28"/>
                <w14:textFill>
                  <w14:solidFill>
                    <w14:schemeClr w14:val="tx1"/>
                  </w14:solidFill>
                </w14:textFill>
              </w:rPr>
              <w:t>亿元，占地约232亩，“十四五”期间投资</w:t>
            </w:r>
            <w:r>
              <w:rPr>
                <w:rFonts w:ascii="宋体" w:hAnsi="宋体"/>
                <w:color w:val="000000" w:themeColor="text1"/>
                <w:sz w:val="28"/>
                <w:szCs w:val="28"/>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亿元。建设厂房及配套职工宿舍和楼房，生产高压交、直流海底光电缆以及电力电缆，年销售预计达20亿元人民币。</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汕尾海洋工程基地（陆丰）园区海上风电配套装备制造项目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020</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2021</w:t>
            </w:r>
            <w:r>
              <w:rPr>
                <w:rFonts w:hint="eastAsia" w:ascii="宋体" w:hAnsi="宋体"/>
                <w:color w:val="000000" w:themeColor="text1"/>
                <w:sz w:val="28"/>
                <w:szCs w:val="28"/>
                <w14:textFill>
                  <w14:solidFill>
                    <w14:schemeClr w14:val="tx1"/>
                  </w14:solidFill>
                </w14:textFill>
              </w:rPr>
              <w:t>年，总投资6亿元，“十四五”期间投资4亿元。建设海上风机塔筒、单桩基础、多桩导管架基础承载平台、浮式风机基础的海上风电场配套设备制造、组装和运输等海上风电场配套设备制造项目。</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管桩及导管架基础制造厂工程项目：</w:t>
            </w:r>
            <w:r>
              <w:rPr>
                <w:rFonts w:hint="eastAsia" w:ascii="宋体" w:hAnsi="宋体"/>
                <w:color w:val="000000" w:themeColor="text1"/>
                <w:sz w:val="28"/>
                <w:szCs w:val="28"/>
                <w14:textFill>
                  <w14:solidFill>
                    <w14:schemeClr w14:val="tx1"/>
                  </w14:solidFill>
                </w14:textFill>
              </w:rPr>
              <w:t>建设时限为2019-2021年，总投资4亿元，主要生产海上升压站模块、导管架、钢管桩等海工、海风装备，年产值15亿元。</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蓝精特种管业制造厂工程项目</w:t>
            </w:r>
            <w:r>
              <w:rPr>
                <w:rFonts w:hint="eastAsia" w:ascii="宋体" w:hAnsi="宋体"/>
                <w:color w:val="000000" w:themeColor="text1"/>
                <w:sz w:val="28"/>
                <w:szCs w:val="28"/>
                <w14:textFill>
                  <w14:solidFill>
                    <w14:schemeClr w14:val="tx1"/>
                  </w14:solidFill>
                </w14:textFill>
              </w:rPr>
              <w:t>：建设时限为2021-2022年，项目占地约40亩，总投资约1.2亿元，主要生产钢管、高压管件、管道、卷板、起重机械设备、港口机械设备、海上风电配套装备及其配件，年产值5亿元。</w:t>
            </w:r>
          </w:p>
        </w:tc>
      </w:tr>
    </w:tbl>
    <w:p>
      <w:pPr>
        <w:ind w:firstLine="643" w:firstLineChars="200"/>
        <w:outlineLvl w:val="2"/>
        <w:rPr>
          <w:rFonts w:ascii="仿宋_GB2312" w:hAnsi="仿宋" w:eastAsia="仿宋_GB2312" w:cs="仿宋"/>
          <w:b/>
          <w:color w:val="000000"/>
          <w:sz w:val="32"/>
          <w:szCs w:val="32"/>
        </w:rPr>
      </w:pPr>
      <w:bookmarkStart w:id="49" w:name="_Toc5255"/>
      <w:r>
        <w:rPr>
          <w:rFonts w:hint="eastAsia" w:ascii="仿宋_GB2312" w:hAnsi="仿宋" w:eastAsia="仿宋_GB2312" w:cs="仿宋"/>
          <w:b/>
          <w:color w:val="000000"/>
          <w:sz w:val="32"/>
          <w:szCs w:val="32"/>
        </w:rPr>
        <w:t>3.</w:t>
      </w:r>
      <w:r>
        <w:rPr>
          <w:rFonts w:hint="eastAsia" w:ascii="仿宋_GB2312" w:hAnsi="仿宋" w:eastAsia="仿宋_GB2312" w:cs="仿宋"/>
          <w:b/>
          <w:color w:val="000000"/>
          <w:sz w:val="32"/>
          <w:szCs w:val="32"/>
          <w:u w:val="none"/>
        </w:rPr>
        <w:t>生物医药产业</w:t>
      </w:r>
      <w:bookmarkEnd w:id="49"/>
    </w:p>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学习借鉴“双区”海洋生物产业发展经验，切实用好省级促进经济高质量发展（海洋战略性新兴产业）专项资金，积极利用省产业发展基金、创新创业基金、农业供给侧结构性改革基金，积极引进关键技术和高端人才，探索建立海洋生物产业园，重点发展海洋生物科技研发服务、海洋健康养生休闲两大服务业和海洋生物资源开发利用、海洋医药、海洋功能性产品三大制造业。依托国泰、五丰海产品基地，规划建设海洋生物医药产业基地，积极对接粤港澳大湾区核心城市，谋划共建海洋生物实验室、陆海大数据中心，探索建设微生物物种资源、基因资源、药物资源库和海洋生物样品库,开展海洋生物功能活性物质研究，加快开发海洋生物制品基料、海洋生物功能型临床保健制品、海洋活性化妆品、海洋新型药品和生物制剂等海洋生物功能制品。依托香雪制药、江涛药业等龙头企业，发展新型中药饮片、中成药、功能保健品等，提高生物医药产业化水平和规模。到2</w:t>
      </w:r>
      <w:r>
        <w:rPr>
          <w:rFonts w:ascii="仿宋_GB2312" w:hAnsi="仿宋" w:eastAsia="仿宋_GB2312"/>
          <w:sz w:val="32"/>
          <w:szCs w:val="32"/>
          <w:lang w:val="en-US" w:eastAsia="zh-CN"/>
        </w:rPr>
        <w:t>025</w:t>
      </w:r>
      <w:r>
        <w:rPr>
          <w:rFonts w:hint="eastAsia" w:ascii="仿宋_GB2312" w:hAnsi="仿宋" w:eastAsia="仿宋_GB2312"/>
          <w:sz w:val="32"/>
          <w:szCs w:val="32"/>
          <w:lang w:val="en-US" w:eastAsia="zh-CN"/>
        </w:rPr>
        <w:t>年，</w:t>
      </w:r>
      <w:r>
        <w:rPr>
          <w:rFonts w:hint="eastAsia" w:ascii="仿宋_GB2312" w:hAnsi="仿宋" w:eastAsia="仿宋_GB2312"/>
          <w:sz w:val="32"/>
          <w:szCs w:val="32"/>
          <w:u w:val="none"/>
          <w:lang w:val="en-US" w:eastAsia="zh-CN"/>
        </w:rPr>
        <w:t>生物医药产业产值</w:t>
      </w:r>
      <w:r>
        <w:rPr>
          <w:rFonts w:hint="eastAsia" w:ascii="仿宋_GB2312" w:hAnsi="仿宋" w:eastAsia="仿宋_GB2312"/>
          <w:sz w:val="32"/>
          <w:szCs w:val="32"/>
          <w:lang w:val="en-US" w:eastAsia="zh-CN"/>
        </w:rPr>
        <w:t>达到1</w:t>
      </w:r>
      <w:r>
        <w:rPr>
          <w:rFonts w:ascii="仿宋_GB2312" w:hAnsi="仿宋" w:eastAsia="仿宋_GB2312"/>
          <w:sz w:val="32"/>
          <w:szCs w:val="32"/>
          <w:lang w:val="en-US" w:eastAsia="zh-CN"/>
        </w:rPr>
        <w:t>00</w:t>
      </w:r>
      <w:r>
        <w:rPr>
          <w:rFonts w:hint="eastAsia" w:ascii="仿宋_GB2312" w:hAnsi="仿宋" w:eastAsia="仿宋_GB2312"/>
          <w:sz w:val="32"/>
          <w:szCs w:val="32"/>
          <w:lang w:val="en-US" w:eastAsia="zh-CN"/>
        </w:rPr>
        <w:t>亿元以上。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7 </w:t>
            </w:r>
            <w:r>
              <w:rPr>
                <w:rFonts w:hint="eastAsia" w:ascii="黑体" w:hAnsi="黑体" w:eastAsia="黑体"/>
                <w:color w:val="000000" w:themeColor="text1"/>
                <w:sz w:val="30"/>
                <w:szCs w:val="30"/>
                <w14:textFill>
                  <w14:solidFill>
                    <w14:schemeClr w14:val="tx1"/>
                  </w14:solidFill>
                </w14:textFill>
              </w:rPr>
              <w:t>生物医药产业重点项目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汕尾香雪健康产业园和精准中医服务项目：</w:t>
            </w:r>
            <w:r>
              <w:rPr>
                <w:rFonts w:hint="eastAsia" w:ascii="宋体" w:hAnsi="宋体"/>
                <w:color w:val="000000" w:themeColor="text1"/>
                <w:sz w:val="28"/>
                <w:szCs w:val="28"/>
                <w14:textFill>
                  <w14:solidFill>
                    <w14:schemeClr w14:val="tx1"/>
                  </w14:solidFill>
                </w14:textFill>
              </w:rPr>
              <w:t>建设时限为20</w:t>
            </w:r>
            <w:r>
              <w:rPr>
                <w:rFonts w:ascii="宋体" w:hAnsi="宋体"/>
                <w:color w:val="000000" w:themeColor="text1"/>
                <w:sz w:val="28"/>
                <w:szCs w:val="28"/>
                <w14:textFill>
                  <w14:solidFill>
                    <w14:schemeClr w14:val="tx1"/>
                  </w14:solidFill>
                </w14:textFill>
              </w:rPr>
              <w:t>17</w:t>
            </w:r>
            <w:r>
              <w:rPr>
                <w:rFonts w:hint="eastAsia" w:ascii="宋体" w:hAnsi="宋体"/>
                <w:color w:val="000000" w:themeColor="text1"/>
                <w:sz w:val="28"/>
                <w:szCs w:val="28"/>
                <w14:textFill>
                  <w14:solidFill>
                    <w14:schemeClr w14:val="tx1"/>
                  </w14:solidFill>
                </w14:textFill>
              </w:rPr>
              <w:t>-202</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年，总投资1</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亿元，用地面积1</w:t>
            </w:r>
            <w:r>
              <w:rPr>
                <w:rFonts w:ascii="宋体" w:hAnsi="宋体"/>
                <w:color w:val="000000" w:themeColor="text1"/>
                <w:sz w:val="28"/>
                <w:szCs w:val="28"/>
                <w14:textFill>
                  <w14:solidFill>
                    <w14:schemeClr w14:val="tx1"/>
                  </w14:solidFill>
                </w14:textFill>
              </w:rPr>
              <w:t>39</w:t>
            </w:r>
            <w:r>
              <w:rPr>
                <w:rFonts w:hint="eastAsia" w:ascii="宋体" w:hAnsi="宋体"/>
                <w:color w:val="000000" w:themeColor="text1"/>
                <w:sz w:val="28"/>
                <w:szCs w:val="28"/>
                <w14:textFill>
                  <w14:solidFill>
                    <w14:schemeClr w14:val="tx1"/>
                  </w14:solidFill>
                </w14:textFill>
              </w:rPr>
              <w:t>亩，“十四五”期间投资</w:t>
            </w:r>
            <w:r>
              <w:rPr>
                <w:rFonts w:ascii="宋体" w:hAnsi="宋体"/>
                <w:color w:val="000000" w:themeColor="text1"/>
                <w:sz w:val="28"/>
                <w:szCs w:val="28"/>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亿元。主要建设</w:t>
            </w:r>
            <w:r>
              <w:rPr>
                <w:rFonts w:hint="eastAsia" w:cs="仿宋" w:asciiTheme="minorEastAsia" w:hAnsiTheme="minorEastAsia"/>
                <w:color w:val="000000"/>
                <w:sz w:val="28"/>
                <w:szCs w:val="28"/>
              </w:rPr>
              <w:t>配套中药智能物联配送平台、中医药大数据平台、基因检测及精准中医诊疗平台，从事医药保健品生产。</w:t>
            </w:r>
          </w:p>
          <w:p>
            <w:pPr>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海丰金河丽晶生物科技项目：</w:t>
            </w:r>
            <w:r>
              <w:rPr>
                <w:rFonts w:hint="eastAsia" w:cs="仿宋" w:asciiTheme="minorEastAsia" w:hAnsiTheme="minorEastAsia"/>
                <w:color w:val="000000"/>
                <w:sz w:val="28"/>
                <w:szCs w:val="28"/>
              </w:rPr>
              <w:t>建设时限为2019-2021年，</w:t>
            </w:r>
            <w:r>
              <w:rPr>
                <w:rFonts w:hint="eastAsia" w:ascii="宋体" w:hAnsi="宋体"/>
                <w:color w:val="000000" w:themeColor="text1"/>
                <w:sz w:val="28"/>
                <w:szCs w:val="28"/>
                <w14:textFill>
                  <w14:solidFill>
                    <w14:schemeClr w14:val="tx1"/>
                  </w14:solidFill>
                </w14:textFill>
              </w:rPr>
              <w:t>总投资</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亿元，“十四五”期间投资</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亿元。</w:t>
            </w:r>
            <w:r>
              <w:rPr>
                <w:rFonts w:hint="eastAsia" w:cs="仿宋" w:asciiTheme="minorEastAsia" w:hAnsiTheme="minorEastAsia"/>
                <w:color w:val="000000"/>
                <w:sz w:val="28"/>
                <w:szCs w:val="28"/>
              </w:rPr>
              <w:t>主要生产洗涤用品、个人护理用品，创造岗位5</w:t>
            </w:r>
            <w:r>
              <w:rPr>
                <w:rFonts w:cs="仿宋" w:asciiTheme="minorEastAsia" w:hAnsiTheme="minorEastAsia"/>
                <w:color w:val="000000"/>
                <w:sz w:val="28"/>
                <w:szCs w:val="28"/>
              </w:rPr>
              <w:t>0</w:t>
            </w:r>
            <w:r>
              <w:rPr>
                <w:rFonts w:hint="eastAsia" w:cs="仿宋" w:asciiTheme="minorEastAsia" w:hAnsiTheme="minorEastAsia"/>
                <w:color w:val="000000"/>
                <w:sz w:val="28"/>
                <w:szCs w:val="28"/>
              </w:rPr>
              <w:t>个。</w:t>
            </w:r>
            <w:r>
              <w:rPr>
                <w:rFonts w:hint="eastAsia" w:cs="仿宋" w:asciiTheme="minorEastAsia" w:hAnsiTheme="minorEastAsia"/>
                <w:color w:val="000000"/>
                <w:sz w:val="28"/>
                <w:szCs w:val="28"/>
              </w:rPr>
              <w:tab/>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湖东镇中南药基地省级龙头企业项目：</w:t>
            </w:r>
            <w:r>
              <w:rPr>
                <w:rFonts w:hint="eastAsia" w:cs="仿宋" w:asciiTheme="minorEastAsia" w:hAnsiTheme="minorEastAsia"/>
                <w:color w:val="000000"/>
                <w:sz w:val="28"/>
                <w:szCs w:val="28"/>
              </w:rPr>
              <w:t>建设时限为2021-2023年，“十四五”期间投资</w:t>
            </w:r>
            <w:r>
              <w:rPr>
                <w:rFonts w:cs="仿宋" w:asciiTheme="minorEastAsia" w:hAnsiTheme="minorEastAsia"/>
                <w:color w:val="000000"/>
                <w:sz w:val="28"/>
                <w:szCs w:val="28"/>
              </w:rPr>
              <w:t>6000</w:t>
            </w:r>
            <w:r>
              <w:rPr>
                <w:rFonts w:hint="eastAsia" w:cs="仿宋" w:asciiTheme="minorEastAsia" w:hAnsiTheme="minorEastAsia"/>
                <w:color w:val="000000"/>
                <w:sz w:val="28"/>
                <w:szCs w:val="28"/>
              </w:rPr>
              <w:t>万元。占地面积200亩，用于项目观光、科研、加工等配套设施建设。</w:t>
            </w:r>
            <w:r>
              <w:rPr>
                <w:rFonts w:hint="eastAsia" w:cs="仿宋" w:asciiTheme="minorEastAsia" w:hAnsiTheme="minorEastAsia"/>
                <w:color w:val="000000"/>
                <w:sz w:val="28"/>
                <w:szCs w:val="28"/>
              </w:rPr>
              <w:tab/>
            </w:r>
          </w:p>
        </w:tc>
      </w:tr>
    </w:tbl>
    <w:p>
      <w:pPr>
        <w:ind w:firstLine="643" w:firstLineChars="200"/>
        <w:outlineLvl w:val="2"/>
        <w:rPr>
          <w:rFonts w:ascii="仿宋_GB2312" w:hAnsi="仿宋" w:eastAsia="仿宋_GB2312" w:cs="仿宋"/>
          <w:b/>
          <w:color w:val="000000"/>
          <w:sz w:val="32"/>
          <w:szCs w:val="32"/>
        </w:rPr>
      </w:pPr>
      <w:bookmarkStart w:id="50" w:name="_Toc24919"/>
      <w:bookmarkStart w:id="51" w:name="_Hlk60670503"/>
      <w:r>
        <w:rPr>
          <w:rFonts w:ascii="仿宋_GB2312" w:hAnsi="仿宋" w:eastAsia="仿宋_GB2312" w:cs="仿宋"/>
          <w:b/>
          <w:color w:val="000000"/>
          <w:sz w:val="32"/>
          <w:szCs w:val="32"/>
        </w:rPr>
        <w:t>4</w:t>
      </w:r>
      <w:r>
        <w:rPr>
          <w:rFonts w:hint="eastAsia" w:ascii="仿宋_GB2312" w:hAnsi="仿宋" w:eastAsia="仿宋_GB2312" w:cs="仿宋"/>
          <w:b/>
          <w:color w:val="000000"/>
          <w:sz w:val="32"/>
          <w:szCs w:val="32"/>
        </w:rPr>
        <w:t>.新材料产业</w:t>
      </w:r>
      <w:bookmarkEnd w:id="50"/>
    </w:p>
    <w:bookmarkEnd w:id="51"/>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以汕尾高新区红草片区和星都片区、陆河新河工业园、陆丰临港工业园、陆丰东海经济开发区等产业园为载体，积极引进先进材料项目落户汕尾，发展新型建筑材料制造、先进有色金属材料、先进石化化工新材料、先进无机非金属材料等新材料产业。加快突破关键原材料等关键核心技术，完善创新体系，促进产业创新发展，推动企业与科研院所合作，加快形成新材料产业集群。力争到2025年，新材料产业产值达到100亿元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52" w:name="_Hlk66353949"/>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8 </w:t>
            </w:r>
            <w:r>
              <w:rPr>
                <w:rFonts w:hint="eastAsia" w:ascii="黑体" w:hAnsi="黑体" w:eastAsia="黑体"/>
                <w:color w:val="000000" w:themeColor="text1"/>
                <w:sz w:val="30"/>
                <w:szCs w:val="30"/>
                <w14:textFill>
                  <w14:solidFill>
                    <w14:schemeClr w14:val="tx1"/>
                  </w14:solidFill>
                </w14:textFill>
              </w:rPr>
              <w:t>新材料产业重点项目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00" w:lineRule="exact"/>
              <w:ind w:firstLine="562" w:firstLineChars="200"/>
              <w:rPr>
                <w:rFonts w:cs="仿宋" w:asciiTheme="minorEastAsia" w:hAnsiTheme="minorEastAsia"/>
                <w:color w:val="000000"/>
                <w:sz w:val="28"/>
                <w:szCs w:val="28"/>
              </w:rPr>
            </w:pPr>
            <w:r>
              <w:rPr>
                <w:rFonts w:hint="eastAsia" w:ascii="宋体" w:hAnsi="宋体"/>
                <w:b/>
                <w:bCs/>
                <w:color w:val="000000" w:themeColor="text1"/>
                <w:sz w:val="28"/>
                <w:szCs w:val="28"/>
                <w14:textFill>
                  <w14:solidFill>
                    <w14:schemeClr w14:val="tx1"/>
                  </w14:solidFill>
                </w14:textFill>
              </w:rPr>
              <w:t>杭萧钢构产业基地项目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021-2023</w:t>
            </w:r>
            <w:r>
              <w:rPr>
                <w:rFonts w:hint="eastAsia" w:ascii="宋体" w:hAnsi="宋体"/>
                <w:color w:val="000000" w:themeColor="text1"/>
                <w:sz w:val="28"/>
                <w:szCs w:val="28"/>
                <w14:textFill>
                  <w14:solidFill>
                    <w14:schemeClr w14:val="tx1"/>
                  </w14:solidFill>
                </w14:textFill>
              </w:rPr>
              <w:t>年，规划用地169亩，“十四五”期间投资7</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2亿元</w:t>
            </w:r>
            <w:r>
              <w:rPr>
                <w:rFonts w:hint="eastAsia" w:cs="仿宋" w:asciiTheme="minorEastAsia" w:hAnsiTheme="minorEastAsia"/>
                <w:color w:val="000000"/>
                <w:sz w:val="28"/>
                <w:szCs w:val="28"/>
              </w:rPr>
              <w:t>。</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陆丰伍峰新型建材生产基地项目：</w:t>
            </w:r>
            <w:r>
              <w:rPr>
                <w:rFonts w:hint="eastAsia" w:cs="仿宋" w:asciiTheme="minorEastAsia" w:hAnsiTheme="minorEastAsia"/>
                <w:color w:val="000000"/>
                <w:sz w:val="28"/>
                <w:szCs w:val="28"/>
              </w:rPr>
              <w:t>建设时限为2021-202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年，规划用地面积176亩，总投资额6亿元，主要投资建设绿色建筑装配式建筑构件生产、轻质建筑材料生产、新型建筑材料生产、建筑垃圾、城市污泥收集、处理利用的生产设备和配套设施。</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装配式建筑构件材料产业项目：</w:t>
            </w:r>
            <w:r>
              <w:rPr>
                <w:rFonts w:hint="eastAsia" w:cs="仿宋" w:asciiTheme="minorEastAsia" w:hAnsiTheme="minorEastAsia"/>
                <w:color w:val="000000"/>
                <w:sz w:val="28"/>
                <w:szCs w:val="28"/>
              </w:rPr>
              <w:t>建设时限为2021-202</w:t>
            </w:r>
            <w:r>
              <w:rPr>
                <w:rFonts w:cs="仿宋" w:asciiTheme="minorEastAsia" w:hAnsiTheme="minorEastAsia"/>
                <w:color w:val="000000"/>
                <w:sz w:val="28"/>
                <w:szCs w:val="28"/>
              </w:rPr>
              <w:t>3</w:t>
            </w:r>
            <w:r>
              <w:rPr>
                <w:rFonts w:hint="eastAsia" w:cs="仿宋" w:asciiTheme="minorEastAsia" w:hAnsiTheme="minorEastAsia"/>
                <w:color w:val="000000"/>
                <w:sz w:val="28"/>
                <w:szCs w:val="28"/>
              </w:rPr>
              <w:t>年，总投资额5</w:t>
            </w:r>
            <w:r>
              <w:rPr>
                <w:rFonts w:cs="仿宋" w:asciiTheme="minorEastAsia" w:hAnsiTheme="minorEastAsia"/>
                <w:color w:val="000000"/>
                <w:sz w:val="28"/>
                <w:szCs w:val="28"/>
              </w:rPr>
              <w:t>.4</w:t>
            </w:r>
            <w:r>
              <w:rPr>
                <w:rFonts w:hint="eastAsia" w:cs="仿宋" w:asciiTheme="minorEastAsia" w:hAnsiTheme="minorEastAsia"/>
                <w:color w:val="000000"/>
                <w:sz w:val="28"/>
                <w:szCs w:val="28"/>
              </w:rPr>
              <w:t>亿元，建设办公楼、停车场、仓库、配套设施等。</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斯特纳新材料项目</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0</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年，总投资额</w:t>
            </w:r>
            <w:r>
              <w:rPr>
                <w:rFonts w:cs="仿宋" w:asciiTheme="minorEastAsia" w:hAnsiTheme="minorEastAsia"/>
                <w:color w:val="000000"/>
                <w:sz w:val="28"/>
                <w:szCs w:val="28"/>
              </w:rPr>
              <w:t>1</w:t>
            </w:r>
            <w:r>
              <w:rPr>
                <w:rFonts w:hint="eastAsia" w:cs="仿宋" w:asciiTheme="minorEastAsia" w:hAnsiTheme="minorEastAsia"/>
                <w:color w:val="000000"/>
                <w:sz w:val="28"/>
                <w:szCs w:val="28"/>
              </w:rPr>
              <w:t>.</w:t>
            </w:r>
            <w:r>
              <w:rPr>
                <w:rFonts w:cs="仿宋" w:asciiTheme="minorEastAsia" w:hAnsiTheme="minorEastAsia"/>
                <w:color w:val="000000"/>
                <w:sz w:val="28"/>
                <w:szCs w:val="28"/>
              </w:rPr>
              <w:t>5</w:t>
            </w:r>
            <w:r>
              <w:rPr>
                <w:rFonts w:hint="eastAsia" w:cs="仿宋" w:asciiTheme="minorEastAsia" w:hAnsiTheme="minorEastAsia"/>
                <w:color w:val="000000"/>
                <w:sz w:val="28"/>
                <w:szCs w:val="28"/>
              </w:rPr>
              <w:t>亿元，“十四五”期间投资1</w:t>
            </w:r>
            <w:r>
              <w:rPr>
                <w:rFonts w:cs="仿宋" w:asciiTheme="minorEastAsia" w:hAnsiTheme="minorEastAsia"/>
                <w:color w:val="000000"/>
                <w:sz w:val="28"/>
                <w:szCs w:val="28"/>
              </w:rPr>
              <w:t>.4</w:t>
            </w:r>
            <w:r>
              <w:rPr>
                <w:rFonts w:hint="eastAsia" w:cs="仿宋" w:asciiTheme="minorEastAsia" w:hAnsiTheme="minorEastAsia"/>
                <w:color w:val="000000"/>
                <w:sz w:val="28"/>
                <w:szCs w:val="28"/>
              </w:rPr>
              <w:t>亿元。建设厂房、办公楼、宿舍楼等。预计年产值1.5亿元。</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海丰县大康生物环保全降解新材料研发生产基地项目：</w:t>
            </w:r>
            <w:r>
              <w:rPr>
                <w:rFonts w:hint="eastAsia" w:cs="仿宋" w:asciiTheme="minorEastAsia" w:hAnsiTheme="minorEastAsia"/>
                <w:color w:val="000000"/>
                <w:sz w:val="28"/>
                <w:szCs w:val="28"/>
              </w:rPr>
              <w:t>建设时限为2021-2022年，总投资8亿，占地面积22429.6平方米，建筑面积40000平方米，主要建设办公大楼，生产车间、研发/实验中心、储藏仓库等。</w:t>
            </w:r>
          </w:p>
        </w:tc>
      </w:tr>
      <w:bookmarkEnd w:id="52"/>
    </w:tbl>
    <w:p>
      <w:pPr>
        <w:ind w:firstLine="610"/>
        <w:contextualSpacing/>
        <w:outlineLvl w:val="1"/>
        <w:rPr>
          <w:rFonts w:ascii="楷体_GB2312" w:hAnsi="仿宋" w:eastAsia="楷体_GB2312" w:cs="仿宋"/>
          <w:bCs/>
          <w:color w:val="000000"/>
          <w:sz w:val="32"/>
          <w:szCs w:val="32"/>
        </w:rPr>
      </w:pPr>
      <w:bookmarkStart w:id="53" w:name="_Toc2557"/>
      <w:r>
        <w:rPr>
          <w:rFonts w:hint="eastAsia" w:ascii="楷体_GB2312" w:hAnsi="仿宋" w:eastAsia="楷体_GB2312" w:cs="仿宋"/>
          <w:bCs/>
          <w:color w:val="000000"/>
          <w:sz w:val="32"/>
          <w:szCs w:val="32"/>
        </w:rPr>
        <w:t>（三）巩固提升优势传统产业</w:t>
      </w:r>
      <w:bookmarkEnd w:id="53"/>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坚持不懈运用数字化、智能制造技术、低碳环保技术等赋能传统产业，推动数字经济和传统制造业深度融合发展，不断提升食品加工、金银珠宝首饰及美妆、纺织服装等优势传统制造业发展能级和竞争力。</w:t>
      </w:r>
    </w:p>
    <w:p>
      <w:pPr>
        <w:ind w:firstLine="643" w:firstLineChars="200"/>
        <w:outlineLvl w:val="2"/>
        <w:rPr>
          <w:rFonts w:ascii="仿宋_GB2312" w:hAnsi="仿宋" w:eastAsia="仿宋_GB2312" w:cs="仿宋"/>
          <w:b/>
          <w:color w:val="000000"/>
          <w:sz w:val="32"/>
          <w:szCs w:val="32"/>
        </w:rPr>
      </w:pPr>
      <w:bookmarkStart w:id="54" w:name="_Toc7676"/>
      <w:r>
        <w:rPr>
          <w:rFonts w:ascii="仿宋_GB2312" w:hAnsi="仿宋" w:eastAsia="仿宋_GB2312" w:cs="仿宋"/>
          <w:b/>
          <w:color w:val="000000"/>
          <w:sz w:val="32"/>
          <w:szCs w:val="32"/>
        </w:rPr>
        <w:t>1.</w:t>
      </w:r>
      <w:r>
        <w:rPr>
          <w:rFonts w:hint="eastAsia" w:ascii="仿宋_GB2312" w:hAnsi="仿宋" w:eastAsia="仿宋_GB2312" w:cs="仿宋"/>
          <w:b/>
          <w:color w:val="000000"/>
          <w:sz w:val="32"/>
          <w:szCs w:val="32"/>
        </w:rPr>
        <w:t>现代农业与食品加工产业</w:t>
      </w:r>
      <w:bookmarkEnd w:id="54"/>
    </w:p>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u w:val="none"/>
          <w:lang w:val="en-US" w:eastAsia="zh-CN"/>
        </w:rPr>
        <w:t>鼓励和支持食品加工企业转变发展方式，推动食品加工产业走上创新型、效益型、集约型、生态型发展模式。鼓励和支持农民专业合作社、家庭农场和中小微企业发展农产品产地初加工，减少产后损失，延长供应时间，提高质量效益。</w:t>
      </w:r>
      <w:r>
        <w:rPr>
          <w:rFonts w:hint="eastAsia" w:ascii="仿宋_GB2312" w:hAnsi="仿宋" w:eastAsia="仿宋_GB2312"/>
          <w:sz w:val="32"/>
          <w:szCs w:val="32"/>
          <w:lang w:val="en-US" w:eastAsia="zh-CN"/>
        </w:rPr>
        <w:t>大力发展特色农产品精深加工业，围绕蔬菜、萝卜、甘薯、茶叶、荔枝、青梅、南药和水产等特色产业，引导农业产业化龙头企业积极开发保健功能食品、休闲食品、调制食品、冻干食品、鱼糜制品和生物活性成分提纯应用</w:t>
      </w:r>
      <w:r>
        <w:rPr>
          <w:rFonts w:hint="eastAsia" w:ascii="仿宋_GB2312" w:hAnsi="仿宋" w:eastAsia="仿宋_GB2312"/>
          <w:sz w:val="32"/>
          <w:szCs w:val="32"/>
          <w:u w:val="none"/>
          <w:lang w:val="en-US" w:eastAsia="zh-CN"/>
        </w:rPr>
        <w:t>，提高产品附加值。</w:t>
      </w:r>
      <w:r>
        <w:rPr>
          <w:rFonts w:hint="eastAsia" w:ascii="仿宋_GB2312" w:hAnsi="仿宋" w:eastAsia="仿宋_GB2312"/>
          <w:sz w:val="32"/>
          <w:szCs w:val="32"/>
          <w:lang w:val="en-US" w:eastAsia="zh-CN"/>
        </w:rPr>
        <w:t>推进农产品加工园建设，重点引进、扶持一批农产品精深加工企业聚集发展，形成上下游产品衔接的加工体系，实现产加销贯通、贸工农一体、一二三产融合发展。推动五丰水产、国泰食品、雅泰隆、多泰食品等食品制造加工产业龙头企业发展，鼓励和支持企业充分利用公共服务平台、企业研发部门、产学研合作平台等多种载体，在食品生产检测技术、保鲜技术、速冻技术、包装技术、质量和安全控制技术等共性技术、核心技术和关键技术取得突破，加快推动食品加工产业做大做强。大力发展现代海洋渔业，重点推动汕尾（马宫）渔港和湖东渔港经济区建设，加强国家级海洋牧场建设，大力推广“科研院所+龙头企业+合作社+渔民”的发展模式，深化深海养殖产业化程度，加强科技研发与生产加工的联系，打造集水产养殖、加工、冷藏、国内外贸易、产品研发等于一体的综合性牧场。加快培育一批实力雄厚、辐射带动能力强的海产品加工龙头企业，以精深加工、高值化加工及副产物综合利用为重点，提高海产品精深加工能力和安全控制技术水平。建设食品加工产业集群云平台，推动龙头企业上云上平台，解决企业销售、采购、生产、仓储、物流等关键环节痛点问题，推广在原料采集、产品加工、物流运输及销售消费等场景的应用。力争到2025年食品加工业产值达到</w:t>
      </w:r>
      <w:r>
        <w:rPr>
          <w:rFonts w:ascii="仿宋_GB2312" w:hAnsi="仿宋" w:eastAsia="仿宋_GB2312"/>
          <w:sz w:val="32"/>
          <w:szCs w:val="32"/>
          <w:lang w:val="en-US" w:eastAsia="zh-CN"/>
        </w:rPr>
        <w:t>15</w:t>
      </w:r>
      <w:r>
        <w:rPr>
          <w:rFonts w:hint="eastAsia" w:ascii="仿宋_GB2312" w:hAnsi="仿宋" w:eastAsia="仿宋_GB2312"/>
          <w:sz w:val="32"/>
          <w:szCs w:val="32"/>
          <w:lang w:val="en-US" w:eastAsia="zh-CN"/>
        </w:rPr>
        <w:t>0亿元以上。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55" w:name="_Hlk66354726"/>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9 </w:t>
            </w:r>
            <w:r>
              <w:rPr>
                <w:rFonts w:hint="eastAsia" w:ascii="黑体" w:hAnsi="黑体" w:eastAsia="黑体"/>
                <w:color w:val="000000" w:themeColor="text1"/>
                <w:sz w:val="30"/>
                <w:szCs w:val="30"/>
                <w14:textFill>
                  <w14:solidFill>
                    <w14:schemeClr w14:val="tx1"/>
                  </w14:solidFill>
                </w14:textFill>
              </w:rPr>
              <w:t>现代农业与食品加工业重点项目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陆丰市甲东镇海产品一体化生产基地：</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1</w:t>
            </w:r>
            <w:r>
              <w:rPr>
                <w:rFonts w:hint="eastAsia" w:cs="仿宋" w:asciiTheme="minorEastAsia" w:hAnsiTheme="minorEastAsia"/>
                <w:color w:val="000000"/>
                <w:sz w:val="28"/>
                <w:szCs w:val="28"/>
              </w:rPr>
              <w:t>-202</w:t>
            </w:r>
            <w:r>
              <w:rPr>
                <w:rFonts w:cs="仿宋" w:asciiTheme="minorEastAsia" w:hAnsiTheme="minorEastAsia"/>
                <w:color w:val="000000"/>
                <w:sz w:val="28"/>
                <w:szCs w:val="28"/>
              </w:rPr>
              <w:t>5</w:t>
            </w:r>
            <w:r>
              <w:rPr>
                <w:rFonts w:hint="eastAsia" w:cs="仿宋" w:asciiTheme="minorEastAsia" w:hAnsiTheme="minorEastAsia"/>
                <w:color w:val="000000"/>
                <w:sz w:val="28"/>
                <w:szCs w:val="28"/>
              </w:rPr>
              <w:t>年，占地1</w:t>
            </w:r>
            <w:r>
              <w:rPr>
                <w:rFonts w:cs="仿宋" w:asciiTheme="minorEastAsia" w:hAnsiTheme="minorEastAsia"/>
                <w:color w:val="000000"/>
                <w:sz w:val="28"/>
                <w:szCs w:val="28"/>
              </w:rPr>
              <w:t>000</w:t>
            </w:r>
            <w:r>
              <w:rPr>
                <w:rFonts w:hint="eastAsia" w:cs="仿宋" w:asciiTheme="minorEastAsia" w:hAnsiTheme="minorEastAsia"/>
                <w:color w:val="000000"/>
                <w:sz w:val="28"/>
                <w:szCs w:val="28"/>
              </w:rPr>
              <w:t>亩，“十四五”期间投资</w:t>
            </w:r>
            <w:r>
              <w:rPr>
                <w:rFonts w:cs="仿宋" w:asciiTheme="minorEastAsia" w:hAnsiTheme="minorEastAsia"/>
                <w:color w:val="000000"/>
                <w:sz w:val="28"/>
                <w:szCs w:val="28"/>
              </w:rPr>
              <w:t>10</w:t>
            </w:r>
            <w:r>
              <w:rPr>
                <w:rFonts w:hint="eastAsia" w:cs="仿宋" w:asciiTheme="minorEastAsia" w:hAnsiTheme="minorEastAsia"/>
                <w:color w:val="000000"/>
                <w:sz w:val="28"/>
                <w:szCs w:val="28"/>
              </w:rPr>
              <w:t>亿元。建设海产品一体化生产基地，建设各类海产品养殖基地、海产品 加工厂、海产品交易市场和电商交易平台。</w:t>
            </w:r>
          </w:p>
        </w:tc>
      </w:tr>
      <w:bookmarkEnd w:id="55"/>
    </w:tbl>
    <w:p>
      <w:pPr>
        <w:ind w:firstLine="643" w:firstLineChars="200"/>
        <w:outlineLvl w:val="2"/>
        <w:rPr>
          <w:rFonts w:ascii="仿宋_GB2312" w:hAnsi="仿宋" w:eastAsia="仿宋_GB2312" w:cs="仿宋"/>
          <w:b/>
          <w:color w:val="000000"/>
          <w:sz w:val="32"/>
          <w:szCs w:val="32"/>
        </w:rPr>
      </w:pPr>
      <w:bookmarkStart w:id="56" w:name="_Toc18074"/>
      <w:bookmarkStart w:id="57" w:name="_Hlk66355126"/>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.纺织服装产业</w:t>
      </w:r>
      <w:bookmarkEnd w:id="56"/>
    </w:p>
    <w:bookmarkEnd w:id="57"/>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推动纺织行业材料及工艺技术升级，积极对接深圳工业设计、创新创意资源，加强研发设计、品牌打造和渠道开拓，引导行业加强产学研合作和研发平台建设，以“个性化定制”、云制造等制造服务化方式，推动纺织服装产业向快时尚服装产业转型，建设集材料研发、服装设计、生产等于一体的时尚产业集群。依托海丰时尚创意城，加快推进纺织服装产业与新技术、新材料、文化、创意、时尚等融合，发展智能、健康、绿色、个性化等中高端产品，培育知名品牌，打造粤东特色纺织服装创意设计基地。引进培育服装电商企业，推动服装产业电商化发展。依托公平产业园，支持敏兴集团、万盛针织、信联针织时装、娜菲实业、百斯盾服饰、国润纺织等重点企业加快生产设备智能化改造，提高精准制造、敏捷制造能力，开展数字化、智能化工厂（车间）试点示范。加快纺织印染产业转型升级，加快淘汰落后产能，推动企业入园治理、集中升级，加快绿色环保型技术、清洁生产技术等的研发推广，积极培育绿色纺织服装工厂，打造绿色、低碳、循环产业园。到2025年，纺织服装业产值达到</w:t>
      </w:r>
      <w:r>
        <w:rPr>
          <w:rFonts w:ascii="仿宋_GB2312" w:hAnsi="仿宋" w:eastAsia="仿宋_GB2312" w:cs="仿宋"/>
          <w:bCs/>
          <w:color w:val="000000"/>
          <w:sz w:val="32"/>
          <w:szCs w:val="32"/>
        </w:rPr>
        <w:t>300</w:t>
      </w:r>
      <w:r>
        <w:rPr>
          <w:rFonts w:hint="eastAsia" w:ascii="仿宋_GB2312" w:hAnsi="仿宋" w:eastAsia="仿宋_GB2312" w:cs="仿宋"/>
          <w:bCs/>
          <w:color w:val="000000"/>
          <w:sz w:val="32"/>
          <w:szCs w:val="32"/>
        </w:rPr>
        <w:t>亿元。</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58" w:name="_Hlk66355234"/>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10 </w:t>
            </w:r>
            <w:r>
              <w:rPr>
                <w:rFonts w:hint="eastAsia" w:ascii="黑体" w:hAnsi="黑体" w:eastAsia="黑体"/>
                <w:color w:val="000000" w:themeColor="text1"/>
                <w:sz w:val="30"/>
                <w:szCs w:val="30"/>
                <w14:textFill>
                  <w14:solidFill>
                    <w14:schemeClr w14:val="tx1"/>
                  </w14:solidFill>
                </w14:textFill>
              </w:rPr>
              <w:t>纺织服装产业重点项目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ascii="宋体" w:hAnsi="宋体"/>
                <w:b/>
                <w:bCs/>
                <w:color w:val="000000" w:themeColor="text1"/>
                <w:sz w:val="28"/>
                <w:szCs w:val="28"/>
                <w14:textFill>
                  <w14:solidFill>
                    <w14:schemeClr w14:val="tx1"/>
                  </w14:solidFill>
                </w14:textFill>
              </w:rPr>
              <w:t>汕尾市国皓棉纺生产项目：</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0</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年，用地面积5</w:t>
            </w:r>
            <w:r>
              <w:rPr>
                <w:rFonts w:cs="仿宋" w:asciiTheme="minorEastAsia" w:hAnsiTheme="minorEastAsia"/>
                <w:color w:val="000000"/>
                <w:sz w:val="28"/>
                <w:szCs w:val="28"/>
              </w:rPr>
              <w:t>3</w:t>
            </w:r>
            <w:r>
              <w:rPr>
                <w:rFonts w:hint="eastAsia" w:cs="仿宋" w:asciiTheme="minorEastAsia" w:hAnsiTheme="minorEastAsia"/>
                <w:color w:val="000000"/>
                <w:sz w:val="28"/>
                <w:szCs w:val="28"/>
              </w:rPr>
              <w:t>亩，“十四五”期间总投资额</w:t>
            </w:r>
            <w:r>
              <w:rPr>
                <w:rFonts w:cs="仿宋" w:asciiTheme="minorEastAsia" w:hAnsiTheme="minorEastAsia"/>
                <w:color w:val="000000"/>
                <w:sz w:val="28"/>
                <w:szCs w:val="28"/>
              </w:rPr>
              <w:t>5</w:t>
            </w:r>
            <w:r>
              <w:rPr>
                <w:rFonts w:hint="eastAsia" w:cs="仿宋" w:asciiTheme="minorEastAsia" w:hAnsiTheme="minorEastAsia"/>
                <w:color w:val="000000"/>
                <w:sz w:val="28"/>
                <w:szCs w:val="28"/>
              </w:rPr>
              <w:t>亿元，</w:t>
            </w:r>
            <w:r>
              <w:rPr>
                <w:rFonts w:hint="eastAsia" w:ascii="宋体" w:hAnsi="宋体"/>
                <w:color w:val="000000" w:themeColor="text1"/>
                <w:sz w:val="28"/>
                <w:szCs w:val="28"/>
                <w14:textFill>
                  <w14:solidFill>
                    <w14:schemeClr w14:val="tx1"/>
                  </w14:solidFill>
                </w14:textFill>
              </w:rPr>
              <w:t>建设厂房、办公楼、宿舍楼等。</w:t>
            </w:r>
          </w:p>
        </w:tc>
      </w:tr>
      <w:bookmarkEnd w:id="58"/>
    </w:tbl>
    <w:p>
      <w:pPr>
        <w:ind w:firstLine="643" w:firstLineChars="200"/>
        <w:outlineLvl w:val="2"/>
        <w:rPr>
          <w:rFonts w:ascii="仿宋_GB2312" w:hAnsi="仿宋" w:eastAsia="仿宋_GB2312" w:cs="仿宋"/>
          <w:b/>
          <w:color w:val="000000"/>
          <w:sz w:val="32"/>
          <w:szCs w:val="32"/>
        </w:rPr>
      </w:pPr>
      <w:bookmarkStart w:id="59" w:name="_Toc13208"/>
      <w:r>
        <w:rPr>
          <w:rFonts w:ascii="仿宋_GB2312" w:hAnsi="仿宋" w:eastAsia="仿宋_GB2312" w:cs="仿宋"/>
          <w:b/>
          <w:color w:val="000000"/>
          <w:sz w:val="32"/>
          <w:szCs w:val="32"/>
        </w:rPr>
        <w:t>3</w:t>
      </w:r>
      <w:r>
        <w:rPr>
          <w:rFonts w:hint="eastAsia" w:ascii="仿宋_GB2312" w:hAnsi="仿宋" w:eastAsia="仿宋_GB2312" w:cs="仿宋"/>
          <w:b/>
          <w:color w:val="000000"/>
          <w:sz w:val="32"/>
          <w:szCs w:val="32"/>
        </w:rPr>
        <w:t>.金银珠宝首饰与美妆产业</w:t>
      </w:r>
      <w:bookmarkEnd w:id="59"/>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统筹做好可塘珠宝、梅陇金银产业规划，引入深圳创意设计资源，推动珠宝、金银首饰产业加快向产品研发、设计、营销等价值链高端延伸，建设集研发设计、生产制造、展销、经贸、旅游观光于一体的珠宝、金银首饰产业集聚区，引导珠宝、金银首饰企业提高科技含量和设计水平。支持珠宝、金银首饰企业加快实施智能化升级改造，建设自动化车间和智能工厂。将云计算、大数据应用到珠宝行业，打造融汇时尚和高科技的可穿戴智能珠宝产品。支持珠宝、金银首饰企业积极申报驰名商标、广东省名牌产品、地理标志保护产品，打造区域产业集群品牌。积极推进“互联网+饰品”模式，大力鼓励饰品企业创建网上商城，整合</w:t>
      </w:r>
      <w:r>
        <w:rPr>
          <w:rFonts w:hint="eastAsia" w:ascii="仿宋_GB2312" w:hAnsi="仿宋_GB2312" w:eastAsia="仿宋_GB2312" w:cs="仿宋_GB2312"/>
          <w:bCs/>
          <w:color w:val="000000"/>
          <w:sz w:val="32"/>
          <w:szCs w:val="32"/>
        </w:rPr>
        <w:t>珠宝专业市场力量，</w:t>
      </w:r>
      <w:r>
        <w:rPr>
          <w:rFonts w:hint="eastAsia" w:ascii="仿宋_GB2312" w:hAnsi="仿宋" w:eastAsia="仿宋_GB2312" w:cs="仿宋"/>
          <w:bCs/>
          <w:color w:val="000000"/>
          <w:sz w:val="32"/>
          <w:szCs w:val="32"/>
        </w:rPr>
        <w:t>建设珠宝电子商务平台，汇聚一批珠宝批发电商。支持海丰加快建设国家级珠宝玉石鉴定中心和申办省级珠宝交易所，打造“中国金银首饰加工销售基地”，积极组织珠宝、金银首饰企业参加深圳国际珠宝展，提升“中国彩宝之都”“中国珠宝玉石首饰特色产业基地”的品牌影响力。力争到2025年，金银珠宝首饰业产值达到</w:t>
      </w:r>
      <w:r>
        <w:rPr>
          <w:rFonts w:ascii="仿宋_GB2312" w:hAnsi="仿宋" w:eastAsia="仿宋_GB2312" w:cs="仿宋"/>
          <w:bCs/>
          <w:color w:val="000000"/>
          <w:sz w:val="32"/>
          <w:szCs w:val="32"/>
        </w:rPr>
        <w:t>300</w:t>
      </w:r>
      <w:r>
        <w:rPr>
          <w:rFonts w:hint="eastAsia" w:ascii="仿宋_GB2312" w:hAnsi="仿宋" w:eastAsia="仿宋_GB2312" w:cs="仿宋"/>
          <w:bCs/>
          <w:color w:val="000000"/>
          <w:sz w:val="32"/>
          <w:szCs w:val="32"/>
        </w:rPr>
        <w:t>亿元。</w:t>
      </w:r>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海丰生态科技园，加大对进驻化妆品龙头企业的政策扶持力度，加快引进一批世界500强、国内100强化妆品企业，围绕供应链整合、创新协作、数据应用、营销等产业发展关键环节，推进化妆品产业全产业链构建。建设美妆产业工业互联网平台，强化设计、生产、运维、管理等全流程数字化功能集成，推动形成美妆产业国家工业互联网行业标准。加强美妆行业名牌产品培育工作，引导美妆企业树立品牌、品质意识，建设完善产品全生命周期质量管理体系，实施化妆品行业提标贯标行动，建立创新结合、区域共建的高标准国际化质量品牌培育评价体系，加快提升美妆品牌国内、国际知名度。推动美妆产业向研发设计、新型营销、个性定制等环节延伸价值链，建设集研发设计、智能制造、 检验检测、展示体验及交易功能为一体的美妆产业全产业链平台，打造华南乃至全国重要的美妆产业基地。到2025年，全市化妆品产业年销售收入超100亿元，培育年销售收入超10亿元行业领军企业1家以上。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11 </w:t>
            </w:r>
            <w:r>
              <w:rPr>
                <w:rFonts w:hint="eastAsia" w:ascii="黑体" w:hAnsi="黑体" w:eastAsia="黑体"/>
                <w:color w:val="000000" w:themeColor="text1"/>
                <w:sz w:val="30"/>
                <w:szCs w:val="30"/>
                <w14:textFill>
                  <w14:solidFill>
                    <w14:schemeClr w14:val="tx1"/>
                  </w14:solidFill>
                </w14:textFill>
              </w:rPr>
              <w:t>金银珠宝首饰及美妆产业重点项目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广东（海丰）黄金珠宝首饰产业环保集聚区：</w:t>
            </w:r>
            <w:r>
              <w:rPr>
                <w:rFonts w:hint="eastAsia" w:cs="仿宋" w:asciiTheme="minorEastAsia" w:hAnsiTheme="minorEastAsia"/>
                <w:color w:val="000000"/>
                <w:sz w:val="28"/>
                <w:szCs w:val="28"/>
              </w:rPr>
              <w:t>建设时限为20</w:t>
            </w:r>
            <w:r>
              <w:rPr>
                <w:rFonts w:cs="仿宋" w:asciiTheme="minorEastAsia" w:hAnsiTheme="minorEastAsia"/>
                <w:color w:val="000000"/>
                <w:sz w:val="28"/>
                <w:szCs w:val="28"/>
              </w:rPr>
              <w:t>18</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年，总投资3</w:t>
            </w:r>
            <w:r>
              <w:rPr>
                <w:rFonts w:cs="仿宋" w:asciiTheme="minorEastAsia" w:hAnsiTheme="minorEastAsia"/>
                <w:color w:val="000000"/>
                <w:sz w:val="28"/>
                <w:szCs w:val="28"/>
              </w:rPr>
              <w:t>0</w:t>
            </w:r>
            <w:r>
              <w:rPr>
                <w:rFonts w:hint="eastAsia" w:cs="仿宋" w:asciiTheme="minorEastAsia" w:hAnsiTheme="minorEastAsia"/>
                <w:color w:val="000000"/>
                <w:sz w:val="28"/>
                <w:szCs w:val="28"/>
              </w:rPr>
              <w:t>亿元，“十四五”期间投资2</w:t>
            </w:r>
            <w:r>
              <w:rPr>
                <w:rFonts w:cs="仿宋" w:asciiTheme="minorEastAsia" w:hAnsiTheme="minorEastAsia"/>
                <w:color w:val="000000"/>
                <w:sz w:val="28"/>
                <w:szCs w:val="28"/>
              </w:rPr>
              <w:t>4.5</w:t>
            </w:r>
            <w:r>
              <w:rPr>
                <w:rFonts w:hint="eastAsia" w:cs="仿宋" w:asciiTheme="minorEastAsia" w:hAnsiTheme="minorEastAsia"/>
                <w:color w:val="000000"/>
                <w:sz w:val="28"/>
                <w:szCs w:val="28"/>
              </w:rPr>
              <w:t>亿元，</w:t>
            </w:r>
            <w:r>
              <w:rPr>
                <w:rFonts w:hint="eastAsia" w:ascii="宋体" w:hAnsi="宋体"/>
                <w:color w:val="000000" w:themeColor="text1"/>
                <w:sz w:val="28"/>
                <w:szCs w:val="28"/>
                <w14:textFill>
                  <w14:solidFill>
                    <w14:schemeClr w14:val="tx1"/>
                  </w14:solidFill>
                </w14:textFill>
              </w:rPr>
              <w:t>建设加工产房区、综合服务区、电镀生产区、废水和废渣液回收处理区、配套服务区五大功能区域。</w:t>
            </w:r>
          </w:p>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海丰县可塘彩宝工业园区、珠宝产业园区建设工程：</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2026</w:t>
            </w:r>
            <w:r>
              <w:rPr>
                <w:rFonts w:hint="eastAsia" w:ascii="宋体" w:hAnsi="宋体"/>
                <w:color w:val="000000" w:themeColor="text1"/>
                <w:sz w:val="28"/>
                <w:szCs w:val="28"/>
                <w14:textFill>
                  <w14:solidFill>
                    <w14:schemeClr w14:val="tx1"/>
                  </w14:solidFill>
                </w14:textFill>
              </w:rPr>
              <w:t>年，用地4</w:t>
            </w:r>
            <w:r>
              <w:rPr>
                <w:rFonts w:ascii="宋体" w:hAnsi="宋体"/>
                <w:color w:val="000000" w:themeColor="text1"/>
                <w:sz w:val="28"/>
                <w:szCs w:val="28"/>
                <w14:textFill>
                  <w14:solidFill>
                    <w14:schemeClr w14:val="tx1"/>
                  </w14:solidFill>
                </w14:textFill>
              </w:rPr>
              <w:t>15</w:t>
            </w:r>
            <w:r>
              <w:rPr>
                <w:rFonts w:hint="eastAsia" w:ascii="宋体" w:hAnsi="宋体"/>
                <w:color w:val="000000" w:themeColor="text1"/>
                <w:sz w:val="28"/>
                <w:szCs w:val="28"/>
                <w14:textFill>
                  <w14:solidFill>
                    <w14:schemeClr w14:val="tx1"/>
                  </w14:solidFill>
                </w14:textFill>
              </w:rPr>
              <w:t>亩，总投资1</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34</w:t>
            </w:r>
            <w:r>
              <w:rPr>
                <w:rFonts w:hint="eastAsia" w:ascii="宋体" w:hAnsi="宋体"/>
                <w:color w:val="000000" w:themeColor="text1"/>
                <w:sz w:val="28"/>
                <w:szCs w:val="28"/>
                <w14:textFill>
                  <w14:solidFill>
                    <w14:schemeClr w14:val="tx1"/>
                  </w14:solidFill>
                </w14:textFill>
              </w:rPr>
              <w:t>亿元，主要建设内容：①可塘彩宝工业园：建设占地约30万方的珠宝产业园区；②建设珠宝产业园，建设一个彩宝文化长廊、一个以彩宝玉石为主题的专题展览馆和专题博物馆、一个珠宝产业综合服务功能区。</w:t>
            </w:r>
          </w:p>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海丰美妆产业园项目：</w:t>
            </w:r>
            <w:r>
              <w:rPr>
                <w:rFonts w:hint="eastAsia" w:ascii="宋体" w:hAnsi="宋体"/>
                <w:color w:val="000000" w:themeColor="text1"/>
                <w:sz w:val="28"/>
                <w:szCs w:val="28"/>
                <w14:textFill>
                  <w14:solidFill>
                    <w14:schemeClr w14:val="tx1"/>
                  </w14:solidFill>
                </w14:textFill>
              </w:rPr>
              <w:t>首期规划面积60万平方米，以广州好迪集团为龙头，拟引进各类轻工业美妆企业30家，总投资达100亿元，构建“一核三区”的空间布局，以产业为核心，融文化、旅游、商业等功能于一体，着力打造以美妆生产为主导的产业链。</w:t>
            </w:r>
          </w:p>
        </w:tc>
      </w:tr>
    </w:tbl>
    <w:p>
      <w:pPr>
        <w:spacing w:after="120"/>
        <w:ind w:firstLine="640" w:firstLineChars="200"/>
        <w:contextualSpacing/>
        <w:outlineLvl w:val="0"/>
        <w:rPr>
          <w:rFonts w:ascii="黑体" w:hAnsi="黑体" w:eastAsia="黑体" w:cs="仿宋"/>
          <w:bCs/>
          <w:color w:val="000000"/>
          <w:sz w:val="32"/>
          <w:szCs w:val="32"/>
        </w:rPr>
      </w:pPr>
      <w:bookmarkStart w:id="60" w:name="_Toc14856"/>
      <w:r>
        <w:rPr>
          <w:rFonts w:hint="eastAsia" w:ascii="黑体" w:hAnsi="黑体" w:eastAsia="黑体" w:cs="仿宋"/>
          <w:bCs/>
          <w:color w:val="000000"/>
          <w:sz w:val="32"/>
          <w:szCs w:val="32"/>
        </w:rPr>
        <w:t>四、主要任务</w:t>
      </w:r>
      <w:bookmarkEnd w:id="60"/>
    </w:p>
    <w:p>
      <w:pPr>
        <w:ind w:firstLine="610"/>
        <w:contextualSpacing/>
        <w:outlineLvl w:val="1"/>
        <w:rPr>
          <w:rFonts w:ascii="楷体_GB2312" w:hAnsi="仿宋" w:eastAsia="楷体_GB2312" w:cs="仿宋"/>
          <w:bCs/>
          <w:color w:val="000000"/>
          <w:sz w:val="32"/>
          <w:szCs w:val="32"/>
        </w:rPr>
      </w:pPr>
      <w:bookmarkStart w:id="61" w:name="_Toc30895"/>
      <w:r>
        <w:rPr>
          <w:rFonts w:hint="eastAsia" w:ascii="楷体_GB2312" w:hAnsi="仿宋" w:eastAsia="楷体_GB2312" w:cs="仿宋"/>
          <w:bCs/>
          <w:color w:val="000000"/>
          <w:sz w:val="32"/>
          <w:szCs w:val="32"/>
        </w:rPr>
        <w:t>（一）统筹优化产业布局，构建制造业高质量发展新格局</w:t>
      </w:r>
      <w:bookmarkEnd w:id="61"/>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独特的区位条件、资源禀赋、生态环境容量、发展基础和潜力，加强空间引导与管制，推进全市制造业产业布局与生态保护红线、环境质量底线、资源利用上线、生态环境准入清单对接，支持各地区主导产业差异化发展，加强各产业集群分工协作，促进制造业资源向“万亩千亿”产业平台等各类开发园区集中，引导要素有序流动和资源优化配置，以汕尾高新区红草片区为核心，以深汕特别合作区拓展区和陆丰海工装备基地为两翼，培育壮大南部沿海临港制造业发展带、中部先进制造业发展带和</w:t>
      </w:r>
      <w:bookmarkStart w:id="62" w:name="_Hlk60808006"/>
      <w:r>
        <w:rPr>
          <w:rFonts w:hint="eastAsia" w:ascii="仿宋_GB2312" w:hAnsi="仿宋" w:eastAsia="仿宋_GB2312" w:cs="仿宋"/>
          <w:bCs/>
          <w:color w:val="000000"/>
          <w:sz w:val="32"/>
          <w:szCs w:val="32"/>
        </w:rPr>
        <w:t>北部绿色制造业发展带</w:t>
      </w:r>
      <w:bookmarkEnd w:id="62"/>
      <w:r>
        <w:rPr>
          <w:rFonts w:hint="eastAsia" w:ascii="仿宋_GB2312" w:hAnsi="仿宋" w:eastAsia="仿宋_GB2312" w:cs="仿宋"/>
          <w:bCs/>
          <w:color w:val="000000"/>
          <w:sz w:val="32"/>
          <w:szCs w:val="32"/>
        </w:rPr>
        <w:t xml:space="preserve">，着力构建“一核两翼三带”制造业发展新格局。 </w:t>
      </w:r>
    </w:p>
    <w:p>
      <w:pPr>
        <w:ind w:firstLine="643" w:firstLineChars="200"/>
        <w:contextualSpacing/>
        <w:outlineLvl w:val="2"/>
        <w:rPr>
          <w:rFonts w:ascii="仿宋_GB2312" w:hAnsi="仿宋" w:eastAsia="仿宋_GB2312" w:cs="仿宋"/>
          <w:b/>
          <w:color w:val="000000"/>
          <w:sz w:val="32"/>
          <w:szCs w:val="32"/>
        </w:rPr>
      </w:pPr>
      <w:bookmarkStart w:id="63" w:name="_Toc22600"/>
      <w:r>
        <w:rPr>
          <w:rFonts w:hint="eastAsia" w:ascii="仿宋_GB2312" w:hAnsi="仿宋" w:eastAsia="仿宋_GB2312" w:cs="仿宋"/>
          <w:b/>
          <w:color w:val="000000"/>
          <w:sz w:val="32"/>
          <w:szCs w:val="32"/>
        </w:rPr>
        <w:t>1.全力做大做强汕尾高新区红草片区“一核”</w:t>
      </w:r>
      <w:bookmarkEnd w:id="63"/>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完善汕尾高新区红草片区基础设施建设，优化园区营商环境，提高园区运营管理水平和产业承载能力，立足现有产业基础，积极承接“双区驱动”“双城联动”的溢出效应，加强与深圳、广州等粤港澳大湾区核心城市在新一代电子信息、生物医药与健康、人工智能、新能源、新材料等重点产业领域的对接合作，加快推动一批高成长企业和优质产业项目落地，加快补齐产业链短板和缺失环节，做大做强高端新型电子信息、新能源汽车、新材料、生物医药等产业集群，促进制造业加快向价值链中高端攀升，把汕尾高新区红草片区打造成为全市制造业高质量发展的引擎。</w:t>
      </w:r>
    </w:p>
    <w:p>
      <w:pPr>
        <w:ind w:firstLine="643" w:firstLineChars="200"/>
        <w:contextualSpacing/>
        <w:outlineLvl w:val="2"/>
        <w:rPr>
          <w:rFonts w:ascii="仿宋_GB2312" w:hAnsi="仿宋" w:eastAsia="仿宋_GB2312" w:cs="仿宋"/>
          <w:b/>
          <w:color w:val="000000"/>
          <w:sz w:val="32"/>
          <w:szCs w:val="32"/>
        </w:rPr>
      </w:pPr>
      <w:bookmarkStart w:id="64" w:name="_Toc29311"/>
      <w:r>
        <w:rPr>
          <w:rFonts w:hint="eastAsia" w:ascii="仿宋_GB2312" w:hAnsi="仿宋" w:eastAsia="仿宋_GB2312" w:cs="仿宋"/>
          <w:b/>
          <w:color w:val="000000"/>
          <w:sz w:val="32"/>
          <w:szCs w:val="32"/>
        </w:rPr>
        <w:t>2.打造深汕特别合作区拓展区和陆丰海工装备基地“两翼”</w:t>
      </w:r>
      <w:bookmarkEnd w:id="64"/>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加快建设深汕特别合作区拓展区和陆丰海工装备基地，不断提升其产业承载力，充分发挥其对东西两翼地区的辐射带动作用，为汕尾制造业向纵深发展提供坚实支撑。</w:t>
      </w:r>
    </w:p>
    <w:p>
      <w:pPr>
        <w:ind w:firstLine="643" w:firstLineChars="200"/>
        <w:contextualSpacing/>
        <w:rPr>
          <w:rFonts w:ascii="仿宋_GB2312" w:hAnsi="仿宋" w:eastAsia="仿宋_GB2312" w:cs="仿宋"/>
          <w:bCs/>
          <w:color w:val="000000"/>
          <w:sz w:val="32"/>
          <w:szCs w:val="32"/>
        </w:rPr>
      </w:pPr>
      <w:r>
        <w:rPr>
          <w:rFonts w:hint="eastAsia" w:ascii="仿宋_GB2312" w:hAnsi="仿宋" w:eastAsia="仿宋_GB2312" w:cs="仿宋"/>
          <w:b/>
          <w:color w:val="000000"/>
          <w:sz w:val="32"/>
          <w:szCs w:val="32"/>
        </w:rPr>
        <w:t>深入推进深汕特别合作区拓展区建设。</w:t>
      </w:r>
      <w:r>
        <w:rPr>
          <w:rFonts w:hint="eastAsia" w:ascii="仿宋_GB2312" w:hAnsi="仿宋" w:eastAsia="仿宋_GB2312" w:cs="仿宋"/>
          <w:bCs/>
          <w:color w:val="000000"/>
          <w:sz w:val="32"/>
          <w:szCs w:val="32"/>
        </w:rPr>
        <w:t>加快深汕合作区拓展区规划建设，重点发展汽车电子产品及配件制造、新能源锂电池制造、机器人零部件制造、可穿戴设备组装、人工智能、5G配套设施等产业，积极对接粤港澳大湾区核心城市特别是深圳工业设计、渠道开拓、市场营销等资源，加快提升梅陇金银首饰产业发展水平，着力打造集研发设计、生产制造、展示交易、工业观光旅游等业态为一体的特色产业集聚区，做大做强以智能制造为主、金银首饰产业共同发展的产业集群，打造汕尾融入“双区”的新门户、生态高能产业新区。</w:t>
      </w:r>
    </w:p>
    <w:p>
      <w:pPr>
        <w:ind w:firstLine="643" w:firstLineChars="200"/>
        <w:contextualSpacing/>
        <w:rPr>
          <w:rFonts w:ascii="仿宋_GB2312" w:hAnsi="仿宋" w:eastAsia="仿宋_GB2312" w:cs="仿宋"/>
          <w:b/>
          <w:color w:val="000000"/>
          <w:sz w:val="32"/>
          <w:szCs w:val="32"/>
        </w:rPr>
      </w:pPr>
      <w:r>
        <w:rPr>
          <w:rFonts w:hint="eastAsia" w:ascii="仿宋_GB2312" w:hAnsi="仿宋" w:eastAsia="仿宋_GB2312" w:cs="仿宋"/>
          <w:b/>
          <w:color w:val="000000"/>
          <w:sz w:val="32"/>
          <w:szCs w:val="32"/>
        </w:rPr>
        <w:t>加快提升陆丰海工装备基地发展能级。</w:t>
      </w:r>
      <w:r>
        <w:rPr>
          <w:rFonts w:hint="eastAsia" w:ascii="仿宋_GB2312" w:hAnsi="仿宋" w:eastAsia="仿宋_GB2312" w:cs="仿宋"/>
          <w:bCs/>
          <w:color w:val="000000"/>
          <w:sz w:val="32"/>
          <w:szCs w:val="32"/>
        </w:rPr>
        <w:t>抓住陆丰核电、海上风电建设机遇，加快建设汕尾（陆丰）海工装备制造基地，充分发挥中广核新能源、中天科技、</w:t>
      </w:r>
      <w:r>
        <w:rPr>
          <w:rFonts w:hint="eastAsia" w:ascii="仿宋_GB2312" w:hAnsi="仿宋" w:eastAsia="仿宋_GB2312" w:cs="仿宋"/>
          <w:bCs/>
          <w:color w:val="000000"/>
          <w:sz w:val="32"/>
          <w:szCs w:val="32"/>
          <w:u w:val="none"/>
        </w:rPr>
        <w:t>长风、</w:t>
      </w:r>
      <w:r>
        <w:rPr>
          <w:rFonts w:hint="eastAsia" w:ascii="仿宋_GB2312" w:hAnsi="仿宋" w:eastAsia="仿宋_GB2312" w:cs="仿宋"/>
          <w:bCs/>
          <w:color w:val="000000"/>
          <w:sz w:val="32"/>
          <w:szCs w:val="32"/>
        </w:rPr>
        <w:t>明阳智能等龙头企业引领带动作用，推动海上风电装备制造产业集群发展，加快引进培育配套实验室和研发机构，引入起重及港口机械设备、海上风电配套装备及其配件的制造、加工、销售以及服务等全链条企业，完善上游装备设计、中游装备制造到下游维修服务等产业链关键环节，打造集技术研发、设备制造、检测认证、建设安装、运行维护于一体的海上风电工程装备制造产业基地。推动陆丰海工装备基地升级为省级产业园。</w:t>
      </w:r>
    </w:p>
    <w:p>
      <w:pPr>
        <w:ind w:firstLine="643" w:firstLineChars="200"/>
        <w:contextualSpacing/>
        <w:outlineLvl w:val="2"/>
        <w:rPr>
          <w:rFonts w:ascii="仿宋_GB2312" w:hAnsi="仿宋" w:eastAsia="仿宋_GB2312" w:cs="仿宋"/>
          <w:b/>
          <w:color w:val="000000"/>
          <w:sz w:val="32"/>
          <w:szCs w:val="32"/>
        </w:rPr>
      </w:pPr>
      <w:bookmarkStart w:id="65" w:name="_Toc5570"/>
      <w:r>
        <w:rPr>
          <w:rFonts w:hint="eastAsia" w:ascii="仿宋_GB2312" w:hAnsi="仿宋" w:eastAsia="仿宋_GB2312" w:cs="仿宋"/>
          <w:b/>
          <w:color w:val="000000"/>
          <w:sz w:val="32"/>
          <w:szCs w:val="32"/>
        </w:rPr>
        <w:t>3.构建南部、中部和北部三个制造业发展带</w:t>
      </w:r>
      <w:bookmarkEnd w:id="65"/>
    </w:p>
    <w:p>
      <w:pPr>
        <w:ind w:firstLine="643" w:firstLineChars="200"/>
        <w:contextualSpacing/>
        <w:rPr>
          <w:rFonts w:ascii="仿宋_GB2312" w:hAnsi="仿宋" w:eastAsia="仿宋_GB2312" w:cs="仿宋"/>
          <w:bCs/>
          <w:color w:val="000000"/>
          <w:sz w:val="32"/>
          <w:szCs w:val="32"/>
        </w:rPr>
      </w:pPr>
      <w:r>
        <w:rPr>
          <w:rFonts w:hint="eastAsia" w:ascii="仿宋_GB2312" w:hAnsi="仿宋" w:eastAsia="仿宋_GB2312" w:cs="仿宋"/>
          <w:b/>
          <w:color w:val="000000"/>
          <w:sz w:val="32"/>
          <w:szCs w:val="32"/>
        </w:rPr>
        <w:t>打造南部沿海</w:t>
      </w:r>
      <w:bookmarkStart w:id="66" w:name="_Hlk60807394"/>
      <w:r>
        <w:rPr>
          <w:rFonts w:hint="eastAsia" w:ascii="仿宋_GB2312" w:hAnsi="仿宋" w:eastAsia="仿宋_GB2312" w:cs="仿宋"/>
          <w:b/>
          <w:color w:val="000000"/>
          <w:sz w:val="32"/>
          <w:szCs w:val="32"/>
        </w:rPr>
        <w:t>临港制造业</w:t>
      </w:r>
      <w:bookmarkEnd w:id="66"/>
      <w:r>
        <w:rPr>
          <w:rFonts w:hint="eastAsia" w:ascii="仿宋_GB2312" w:hAnsi="仿宋" w:eastAsia="仿宋_GB2312" w:cs="仿宋"/>
          <w:b/>
          <w:color w:val="000000"/>
          <w:sz w:val="32"/>
          <w:szCs w:val="32"/>
        </w:rPr>
        <w:t>发展带。</w:t>
      </w:r>
      <w:r>
        <w:rPr>
          <w:rFonts w:hint="eastAsia" w:ascii="仿宋_GB2312" w:hAnsi="仿宋" w:eastAsia="仿宋_GB2312" w:cs="仿宋"/>
          <w:bCs/>
          <w:color w:val="000000"/>
          <w:sz w:val="32"/>
          <w:szCs w:val="32"/>
        </w:rPr>
        <w:t>加强陆海统筹、港产联动，依托沈海高速、厦深高铁、广汕汕高铁等沿海大通道，自西向东串联深汕特别合作区、马宫、金町湾、汕尾主城区、红海湾、大湖镇、陆丰城区、金厢镇、碣石镇、湖东镇、甲子镇、甲东镇、甲西镇等重要功能节点，重点依汕尾高新区红草片区、汕尾（陆丰）海工基地、</w:t>
      </w:r>
      <w:r>
        <w:rPr>
          <w:rFonts w:hint="eastAsia" w:ascii="仿宋_GB2312" w:hAnsi="仿宋" w:eastAsia="仿宋_GB2312" w:cs="仿宋"/>
          <w:bCs/>
          <w:color w:val="000000"/>
          <w:sz w:val="32"/>
          <w:szCs w:val="32"/>
          <w:u w:val="none"/>
        </w:rPr>
        <w:t>大南海石化汕尾基地，</w:t>
      </w:r>
      <w:r>
        <w:rPr>
          <w:rFonts w:hint="eastAsia" w:ascii="仿宋_GB2312" w:hAnsi="仿宋" w:eastAsia="仿宋_GB2312" w:cs="仿宋"/>
          <w:bCs/>
          <w:color w:val="000000"/>
          <w:sz w:val="32"/>
          <w:szCs w:val="32"/>
        </w:rPr>
        <w:t>发展电子信息、海洋经济、电力能源、海工装备制造、精细化工等产业，打造南部沿海临港制造业发展带，形成支撑全市制造业发展的增长极，助推汕尾实现蓝色崛起。</w:t>
      </w:r>
    </w:p>
    <w:p>
      <w:pPr>
        <w:ind w:firstLine="643" w:firstLineChars="200"/>
        <w:contextualSpacing/>
        <w:rPr>
          <w:rFonts w:ascii="仿宋_GB2312" w:hAnsi="仿宋" w:eastAsia="仿宋_GB2312" w:cs="仿宋"/>
          <w:bCs/>
          <w:color w:val="000000"/>
          <w:sz w:val="32"/>
          <w:szCs w:val="32"/>
        </w:rPr>
      </w:pPr>
      <w:bookmarkStart w:id="67" w:name="_Hlk60807954"/>
      <w:r>
        <w:rPr>
          <w:rFonts w:hint="eastAsia" w:ascii="仿宋_GB2312" w:hAnsi="仿宋" w:eastAsia="仿宋_GB2312" w:cs="仿宋"/>
          <w:b/>
          <w:color w:val="000000"/>
          <w:sz w:val="32"/>
          <w:szCs w:val="32"/>
        </w:rPr>
        <w:t>打造中部先进制造业发展带</w:t>
      </w:r>
      <w:bookmarkEnd w:id="67"/>
      <w:r>
        <w:rPr>
          <w:rFonts w:hint="eastAsia" w:ascii="仿宋_GB2312" w:hAnsi="仿宋" w:eastAsia="仿宋_GB2312" w:cs="仿宋"/>
          <w:b/>
          <w:color w:val="000000"/>
          <w:sz w:val="32"/>
          <w:szCs w:val="32"/>
        </w:rPr>
        <w:t>。</w:t>
      </w:r>
      <w:r>
        <w:rPr>
          <w:rFonts w:hint="eastAsia" w:ascii="仿宋_GB2312" w:hAnsi="仿宋" w:eastAsia="仿宋_GB2312" w:cs="仿宋"/>
          <w:bCs/>
          <w:color w:val="000000"/>
          <w:sz w:val="32"/>
          <w:szCs w:val="32"/>
        </w:rPr>
        <w:t>依托甬莞高速、国道G324等交通干线，自西向东串联海丰生态科技城、深汕特别合作区拓展区、星都经济开发区、陆丰城区、博美镇、南塘镇等，重点依托</w:t>
      </w:r>
      <w:r>
        <w:rPr>
          <w:rFonts w:hint="eastAsia" w:ascii="仿宋_GB2312" w:eastAsia="仿宋_GB2312"/>
          <w:sz w:val="32"/>
          <w:szCs w:val="32"/>
        </w:rPr>
        <w:t>海丰生态科技城、深山特别合作区拓展区、星都经济开发区等平台，积极承接“双区”产业转移和辐射，围绕重点产业链关键环节</w:t>
      </w:r>
      <w:r>
        <w:rPr>
          <w:rFonts w:hint="eastAsia" w:ascii="仿宋_GB2312" w:eastAsia="仿宋_GB2312"/>
          <w:sz w:val="32"/>
          <w:szCs w:val="32"/>
          <w:u w:val="none"/>
        </w:rPr>
        <w:t>加快建链补链强链延链</w:t>
      </w:r>
      <w:r>
        <w:rPr>
          <w:rFonts w:hint="eastAsia" w:ascii="仿宋_GB2312" w:eastAsia="仿宋_GB2312"/>
          <w:sz w:val="32"/>
          <w:szCs w:val="32"/>
        </w:rPr>
        <w:t>，引入研发设计、创新创意等高端资源，深入推进纺织服装、珠宝首饰、食品加工等优势传统产业智能化改造，</w:t>
      </w:r>
      <w:r>
        <w:rPr>
          <w:rFonts w:hint="eastAsia" w:ascii="仿宋_GB2312" w:hAnsi="仿宋" w:eastAsia="仿宋_GB2312" w:cs="仿宋"/>
          <w:bCs/>
          <w:color w:val="000000"/>
          <w:sz w:val="32"/>
          <w:szCs w:val="32"/>
        </w:rPr>
        <w:t>在提升传统优势产业竞争力的同时，重点发展精密与技术装备制造、电子信息、生物制药等产业，打造中部先进制造业发展带，建设全市制造业发展新增长极，为中部崛起提供支撑。</w:t>
      </w:r>
    </w:p>
    <w:p>
      <w:pPr>
        <w:ind w:firstLine="643" w:firstLineChars="200"/>
        <w:contextualSpacing/>
        <w:rPr>
          <w:rFonts w:ascii="仿宋_GB2312" w:hAnsi="仿宋" w:eastAsia="仿宋_GB2312" w:cs="仿宋"/>
          <w:bCs/>
          <w:color w:val="000000"/>
          <w:sz w:val="32"/>
          <w:szCs w:val="32"/>
        </w:rPr>
      </w:pPr>
      <w:r>
        <w:rPr>
          <w:rFonts w:hint="eastAsia" w:ascii="仿宋_GB2312" w:eastAsia="仿宋_GB2312"/>
          <w:b/>
          <w:bCs/>
          <w:sz w:val="32"/>
          <w:szCs w:val="32"/>
        </w:rPr>
        <w:t>打造北部绿色制造业发展带。</w:t>
      </w:r>
      <w:r>
        <w:rPr>
          <w:rFonts w:hint="eastAsia" w:ascii="仿宋_GB2312" w:hAnsi="仿宋" w:eastAsia="仿宋_GB2312" w:cs="仿宋"/>
          <w:bCs/>
          <w:color w:val="000000"/>
          <w:sz w:val="32"/>
          <w:szCs w:val="32"/>
        </w:rPr>
        <w:t>依托陆河县和陆丰市北部地区，按照产业生态化和生态产业化的思路，依托陆河产业转移工业园等产业发展平台，创新园区运营管理模式，大力发展新能源汽车、建筑装饰、新材料、食品加工、生物医药等特色产业集群，打造北部绿色制造发展带。推行北部生态区全域绿色制造，加快改造升级传统产业，引导制造业集中入园发展，严格执行环保、投入、产出、用地等刚性约束标准，促进园区绿色高效发展。全力推动北部绿色制造发展带融入“双驱驱动”“双城联动”发展新格局，深化与大湾区核心城市在制造业创新发展领域的深度对接合作，加快承接大湾区先进装备制造、信息技术、新能源、新材料等产业转移，擦亮生态制造名片。</w:t>
      </w:r>
    </w:p>
    <w:p>
      <w:pPr>
        <w:contextualSpacing/>
        <w:rPr>
          <w:rFonts w:ascii="仿宋_GB2312" w:hAnsi="仿宋" w:eastAsia="仿宋_GB2312" w:cs="仿宋"/>
          <w:bCs/>
          <w:color w:val="000000"/>
          <w:sz w:val="32"/>
          <w:szCs w:val="32"/>
        </w:rPr>
      </w:pPr>
      <w:r>
        <w:drawing>
          <wp:inline distT="0" distB="0" distL="0" distR="0">
            <wp:extent cx="5274310" cy="37312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731260"/>
                    </a:xfrm>
                    <a:prstGeom prst="rect">
                      <a:avLst/>
                    </a:prstGeom>
                    <a:noFill/>
                    <a:ln>
                      <a:noFill/>
                    </a:ln>
                  </pic:spPr>
                </pic:pic>
              </a:graphicData>
            </a:graphic>
          </wp:inline>
        </w:drawing>
      </w:r>
    </w:p>
    <w:p>
      <w:pPr>
        <w:contextualSpacing/>
        <w:jc w:val="center"/>
        <w:rPr>
          <w:rFonts w:cs="仿宋" w:asciiTheme="minorEastAsia" w:hAnsiTheme="minorEastAsia" w:eastAsiaTheme="minorEastAsia"/>
          <w:b/>
          <w:color w:val="000000"/>
          <w:sz w:val="30"/>
          <w:szCs w:val="30"/>
        </w:rPr>
      </w:pPr>
      <w:r>
        <w:rPr>
          <w:rFonts w:hint="eastAsia" w:cs="仿宋" w:asciiTheme="minorEastAsia" w:hAnsiTheme="minorEastAsia" w:eastAsiaTheme="minorEastAsia"/>
          <w:b/>
          <w:color w:val="000000"/>
          <w:sz w:val="30"/>
          <w:szCs w:val="30"/>
        </w:rPr>
        <w:t>图1</w:t>
      </w:r>
      <w:r>
        <w:rPr>
          <w:rFonts w:cs="仿宋" w:asciiTheme="minorEastAsia" w:hAnsiTheme="minorEastAsia" w:eastAsiaTheme="minorEastAsia"/>
          <w:b/>
          <w:color w:val="000000"/>
          <w:sz w:val="30"/>
          <w:szCs w:val="30"/>
        </w:rPr>
        <w:t xml:space="preserve">  </w:t>
      </w:r>
      <w:r>
        <w:rPr>
          <w:rFonts w:hint="eastAsia" w:cs="仿宋" w:asciiTheme="minorEastAsia" w:hAnsiTheme="minorEastAsia" w:eastAsiaTheme="minorEastAsia"/>
          <w:b/>
          <w:color w:val="000000"/>
          <w:sz w:val="30"/>
          <w:szCs w:val="30"/>
        </w:rPr>
        <w:t>汕尾制造业发展总体空间布局</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bookmarkStart w:id="68" w:name="_Hlk60825595"/>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12 </w:t>
            </w:r>
            <w:r>
              <w:rPr>
                <w:rFonts w:hint="eastAsia" w:ascii="黑体" w:hAnsi="黑体" w:eastAsia="黑体"/>
                <w:color w:val="000000" w:themeColor="text1"/>
                <w:sz w:val="30"/>
                <w:szCs w:val="30"/>
                <w14:textFill>
                  <w14:solidFill>
                    <w14:schemeClr w14:val="tx1"/>
                  </w14:solidFill>
                </w14:textFill>
              </w:rPr>
              <w:t>打造“万亩千亿”产业平台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依托现有产业园区，集中优势资源，推进工业园区空间整合优化，加快产业园区基础设施建设，优化园区营商环境，提高产业平台承载能力，建设一批“万亩千亿”的高能级产业发展平台。产业园区投入基础设施建设资金达1</w:t>
            </w:r>
            <w:r>
              <w:rPr>
                <w:rFonts w:ascii="宋体" w:hAnsi="宋体"/>
                <w:color w:val="000000" w:themeColor="text1"/>
                <w:sz w:val="28"/>
                <w:szCs w:val="28"/>
                <w14:textFill>
                  <w14:solidFill>
                    <w14:schemeClr w14:val="tx1"/>
                  </w14:solidFill>
                </w14:textFill>
              </w:rPr>
              <w:t>50</w:t>
            </w:r>
            <w:r>
              <w:rPr>
                <w:rFonts w:hint="eastAsia" w:ascii="宋体" w:hAnsi="宋体"/>
                <w:color w:val="000000" w:themeColor="text1"/>
                <w:sz w:val="28"/>
                <w:szCs w:val="28"/>
                <w14:textFill>
                  <w14:solidFill>
                    <w14:schemeClr w14:val="tx1"/>
                  </w14:solidFill>
                </w14:textFill>
              </w:rPr>
              <w:t>亿元以上，总投资额超过</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00亿元，到2025年产值达1900亿元。</w:t>
            </w:r>
          </w:p>
          <w:p>
            <w:pPr>
              <w:spacing w:line="400" w:lineRule="exact"/>
              <w:ind w:firstLine="562" w:firstLineChars="200"/>
              <w:rPr>
                <w:rFonts w:ascii="宋体" w:hAnsi="宋体"/>
                <w:color w:val="000000" w:themeColor="text1"/>
                <w:sz w:val="28"/>
                <w:szCs w:val="28"/>
                <w14:textFill>
                  <w14:solidFill>
                    <w14:schemeClr w14:val="tx1"/>
                  </w14:solidFill>
                </w14:textFill>
              </w:rPr>
            </w:pPr>
            <w:bookmarkStart w:id="69" w:name="_Hlk78102755"/>
            <w:r>
              <w:rPr>
                <w:rFonts w:hint="eastAsia" w:ascii="宋体" w:hAnsi="宋体"/>
                <w:b/>
                <w:bCs/>
                <w:color w:val="000000" w:themeColor="text1"/>
                <w:sz w:val="28"/>
                <w:szCs w:val="28"/>
                <w14:textFill>
                  <w14:solidFill>
                    <w14:schemeClr w14:val="tx1"/>
                  </w14:solidFill>
                </w14:textFill>
              </w:rPr>
              <w:t>高端新型电子信息产业平台：</w:t>
            </w:r>
            <w:r>
              <w:rPr>
                <w:rFonts w:hint="eastAsia" w:ascii="宋体" w:hAnsi="宋体"/>
                <w:color w:val="000000" w:themeColor="text1"/>
                <w:sz w:val="28"/>
                <w:szCs w:val="28"/>
                <w14:textFill>
                  <w14:solidFill>
                    <w14:schemeClr w14:val="tx1"/>
                  </w14:solidFill>
                </w14:textFill>
              </w:rPr>
              <w:t>依托汕尾高新区，打造高端新型电子信息、新能源新材料、生物医药的百亿级产业平台。“十四五”期间投入基础设施建设资金</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55</w:t>
            </w:r>
            <w:r>
              <w:rPr>
                <w:rFonts w:hint="eastAsia" w:ascii="宋体" w:hAnsi="宋体"/>
                <w:color w:val="000000" w:themeColor="text1"/>
                <w:sz w:val="28"/>
                <w:szCs w:val="28"/>
                <w14:textFill>
                  <w14:solidFill>
                    <w14:schemeClr w14:val="tx1"/>
                  </w14:solidFill>
                </w14:textFill>
              </w:rPr>
              <w:t>0亿元，到2025年产值达800亿元。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绿色石化产业发展平台：</w:t>
            </w:r>
            <w:r>
              <w:rPr>
                <w:rFonts w:hint="eastAsia" w:ascii="宋体" w:hAnsi="宋体"/>
                <w:color w:val="000000" w:themeColor="text1"/>
                <w:sz w:val="28"/>
                <w:szCs w:val="28"/>
                <w:u w:val="none"/>
                <w14:textFill>
                  <w14:solidFill>
                    <w14:schemeClr w14:val="tx1"/>
                  </w14:solidFill>
                </w14:textFill>
              </w:rPr>
              <w:t>依托大南海石化汕尾基地</w:t>
            </w:r>
            <w:r>
              <w:rPr>
                <w:rFonts w:hint="eastAsia" w:ascii="宋体" w:hAnsi="宋体"/>
                <w:color w:val="000000" w:themeColor="text1"/>
                <w:sz w:val="28"/>
                <w:szCs w:val="28"/>
                <w14:textFill>
                  <w14:solidFill>
                    <w14:schemeClr w14:val="tx1"/>
                  </w14:solidFill>
                </w14:textFill>
              </w:rPr>
              <w:t>，打造百亿级绿色石化产业平台。“十四五”期间投入基础设施建设资金2</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0亿元，到2025年产值达200亿元。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智能装备制造产业发展平台：</w:t>
            </w:r>
            <w:r>
              <w:rPr>
                <w:rFonts w:hint="eastAsia" w:ascii="宋体" w:hAnsi="宋体"/>
                <w:color w:val="000000" w:themeColor="text1"/>
                <w:sz w:val="28"/>
                <w:szCs w:val="28"/>
                <w14:textFill>
                  <w14:solidFill>
                    <w14:schemeClr w14:val="tx1"/>
                  </w14:solidFill>
                </w14:textFill>
              </w:rPr>
              <w:t>依托深汕特别合作区拓展区，打造百亿级智能装备制造产业平台。“十四五”期间投入基础设施建设资金</w:t>
            </w:r>
            <w:r>
              <w:rPr>
                <w:rFonts w:ascii="宋体" w:hAnsi="宋体"/>
                <w:color w:val="000000" w:themeColor="text1"/>
                <w:sz w:val="28"/>
                <w:szCs w:val="28"/>
                <w14:textFill>
                  <w14:solidFill>
                    <w14:schemeClr w14:val="tx1"/>
                  </w14:solidFill>
                </w14:textFill>
              </w:rPr>
              <w:t>25</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30</w:t>
            </w:r>
            <w:r>
              <w:rPr>
                <w:rFonts w:hint="eastAsia" w:ascii="宋体" w:hAnsi="宋体"/>
                <w:color w:val="000000" w:themeColor="text1"/>
                <w:sz w:val="28"/>
                <w:szCs w:val="28"/>
                <w14:textFill>
                  <w14:solidFill>
                    <w14:schemeClr w14:val="tx1"/>
                  </w14:solidFill>
                </w14:textFill>
              </w:rPr>
              <w:t>0亿元，到2025年产值达100亿元。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新能源汽车产业发展平台：</w:t>
            </w:r>
            <w:r>
              <w:rPr>
                <w:rFonts w:hint="eastAsia" w:ascii="宋体" w:hAnsi="宋体"/>
                <w:color w:val="000000" w:themeColor="text1"/>
                <w:sz w:val="28"/>
                <w:szCs w:val="28"/>
                <w14:textFill>
                  <w14:solidFill>
                    <w14:schemeClr w14:val="tx1"/>
                  </w14:solidFill>
                </w14:textFill>
              </w:rPr>
              <w:t>依托陆河产业转移工业园，打造以新能源汽车为主、建筑装饰材料产业共同发展的百亿级产业平台。“十四五”期间投入基础设施建设资金3</w:t>
            </w:r>
            <w:r>
              <w:rPr>
                <w:rFonts w:ascii="宋体" w:hAnsi="宋体"/>
                <w:color w:val="000000" w:themeColor="text1"/>
                <w:sz w:val="28"/>
                <w:szCs w:val="28"/>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35</w:t>
            </w:r>
            <w:r>
              <w:rPr>
                <w:rFonts w:hint="eastAsia" w:ascii="宋体" w:hAnsi="宋体"/>
                <w:color w:val="000000" w:themeColor="text1"/>
                <w:sz w:val="28"/>
                <w:szCs w:val="28"/>
                <w14:textFill>
                  <w14:solidFill>
                    <w14:schemeClr w14:val="tx1"/>
                  </w14:solidFill>
                </w14:textFill>
              </w:rPr>
              <w:t>0亿元，到2025年产值达200亿元。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cs="宋体"/>
                <w:b/>
                <w:bCs/>
                <w:kern w:val="0"/>
                <w:sz w:val="28"/>
                <w:szCs w:val="28"/>
              </w:rPr>
              <w:t>陆丰海洋工程装备制造产业平台：</w:t>
            </w:r>
            <w:r>
              <w:rPr>
                <w:rFonts w:hint="eastAsia" w:ascii="宋体" w:hAnsi="宋体" w:cs="宋体"/>
                <w:kern w:val="0"/>
                <w:sz w:val="28"/>
                <w:szCs w:val="28"/>
              </w:rPr>
              <w:t>依托陆丰临港产业园，打造发展海洋工程装备制造产业为主的百亿级产业平台。“十四五”期间投入基础设施建设资金20亿元，项目总投资额超过500亿元，</w:t>
            </w:r>
            <w:r>
              <w:rPr>
                <w:rFonts w:hint="eastAsia" w:ascii="宋体" w:hAnsi="宋体"/>
                <w:color w:val="000000" w:themeColor="text1"/>
                <w:sz w:val="28"/>
                <w:szCs w:val="28"/>
                <w14:textFill>
                  <w14:solidFill>
                    <w14:schemeClr w14:val="tx1"/>
                  </w14:solidFill>
                </w14:textFill>
              </w:rPr>
              <w:t>到2025年产值达500亿元。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cs="宋体"/>
                <w:b/>
                <w:bCs/>
                <w:kern w:val="0"/>
                <w:sz w:val="28"/>
                <w:szCs w:val="28"/>
              </w:rPr>
              <w:t>精密技术装备制造产业平台：</w:t>
            </w:r>
            <w:r>
              <w:rPr>
                <w:rFonts w:hint="eastAsia" w:ascii="宋体" w:hAnsi="宋体" w:cs="宋体"/>
                <w:kern w:val="0"/>
                <w:sz w:val="28"/>
                <w:szCs w:val="28"/>
              </w:rPr>
              <w:t>依托海丰产业转移工业园，打造精密与技术装备制造为主，服装及珠宝首饰产业共同发展的百亿级产业平台。“十四五”期间投入基础设施建设资金20亿元，项目总投资额超过250亿元，</w:t>
            </w:r>
            <w:r>
              <w:rPr>
                <w:rFonts w:hint="eastAsia" w:ascii="宋体" w:hAnsi="宋体"/>
                <w:color w:val="000000" w:themeColor="text1"/>
                <w:sz w:val="28"/>
                <w:szCs w:val="28"/>
                <w14:textFill>
                  <w14:solidFill>
                    <w14:schemeClr w14:val="tx1"/>
                  </w14:solidFill>
                </w14:textFill>
              </w:rPr>
              <w:t>到2025年产值达100亿元。</w:t>
            </w:r>
            <w:bookmarkEnd w:id="69"/>
          </w:p>
        </w:tc>
      </w:tr>
      <w:bookmarkEnd w:id="68"/>
    </w:tbl>
    <w:p>
      <w:pPr>
        <w:ind w:firstLine="640" w:firstLineChars="200"/>
        <w:outlineLvl w:val="1"/>
        <w:rPr>
          <w:rFonts w:ascii="仿宋_GB2312" w:hAnsi="仿宋" w:eastAsia="仿宋_GB2312" w:cs="仿宋"/>
          <w:b/>
          <w:color w:val="000000"/>
          <w:sz w:val="32"/>
          <w:szCs w:val="32"/>
        </w:rPr>
      </w:pPr>
      <w:bookmarkStart w:id="70" w:name="_Toc16241"/>
      <w:r>
        <w:rPr>
          <w:rFonts w:hint="eastAsia" w:ascii="楷体_GB2312" w:hAnsi="仿宋" w:eastAsia="楷体_GB2312" w:cs="仿宋"/>
          <w:bCs/>
          <w:color w:val="000000"/>
          <w:sz w:val="32"/>
          <w:szCs w:val="32"/>
        </w:rPr>
        <w:t>（二）推动产业基础高级化，建设具有竞争力的产业集群和企业集群</w:t>
      </w:r>
      <w:bookmarkEnd w:id="70"/>
    </w:p>
    <w:p>
      <w:pPr>
        <w:spacing w:line="600" w:lineRule="exact"/>
        <w:ind w:firstLine="643" w:firstLineChars="200"/>
        <w:outlineLvl w:val="2"/>
        <w:rPr>
          <w:rFonts w:ascii="仿宋_GB2312" w:hAnsi="仿宋" w:eastAsia="仿宋_GB2312" w:cs="仿宋"/>
          <w:b/>
          <w:color w:val="000000"/>
          <w:sz w:val="32"/>
          <w:szCs w:val="32"/>
        </w:rPr>
      </w:pPr>
      <w:bookmarkStart w:id="71" w:name="_Toc3184"/>
      <w:r>
        <w:rPr>
          <w:rFonts w:hint="eastAsia" w:ascii="仿宋_GB2312" w:hAnsi="仿宋" w:eastAsia="仿宋_GB2312" w:cs="仿宋"/>
          <w:b/>
          <w:color w:val="000000"/>
          <w:sz w:val="32"/>
          <w:szCs w:val="32"/>
        </w:rPr>
        <w:t>1.推动产业基础高级化</w:t>
      </w:r>
      <w:bookmarkEnd w:id="71"/>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实施产业基础再造工程，打好产业基础高级化攻坚战。聚焦产业发展重点领域，加快梳理核心基础零部件、核心电子元器件、工业基础软件、关键基础材料、先进基础工艺和产业技术基础的短板和</w:t>
      </w:r>
      <w:r>
        <w:rPr>
          <w:rFonts w:hint="eastAsia" w:ascii="仿宋_GB2312" w:hAnsi="仿宋" w:eastAsia="仿宋_GB2312" w:cs="仿宋"/>
          <w:bCs/>
          <w:color w:val="000000"/>
          <w:sz w:val="32"/>
          <w:szCs w:val="32"/>
          <w:lang w:eastAsia="zh-CN"/>
        </w:rPr>
        <w:t>“</w:t>
      </w:r>
      <w:r>
        <w:rPr>
          <w:rFonts w:hint="eastAsia" w:ascii="仿宋_GB2312" w:hAnsi="仿宋" w:eastAsia="仿宋_GB2312" w:cs="仿宋"/>
          <w:bCs/>
          <w:color w:val="000000"/>
          <w:sz w:val="32"/>
          <w:szCs w:val="32"/>
        </w:rPr>
        <w:t>卡脖子</w:t>
      </w:r>
      <w:r>
        <w:rPr>
          <w:rFonts w:hint="eastAsia" w:ascii="仿宋_GB2312" w:hAnsi="仿宋" w:eastAsia="仿宋_GB2312" w:cs="仿宋"/>
          <w:bCs/>
          <w:color w:val="000000"/>
          <w:sz w:val="32"/>
          <w:szCs w:val="32"/>
          <w:lang w:eastAsia="zh-CN"/>
        </w:rPr>
        <w:t>”</w:t>
      </w:r>
      <w:r>
        <w:rPr>
          <w:rFonts w:hint="eastAsia" w:ascii="仿宋_GB2312" w:hAnsi="仿宋" w:eastAsia="仿宋_GB2312" w:cs="仿宋"/>
          <w:bCs/>
          <w:color w:val="000000"/>
          <w:sz w:val="32"/>
          <w:szCs w:val="32"/>
        </w:rPr>
        <w:t>问题，联合大湾区高校、科研院所、龙头企业以及央企等开展攻关突破，加快“六基”重点项目工程化、产业化，支持制造业基础产品和技术首台套、首批次、首版次应用推广。</w:t>
      </w:r>
    </w:p>
    <w:p>
      <w:pPr>
        <w:spacing w:line="600" w:lineRule="exact"/>
        <w:ind w:firstLine="643" w:firstLineChars="200"/>
        <w:outlineLvl w:val="2"/>
        <w:rPr>
          <w:rFonts w:ascii="仿宋_GB2312" w:hAnsi="仿宋" w:eastAsia="仿宋_GB2312" w:cs="仿宋"/>
          <w:b/>
          <w:color w:val="000000"/>
          <w:sz w:val="32"/>
          <w:szCs w:val="32"/>
        </w:rPr>
      </w:pPr>
      <w:bookmarkStart w:id="72" w:name="_Toc31229"/>
      <w:bookmarkStart w:id="73" w:name="_Hlk60750386"/>
      <w:r>
        <w:rPr>
          <w:rFonts w:hint="eastAsia" w:ascii="仿宋_GB2312" w:hAnsi="仿宋" w:eastAsia="仿宋_GB2312" w:cs="仿宋"/>
          <w:b/>
          <w:color w:val="000000"/>
          <w:sz w:val="32"/>
          <w:szCs w:val="32"/>
        </w:rPr>
        <w:t>2.培育战略性产业集群</w:t>
      </w:r>
      <w:bookmarkEnd w:id="72"/>
      <w:bookmarkEnd w:id="73"/>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壮大电子信息、新能源汽车、电力能源、海洋工程及装备制造、绿色石化等产业，打造多点支撑、具有竞争力的战略性主导产业体系。培育发展数字经济、电力能源、海洋生物、新材料、智能机器人等战略性新兴产业集群，为粤港澳大湾区战略性新兴产业发展提供配套。加快推进纺织服装、金银珠宝首饰、现代农业与食品加工产业转型发展，培育一批百亿级、在全国拥有品牌知名度的特色产业集群。</w:t>
      </w:r>
    </w:p>
    <w:p>
      <w:pPr>
        <w:spacing w:line="600" w:lineRule="exact"/>
        <w:ind w:firstLine="643" w:firstLineChars="200"/>
        <w:outlineLvl w:val="2"/>
        <w:rPr>
          <w:rFonts w:ascii="仿宋_GB2312" w:hAnsi="仿宋" w:eastAsia="仿宋_GB2312" w:cs="仿宋"/>
          <w:b/>
          <w:color w:val="000000"/>
          <w:sz w:val="32"/>
          <w:szCs w:val="32"/>
        </w:rPr>
      </w:pPr>
      <w:bookmarkStart w:id="74" w:name="_Toc23466"/>
      <w:r>
        <w:rPr>
          <w:rFonts w:hint="eastAsia" w:ascii="仿宋_GB2312" w:hAnsi="仿宋" w:eastAsia="仿宋_GB2312" w:cs="仿宋"/>
          <w:b/>
          <w:color w:val="000000"/>
          <w:sz w:val="32"/>
          <w:szCs w:val="32"/>
        </w:rPr>
        <w:t>3.壮大制造企业集群</w:t>
      </w:r>
      <w:bookmarkEnd w:id="74"/>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骨干企业培育工程，在电子信息、新能源汽车、临港工业、5G与大数据等重要行业和关键领域，鼓励龙头企业通过兼并、收购、联合等方式进行强强联合和上下游一体化经营，加快培育一批资源配置能力强、国际国内市场占有率高、具有核心竞争力的企业。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年，努力培育</w:t>
      </w:r>
      <w:r>
        <w:rPr>
          <w:rFonts w:ascii="仿宋_GB2312" w:hAnsi="仿宋" w:eastAsia="仿宋_GB2312" w:cs="仿宋"/>
          <w:bCs/>
          <w:color w:val="000000"/>
          <w:sz w:val="32"/>
          <w:szCs w:val="32"/>
        </w:rPr>
        <w:t>4</w:t>
      </w:r>
      <w:r>
        <w:rPr>
          <w:rFonts w:hint="eastAsia" w:ascii="仿宋_GB2312" w:hAnsi="仿宋" w:eastAsia="仿宋_GB2312" w:cs="仿宋"/>
          <w:bCs/>
          <w:color w:val="000000"/>
          <w:sz w:val="32"/>
          <w:szCs w:val="32"/>
        </w:rPr>
        <w:t>家百亿元以上航母企业、</w:t>
      </w:r>
      <w:r>
        <w:rPr>
          <w:rFonts w:ascii="仿宋_GB2312" w:hAnsi="仿宋" w:eastAsia="仿宋_GB2312" w:cs="仿宋"/>
          <w:bCs/>
          <w:color w:val="000000"/>
          <w:sz w:val="32"/>
          <w:szCs w:val="32"/>
        </w:rPr>
        <w:t>10</w:t>
      </w:r>
      <w:r>
        <w:rPr>
          <w:rFonts w:hint="eastAsia" w:ascii="仿宋_GB2312" w:hAnsi="仿宋" w:eastAsia="仿宋_GB2312" w:cs="仿宋"/>
          <w:bCs/>
          <w:color w:val="000000"/>
          <w:sz w:val="32"/>
          <w:szCs w:val="32"/>
        </w:rPr>
        <w:t>家50亿元以上旗舰型企业。实施科技型中小企业快速成长计划，在细分行业选择一批基础较好、潜力较大、具有一定行业带动性的企业重点培育成为“行业巨人”。到202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年，全市培育5家“小巨人”科技型企业，培育5家科技型中小企业成长为“隐形冠军”。支持中小制造企业走“专精特新”发展之路，力争202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年全市经省认定“专精特新”企业达到15家以上。落实鼓励企业技术创新的税收优惠政策，加大对企业自主创新的金融支持，力争到202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年，新增国家科技型中小企业240家、</w:t>
      </w:r>
      <w:r>
        <w:rPr>
          <w:rFonts w:hint="eastAsia" w:ascii="仿宋_GB2312" w:hAnsi="仿宋" w:eastAsia="仿宋_GB2312" w:cs="仿宋"/>
          <w:bCs/>
          <w:color w:val="000000"/>
          <w:sz w:val="32"/>
          <w:szCs w:val="32"/>
          <w:u w:val="none"/>
        </w:rPr>
        <w:t>国家高新技术企业1</w:t>
      </w:r>
      <w:r>
        <w:rPr>
          <w:rFonts w:ascii="仿宋_GB2312" w:hAnsi="仿宋" w:eastAsia="仿宋_GB2312" w:cs="仿宋"/>
          <w:bCs/>
          <w:color w:val="000000"/>
          <w:sz w:val="32"/>
          <w:szCs w:val="32"/>
          <w:u w:val="none"/>
        </w:rPr>
        <w:t>14</w:t>
      </w:r>
      <w:r>
        <w:rPr>
          <w:rFonts w:hint="eastAsia" w:ascii="仿宋_GB2312" w:hAnsi="仿宋" w:eastAsia="仿宋_GB2312" w:cs="仿宋"/>
          <w:bCs/>
          <w:color w:val="000000"/>
          <w:sz w:val="32"/>
          <w:szCs w:val="32"/>
          <w:u w:val="none"/>
        </w:rPr>
        <w:t>家以上。</w:t>
      </w:r>
      <w:r>
        <w:rPr>
          <w:rFonts w:hint="eastAsia" w:ascii="仿宋_GB2312" w:hAnsi="仿宋" w:eastAsia="仿宋_GB2312" w:cs="仿宋"/>
          <w:bCs/>
          <w:color w:val="000000"/>
          <w:sz w:val="32"/>
          <w:szCs w:val="32"/>
        </w:rPr>
        <w:t>大力推动个转企、小升规、规改股、股上市，到202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年全市新增“个转企”2500家，培育“四上”企业750家，股份制改造30家，区域性股权挂牌200家，新三板挂牌企业2家，上市公司2家。</w:t>
      </w:r>
    </w:p>
    <w:p>
      <w:pPr>
        <w:ind w:firstLine="610"/>
        <w:contextualSpacing/>
        <w:outlineLvl w:val="1"/>
        <w:rPr>
          <w:rFonts w:ascii="楷体_GB2312" w:hAnsi="仿宋" w:eastAsia="楷体_GB2312" w:cs="仿宋"/>
          <w:bCs/>
          <w:color w:val="000000"/>
          <w:sz w:val="32"/>
          <w:szCs w:val="32"/>
        </w:rPr>
      </w:pPr>
      <w:bookmarkStart w:id="75" w:name="_Toc32726"/>
      <w:bookmarkStart w:id="76" w:name="_Hlk60780983"/>
      <w:r>
        <w:rPr>
          <w:rFonts w:hint="eastAsia" w:ascii="楷体_GB2312" w:hAnsi="仿宋" w:eastAsia="楷体_GB2312" w:cs="仿宋"/>
          <w:bCs/>
          <w:color w:val="000000"/>
          <w:sz w:val="32"/>
          <w:szCs w:val="32"/>
        </w:rPr>
        <w:t>（三）加快关键核心技术攻关和成果转化，提升制造业创新能力</w:t>
      </w:r>
      <w:bookmarkEnd w:id="75"/>
    </w:p>
    <w:p>
      <w:pPr>
        <w:spacing w:line="600" w:lineRule="exact"/>
        <w:ind w:firstLine="643" w:firstLineChars="200"/>
        <w:outlineLvl w:val="2"/>
        <w:rPr>
          <w:rFonts w:ascii="仿宋_GB2312" w:hAnsi="仿宋" w:eastAsia="仿宋_GB2312" w:cs="仿宋"/>
          <w:b/>
          <w:color w:val="000000"/>
          <w:sz w:val="32"/>
          <w:szCs w:val="32"/>
        </w:rPr>
      </w:pPr>
      <w:bookmarkStart w:id="77" w:name="_Toc7977"/>
      <w:r>
        <w:rPr>
          <w:rFonts w:hint="eastAsia" w:ascii="仿宋_GB2312" w:hAnsi="仿宋" w:eastAsia="仿宋_GB2312" w:cs="仿宋"/>
          <w:b/>
          <w:color w:val="000000"/>
          <w:sz w:val="32"/>
          <w:szCs w:val="32"/>
        </w:rPr>
        <w:t>1.切实加强关键核心技术攻关</w:t>
      </w:r>
      <w:bookmarkEnd w:id="77"/>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梳理全市制造业重点行业技术创新需求，对接省重点领域研发、揭榜制、“大专项+任务清单”科技计划，鼓励支持龙头企业和科研平台对接省科技战略任务，在新一代信息技术、新能源汽车、高端装备制造、新能源、新材料、生物医药、海洋产业等领域实施关键核心技术攻关，支持关键技术产品供需对接和应用推广。以智能制造为主攻方向，加快推进企业技术改造，提升企业自主创新能力。“十四五”期间，工业技改投资年均增长</w:t>
      </w:r>
      <w:r>
        <w:rPr>
          <w:rFonts w:hint="eastAsia" w:ascii="仿宋_GB2312" w:hAnsi="仿宋" w:eastAsia="仿宋_GB2312" w:cs="仿宋"/>
          <w:bCs/>
          <w:color w:val="000000"/>
          <w:sz w:val="32"/>
          <w:szCs w:val="32"/>
          <w:lang w:val="en-US" w:eastAsia="zh-CN"/>
        </w:rPr>
        <w:t>9</w:t>
      </w:r>
      <w:r>
        <w:rPr>
          <w:rFonts w:hint="eastAsia" w:ascii="仿宋_GB2312" w:hAnsi="仿宋" w:eastAsia="仿宋_GB2312" w:cs="仿宋"/>
          <w:bCs/>
          <w:color w:val="000000"/>
          <w:sz w:val="32"/>
          <w:szCs w:val="32"/>
        </w:rPr>
        <w:t>%。</w:t>
      </w:r>
    </w:p>
    <w:p>
      <w:pPr>
        <w:spacing w:line="600" w:lineRule="exact"/>
        <w:ind w:firstLine="643" w:firstLineChars="200"/>
        <w:outlineLvl w:val="2"/>
        <w:rPr>
          <w:rFonts w:ascii="仿宋_GB2312" w:hAnsi="仿宋" w:eastAsia="仿宋_GB2312" w:cs="仿宋"/>
          <w:b/>
          <w:color w:val="000000"/>
          <w:sz w:val="32"/>
          <w:szCs w:val="32"/>
        </w:rPr>
      </w:pPr>
      <w:bookmarkStart w:id="78" w:name="_Toc10075"/>
      <w:r>
        <w:rPr>
          <w:rFonts w:hint="eastAsia" w:ascii="仿宋_GB2312" w:hAnsi="仿宋" w:eastAsia="仿宋_GB2312" w:cs="仿宋"/>
          <w:b/>
          <w:color w:val="000000"/>
          <w:sz w:val="32"/>
          <w:szCs w:val="32"/>
        </w:rPr>
        <w:t>2.构建制造业协同创新体系</w:t>
      </w:r>
      <w:bookmarkEnd w:id="78"/>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对标国家和省实验室，加快</w:t>
      </w:r>
      <w:bookmarkStart w:id="79" w:name="_Hlk55482755"/>
      <w:r>
        <w:rPr>
          <w:rFonts w:hint="eastAsia" w:ascii="仿宋_GB2312" w:hAnsi="仿宋" w:eastAsia="仿宋_GB2312" w:cs="仿宋"/>
          <w:bCs/>
          <w:color w:val="000000"/>
          <w:sz w:val="32"/>
          <w:szCs w:val="32"/>
        </w:rPr>
        <w:t>先进能源科学与技术广东省实验室汕尾分</w:t>
      </w:r>
      <w:bookmarkEnd w:id="79"/>
      <w:r>
        <w:rPr>
          <w:rFonts w:hint="eastAsia" w:ascii="仿宋_GB2312" w:hAnsi="仿宋" w:eastAsia="仿宋_GB2312" w:cs="仿宋"/>
          <w:bCs/>
          <w:color w:val="000000"/>
          <w:sz w:val="32"/>
          <w:szCs w:val="32"/>
        </w:rPr>
        <w:t>中心建设。积极对接深圳、广州等主要高校、科研院所以及央企等创新资源，推动大湾区高水平实验室及研究机构到我市设立分支机构，加快建设一批研发大平台，吸引集聚高端创新要素资源。支持企业加强省级重点实验室、省级工程技术研究中心、省级新型研发机构、省级企业技术中心创建和申报，加强市级企业研究开发中心、新型研发机构培育。加强与大院大所、央企合作，建设高水平科研机构和平台，推进产学研深度融合。依托比亚迪、信利、中广核等重点企业，吸纳产业链上下游企业，联合高校、科研院所，在技术标准、关键技术、专利保护、成果孵化转化等方面建立技术创新、知识产权与产业联盟，开展产学研用合作。以汕尾高新区、海丰生态科技城、陆丰产业转移工业园、陆河新河工业园等为依托，围绕制造业相关新技术、新业态、新模式、新场景，推进创新创业发展，完善“众创空间—孵化器—加速器—科技园”全链条孵化育成体系。鼓励政府和社会资本合作投资建设和运营孵化育成平台，支持孵化机构以市场化手段集聚创新团队、创业项目、风（创）投机构等各类要素，形成“苗圃—孵化—加速”的科创企业孵化链条和“多元化、集成式”的孵化模式。</w:t>
      </w:r>
    </w:p>
    <w:p>
      <w:pPr>
        <w:spacing w:line="600" w:lineRule="exact"/>
        <w:ind w:firstLine="643" w:firstLineChars="200"/>
        <w:outlineLvl w:val="2"/>
        <w:rPr>
          <w:rFonts w:ascii="仿宋_GB2312" w:hAnsi="仿宋" w:eastAsia="仿宋_GB2312" w:cs="仿宋"/>
          <w:b/>
          <w:color w:val="000000"/>
          <w:sz w:val="32"/>
          <w:szCs w:val="32"/>
        </w:rPr>
      </w:pPr>
      <w:bookmarkStart w:id="80" w:name="_Toc32561"/>
      <w:r>
        <w:rPr>
          <w:rFonts w:hint="eastAsia" w:ascii="仿宋_GB2312" w:hAnsi="仿宋" w:eastAsia="仿宋_GB2312" w:cs="仿宋"/>
          <w:b/>
          <w:color w:val="000000"/>
          <w:sz w:val="32"/>
          <w:szCs w:val="32"/>
        </w:rPr>
        <w:t>3.促进大湾区科技成果加速在汕尾转移转化</w:t>
      </w:r>
      <w:bookmarkEnd w:id="80"/>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打通科技成果转化与企业技术需求的连接通道，重点依托新型研发机构等，建立科技成果转移转化成果包和技术需求信息发布系统，组建汕尾市科技成果交易服务超市，形成科技成果竞价拍卖等多种技术交易模式，打造科技成果转移转化服务大平台。加快知识产权金融创新，利用国家专利技术（深圳）展示交易中心、深圳市知识产权运营中心网络平台，延伸为汕尾企业提供便利的知识产权申请、转让、受让等线上线下服务业务。支持制造业创新飞地建设，以产业链契合为切入点，依托现有电子信息、装备制造、珠宝首饰、纺织服装等产业基础，借助深圳人才、技术、共享科研设备等创新资源加快创建汕尾“创新岛”（深圳），大力引进税源制造企业、初创型企业进入“创新岛”孵化。支持龙头企业在深圳、广州等地建设创新研发飞地，积极对接广深高端创新资源，构建“研发设计在广深、转化落地在汕尾”的创新生态。</w:t>
      </w:r>
    </w:p>
    <w:p>
      <w:pPr>
        <w:ind w:firstLine="640" w:firstLineChars="200"/>
        <w:outlineLvl w:val="1"/>
        <w:rPr>
          <w:rFonts w:ascii="楷体_GB2312" w:hAnsi="仿宋" w:eastAsia="楷体_GB2312" w:cs="仿宋"/>
          <w:bCs/>
          <w:color w:val="000000"/>
          <w:sz w:val="32"/>
          <w:szCs w:val="32"/>
        </w:rPr>
      </w:pPr>
      <w:bookmarkStart w:id="81" w:name="_Toc32156"/>
      <w:r>
        <w:rPr>
          <w:rFonts w:hint="eastAsia" w:ascii="楷体_GB2312" w:hAnsi="仿宋" w:eastAsia="楷体_GB2312" w:cs="仿宋"/>
          <w:bCs/>
          <w:color w:val="000000"/>
          <w:sz w:val="32"/>
          <w:szCs w:val="32"/>
        </w:rPr>
        <w:t>（四）促进产业链现代化，打造融入“双区”的先进制造业基地</w:t>
      </w:r>
      <w:bookmarkEnd w:id="81"/>
    </w:p>
    <w:bookmarkEnd w:id="76"/>
    <w:p>
      <w:pPr>
        <w:spacing w:line="600" w:lineRule="exact"/>
        <w:ind w:firstLine="643" w:firstLineChars="200"/>
        <w:outlineLvl w:val="2"/>
        <w:rPr>
          <w:rFonts w:ascii="仿宋_GB2312" w:hAnsi="仿宋" w:eastAsia="仿宋_GB2312" w:cs="仿宋"/>
          <w:b/>
          <w:color w:val="000000"/>
          <w:sz w:val="32"/>
          <w:szCs w:val="32"/>
        </w:rPr>
      </w:pPr>
      <w:bookmarkStart w:id="82" w:name="_Toc11014"/>
      <w:r>
        <w:rPr>
          <w:rFonts w:hint="eastAsia" w:ascii="仿宋_GB2312" w:hAnsi="仿宋" w:eastAsia="仿宋_GB2312" w:cs="仿宋"/>
          <w:b/>
          <w:color w:val="000000"/>
          <w:sz w:val="32"/>
          <w:szCs w:val="32"/>
        </w:rPr>
        <w:t>1.建立安全高效的产业链供应链</w:t>
      </w:r>
      <w:bookmarkEnd w:id="82"/>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进一步深化“总部研发在珠三角、转化生产在汕尾”的产业共建模式，加强制造业产业链图谱研究，主动嵌入“双区”产业链供应链。加快引进培育链主企业和本土骨干企业，支持链主企业和本土骨干企业通过上下游产业协同、组建产业链供应链互保联盟等方式开展协同技术攻关和生产制造。依托信利、德昌电子、信元、</w:t>
      </w:r>
      <w:r>
        <w:rPr>
          <w:rFonts w:hint="eastAsia" w:ascii="仿宋_GB2312" w:hAnsi="仿宋" w:eastAsia="仿宋_GB2312" w:cs="仿宋"/>
          <w:bCs/>
          <w:color w:val="000000"/>
          <w:sz w:val="32"/>
          <w:szCs w:val="32"/>
          <w:u w:val="none"/>
        </w:rPr>
        <w:t>天贸、康佳等</w:t>
      </w:r>
      <w:r>
        <w:rPr>
          <w:rFonts w:hint="eastAsia" w:ascii="仿宋_GB2312" w:hAnsi="仿宋" w:eastAsia="仿宋_GB2312" w:cs="仿宋"/>
          <w:bCs/>
          <w:color w:val="000000"/>
          <w:sz w:val="32"/>
          <w:szCs w:val="32"/>
        </w:rPr>
        <w:t>龙头企业，做大做强电子零配件产业，与深莞惠通讯设备、计算机、家用视听设备等终端产品形成产业配套。加快完善电子信息纵向产业链，逐步向5G、IDC关联产业中下游制造业延伸；依托比亚迪等龙头企业，加快布局从零部件到整车制造的新能源汽车制造完整产业链，并向汽车智能配件、汽车内饰生产、新材料研发、汽车展销和物流、汽车金融服务等领域延伸。依托中广核、中天科技、明阳智能等龙头企业，加快完善海工装备制造产业链，逐步与“双区”临港化工、海工装备、海上风电等重型工业产业形成一体化布局、协同发展的产业发展格局。</w:t>
      </w:r>
      <w:r>
        <w:rPr>
          <w:rFonts w:ascii="仿宋_GB2312" w:hAnsi="仿宋" w:eastAsia="仿宋_GB2312" w:cs="仿宋"/>
          <w:bCs/>
          <w:color w:val="000000"/>
          <w:sz w:val="32"/>
          <w:szCs w:val="32"/>
        </w:rPr>
        <w:t>发展先进适用技术，</w:t>
      </w:r>
      <w:r>
        <w:rPr>
          <w:rFonts w:hint="eastAsia" w:ascii="仿宋_GB2312" w:hAnsi="仿宋" w:eastAsia="仿宋_GB2312" w:cs="仿宋"/>
          <w:bCs/>
          <w:color w:val="000000"/>
          <w:sz w:val="32"/>
          <w:szCs w:val="32"/>
        </w:rPr>
        <w:t>发挥深圳专业市场、研发设计、品牌运营、渠道开拓等优势和汕尾品质工厂优势，</w:t>
      </w:r>
      <w:r>
        <w:rPr>
          <w:rFonts w:ascii="仿宋_GB2312" w:hAnsi="仿宋" w:eastAsia="仿宋_GB2312" w:cs="仿宋"/>
          <w:bCs/>
          <w:color w:val="000000"/>
          <w:sz w:val="32"/>
          <w:szCs w:val="32"/>
        </w:rPr>
        <w:t>推动</w:t>
      </w:r>
      <w:r>
        <w:rPr>
          <w:rFonts w:hint="eastAsia" w:ascii="仿宋_GB2312" w:hAnsi="仿宋" w:eastAsia="仿宋_GB2312" w:cs="仿宋"/>
          <w:bCs/>
          <w:color w:val="000000"/>
          <w:sz w:val="32"/>
          <w:szCs w:val="32"/>
        </w:rPr>
        <w:t>纺织服装、金银珠宝首饰</w:t>
      </w:r>
      <w:r>
        <w:rPr>
          <w:rFonts w:ascii="仿宋_GB2312" w:hAnsi="仿宋" w:eastAsia="仿宋_GB2312" w:cs="仿宋"/>
          <w:bCs/>
          <w:color w:val="000000"/>
          <w:sz w:val="32"/>
          <w:szCs w:val="32"/>
        </w:rPr>
        <w:t>等传统产业向产业链高端、终端方向转型升级，形成具有更强创新</w:t>
      </w:r>
      <w:r>
        <w:rPr>
          <w:rFonts w:hint="eastAsia" w:ascii="仿宋_GB2312" w:hAnsi="仿宋" w:eastAsia="仿宋_GB2312" w:cs="仿宋"/>
          <w:bCs/>
          <w:color w:val="000000"/>
          <w:sz w:val="32"/>
          <w:szCs w:val="32"/>
        </w:rPr>
        <w:t>力</w:t>
      </w:r>
      <w:r>
        <w:rPr>
          <w:rFonts w:ascii="仿宋_GB2312" w:hAnsi="仿宋" w:eastAsia="仿宋_GB2312" w:cs="仿宋"/>
          <w:bCs/>
          <w:color w:val="000000"/>
          <w:sz w:val="32"/>
          <w:szCs w:val="32"/>
        </w:rPr>
        <w:t>、更高附加值、更安全可靠的产业链供应链。</w:t>
      </w:r>
    </w:p>
    <w:p>
      <w:pPr>
        <w:spacing w:line="600" w:lineRule="exact"/>
        <w:ind w:firstLine="643" w:firstLineChars="200"/>
        <w:outlineLvl w:val="2"/>
        <w:rPr>
          <w:rFonts w:ascii="仿宋_GB2312" w:hAnsi="仿宋" w:eastAsia="仿宋_GB2312" w:cs="仿宋"/>
          <w:b/>
          <w:color w:val="000000"/>
          <w:sz w:val="32"/>
          <w:szCs w:val="32"/>
        </w:rPr>
      </w:pPr>
      <w:bookmarkStart w:id="83" w:name="_Toc14707"/>
      <w:r>
        <w:rPr>
          <w:rFonts w:hint="eastAsia" w:ascii="仿宋_GB2312" w:hAnsi="仿宋" w:eastAsia="仿宋_GB2312" w:cs="仿宋"/>
          <w:b/>
          <w:color w:val="000000"/>
          <w:sz w:val="32"/>
          <w:szCs w:val="32"/>
        </w:rPr>
        <w:t>2.推进制造业数字化转型升级</w:t>
      </w:r>
      <w:bookmarkEnd w:id="83"/>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以智能制造为主攻方向，实施新一轮制造业技术改造，加大互联网、大数据、人工智能等新一代信息技术在制造业各行业领域的应用，推动制造业企业网络化、数字化、智能化转型。实施智能制造专项行动和“机器人应用”计划，推动大型骨干企业开展智能化技术改造。开展“智能工厂培育建设试点”，鼓励企业积极申报省级智能制造试点示范，加强智能制造试点示范项目推广应用。引进制造业企业、信息通信企业、互联网企业、电信运营商等牵头或联合建设跨行业、跨领域的工业互联网平台，推动工业企业依托工业互联网平台实施数字化转型升级，开展5G+工业互联网应用示范，在电子信息制造、纺织服装、生物医药、装备制造、工艺品加工、电力能源等领域推广基于5G网络的工业互联网应用，开展省级特色产业集群数字化转型试点，支持新一代信息技术与制造业融合发展，推动新一代信息技术在研发、生产、经营、服务等产品全生命周期、产业链各环节的应用创新，发展个性化定制、云制造等新兴制造模式。</w:t>
      </w:r>
    </w:p>
    <w:p>
      <w:pPr>
        <w:spacing w:line="600" w:lineRule="exact"/>
        <w:ind w:firstLine="643" w:firstLineChars="200"/>
        <w:outlineLvl w:val="2"/>
        <w:rPr>
          <w:rFonts w:ascii="仿宋_GB2312" w:hAnsi="仿宋" w:eastAsia="仿宋_GB2312" w:cs="仿宋"/>
          <w:b/>
          <w:color w:val="000000"/>
          <w:sz w:val="32"/>
          <w:szCs w:val="32"/>
        </w:rPr>
      </w:pPr>
      <w:bookmarkStart w:id="84" w:name="_Hlk60780899"/>
      <w:bookmarkStart w:id="85" w:name="_Toc22555"/>
      <w:r>
        <w:rPr>
          <w:rFonts w:hint="eastAsia" w:ascii="仿宋_GB2312" w:hAnsi="仿宋" w:eastAsia="仿宋_GB2312" w:cs="仿宋"/>
          <w:b/>
          <w:color w:val="000000"/>
          <w:sz w:val="32"/>
          <w:szCs w:val="32"/>
        </w:rPr>
        <w:t>3.</w:t>
      </w:r>
      <w:bookmarkEnd w:id="84"/>
      <w:r>
        <w:rPr>
          <w:rFonts w:hint="eastAsia" w:ascii="仿宋_GB2312" w:hAnsi="仿宋" w:eastAsia="仿宋_GB2312" w:cs="仿宋"/>
          <w:b/>
          <w:color w:val="000000"/>
          <w:sz w:val="32"/>
          <w:szCs w:val="32"/>
        </w:rPr>
        <w:t>加强精准招商完善制造业产业链</w:t>
      </w:r>
      <w:bookmarkEnd w:id="85"/>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持续实施“项目双进”行动，全面开展新一轮大招商行动，加快完善招商引资机制，搭建市场化招商平台，加强与粤港澳大湾区联合推介与招商，提升招商实效。深入实施汕商乡贤回归工程。加强制造业产业链图谱研究，瞄准国内外百强企业、行业龙头企业、国企央企、知名中介机构和投资促进机构等，开展精准化、产业化招商，引进一批产业链上下游配套企业、“链主”企业，加快“建链、补链、延链、强链”。强化企业项目全流程跟踪式服务，构建全链条、全方位、全生命周期的招商工作服务体系。支持新引进的大项目好项目优先落户本地区“万亩千亿”产业发展平台，引导支持本地产业链上下游企业进入产业平台发展。编制重点国家和地区外资招商图谱，实施靶向精准招商，加快补强现有产业链。全面贯彻落实《外商投资法》，完善利用外资激励机制、保障机制，全面兑现落实财政奖励、用地保障、研发创新、金融支持等优惠政策，不断提升制造业外资利用水平，打造吸引优质外资“强磁场”。</w:t>
      </w:r>
    </w:p>
    <w:p>
      <w:pPr>
        <w:ind w:firstLine="640" w:firstLineChars="200"/>
        <w:outlineLvl w:val="1"/>
        <w:rPr>
          <w:rFonts w:ascii="楷体_GB2312" w:hAnsi="仿宋" w:eastAsia="楷体_GB2312" w:cs="仿宋"/>
          <w:bCs/>
          <w:color w:val="000000"/>
          <w:sz w:val="32"/>
          <w:szCs w:val="32"/>
        </w:rPr>
      </w:pPr>
      <w:bookmarkStart w:id="86" w:name="_Toc13444"/>
      <w:bookmarkStart w:id="87" w:name="_Hlk60823377"/>
      <w:r>
        <w:rPr>
          <w:rFonts w:hint="eastAsia" w:ascii="楷体_GB2312" w:hAnsi="仿宋" w:eastAsia="楷体_GB2312" w:cs="仿宋"/>
          <w:bCs/>
          <w:color w:val="000000"/>
          <w:sz w:val="32"/>
          <w:szCs w:val="32"/>
        </w:rPr>
        <w:t>（五）加强标准、质量和品牌建设，建设质量强市</w:t>
      </w:r>
      <w:bookmarkEnd w:id="86"/>
    </w:p>
    <w:bookmarkEnd w:id="87"/>
    <w:p>
      <w:pPr>
        <w:ind w:firstLine="643" w:firstLineChars="200"/>
        <w:outlineLvl w:val="2"/>
        <w:rPr>
          <w:rFonts w:ascii="仿宋_GB2312" w:hAnsi="仿宋" w:eastAsia="仿宋_GB2312" w:cs="仿宋"/>
          <w:b/>
          <w:color w:val="000000"/>
          <w:sz w:val="32"/>
          <w:szCs w:val="32"/>
        </w:rPr>
      </w:pPr>
      <w:bookmarkStart w:id="88" w:name="_Toc29593"/>
      <w:r>
        <w:rPr>
          <w:rFonts w:hint="eastAsia" w:ascii="仿宋_GB2312" w:hAnsi="仿宋" w:eastAsia="仿宋_GB2312" w:cs="仿宋"/>
          <w:b/>
          <w:color w:val="000000"/>
          <w:sz w:val="32"/>
          <w:szCs w:val="32"/>
        </w:rPr>
        <w:t>1.建立健全汕尾制造标准体系</w:t>
      </w:r>
      <w:bookmarkEnd w:id="88"/>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电子信息、纺织服装、金银珠宝首饰、新能源汽车、海工装备制造等产业的标准研制，构建覆盖各产业主要产品并与国际接轨的先进标准体系。设立汕尾技术标准战略专项资金，加强标准化培育激励机制建设。推动行业协会和商会等社会团体开展团体标准化制订工作，培育汕尾团体标准品牌。支持企事业单位参与国家、国际标准制修以及行业标准、地方标准订工作，推动我市优势特色行业技术标准上升成为国家、国际标准。</w:t>
      </w:r>
    </w:p>
    <w:p>
      <w:pPr>
        <w:ind w:firstLine="643" w:firstLineChars="200"/>
        <w:outlineLvl w:val="2"/>
        <w:rPr>
          <w:rFonts w:ascii="仿宋_GB2312" w:hAnsi="仿宋" w:eastAsia="仿宋_GB2312" w:cs="仿宋"/>
          <w:b/>
          <w:color w:val="000000"/>
          <w:sz w:val="32"/>
          <w:szCs w:val="32"/>
        </w:rPr>
      </w:pPr>
      <w:bookmarkStart w:id="89" w:name="_Toc288"/>
      <w:r>
        <w:rPr>
          <w:rFonts w:hint="eastAsia" w:ascii="仿宋_GB2312" w:hAnsi="仿宋" w:eastAsia="仿宋_GB2312" w:cs="仿宋"/>
          <w:b/>
          <w:color w:val="000000"/>
          <w:sz w:val="32"/>
          <w:szCs w:val="32"/>
        </w:rPr>
        <w:t>2.提升汕尾制造质量</w:t>
      </w:r>
      <w:bookmarkEnd w:id="89"/>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重点产品质量比对研究提升工程，建立健全产品全生命周期质量追溯机制，“一业一策”制定质量提升方案，加强产品可靠性设计、试验及生产过程质量控制。推动传统优势工业企业购置先进适用设备，推进工业机器人示范应用，引进自动生产线，普及现代制造模式，全面提高产品技术、工艺装备、能效环保等水平，提升优势传统产业质量。围绕智能机器人、新能源汽车等重大科技专项，构建产学研用相结合的研发体系，集中力量在新能源汽车、海工装备制造等产业突破一批关键共性技术，推动战略性新兴产业提质升级，提升新业态质量水平。加快建立高标准质量管理体系，推进全产业链质量管理，开展重点行业推行产品合格率100%试点。</w:t>
      </w:r>
    </w:p>
    <w:p>
      <w:pPr>
        <w:ind w:firstLine="643" w:firstLineChars="200"/>
        <w:outlineLvl w:val="2"/>
        <w:rPr>
          <w:rFonts w:ascii="仿宋_GB2312" w:hAnsi="仿宋" w:eastAsia="仿宋_GB2312" w:cs="仿宋"/>
          <w:b/>
          <w:color w:val="000000"/>
          <w:sz w:val="32"/>
          <w:szCs w:val="32"/>
        </w:rPr>
      </w:pPr>
      <w:bookmarkStart w:id="90" w:name="_Toc24873"/>
      <w:r>
        <w:rPr>
          <w:rFonts w:hint="eastAsia" w:ascii="仿宋_GB2312" w:hAnsi="仿宋" w:eastAsia="仿宋_GB2312" w:cs="仿宋"/>
          <w:b/>
          <w:color w:val="000000"/>
          <w:sz w:val="32"/>
          <w:szCs w:val="32"/>
        </w:rPr>
        <w:t>3.打造汕尾质量品牌</w:t>
      </w:r>
      <w:bookmarkEnd w:id="90"/>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加强城市品牌、企业品牌和产品品牌建设，推动“汕尾产品”向 “汕尾品牌”“汕尾质量”转变。全力打造区域品牌，提升“中国金银首饰加工销售基地”、“中国彩宝之都”“中国珠宝玉石首饰特色产业基地”的品牌影响力。鼓励企业通过增资扩产、相互参股、联合、并购等方式扩大规模，创建一批名牌产品和驰名商标。鼓励有条件的企业开展商标国际注册、收购国际知名品牌，推动自主品牌“走出去”，走国际化发展之路，壮大汕尾本地品牌的国际影响力。加强农产品品牌建设，鼓励注册地理标志证明商标或集体商标，以重点农业龙头企业、名牌产品（农业类）生产企业为重点，培育和发展全省乃至全国有较高知名度的农产品品牌。</w:t>
      </w:r>
    </w:p>
    <w:p>
      <w:pPr>
        <w:ind w:firstLine="643" w:firstLineChars="200"/>
        <w:outlineLvl w:val="2"/>
        <w:rPr>
          <w:rFonts w:ascii="仿宋_GB2312" w:hAnsi="仿宋" w:eastAsia="仿宋_GB2312" w:cs="仿宋"/>
          <w:b/>
          <w:color w:val="000000"/>
          <w:sz w:val="32"/>
          <w:szCs w:val="32"/>
        </w:rPr>
      </w:pPr>
      <w:bookmarkStart w:id="91" w:name="_Toc11360"/>
      <w:r>
        <w:rPr>
          <w:rFonts w:hint="eastAsia" w:ascii="仿宋_GB2312" w:hAnsi="仿宋" w:eastAsia="仿宋_GB2312" w:cs="仿宋"/>
          <w:b/>
          <w:color w:val="000000"/>
          <w:sz w:val="32"/>
          <w:szCs w:val="32"/>
        </w:rPr>
        <w:t>4.加强质量基础能力建设</w:t>
      </w:r>
      <w:bookmarkEnd w:id="91"/>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围绕优势产业发展，建立完善标准、计量、检验检测和认证等质量基础设施建设。支持海丰建成国家级珠宝玉石鉴定中心，推进检验检测结果获得国际互认。建设海洋食品安全检测公共技术服务平台、广东省医疗器械产业计量测试中心，不断优化提升质量公共服务体系。鼓励社会组织、专业技术机构、行业龙年企业建立集产业协同研发设计、质量管理、标准研制和知识产权运用等功能于一体的综合性服务平台。</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13 </w:t>
            </w:r>
            <w:r>
              <w:rPr>
                <w:rFonts w:hint="eastAsia" w:ascii="黑体" w:hAnsi="黑体" w:eastAsia="黑体"/>
                <w:color w:val="000000" w:themeColor="text1"/>
                <w:sz w:val="30"/>
                <w:szCs w:val="30"/>
                <w14:textFill>
                  <w14:solidFill>
                    <w14:schemeClr w14:val="tx1"/>
                  </w14:solidFill>
                </w14:textFill>
              </w:rPr>
              <w:t>汕尾重大质量公共服务平台建设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海洋食品安全检测公共技术服务平台：</w:t>
            </w:r>
            <w:r>
              <w:rPr>
                <w:rFonts w:hint="eastAsia" w:ascii="宋体" w:hAnsi="宋体"/>
                <w:color w:val="000000" w:themeColor="text1"/>
                <w:sz w:val="28"/>
                <w:szCs w:val="28"/>
                <w14:textFill>
                  <w14:solidFill>
                    <w14:schemeClr w14:val="tx1"/>
                  </w14:solidFill>
                </w14:textFill>
              </w:rPr>
              <w:t>到2022年前，建成广东省质量监督海洋食品检验站（汕尾）省级授权质检站，为海洋食品产业提供产品检验检测、产品研发、标准技术、高层次人才吸聚和专业技术人员培训等技术服务；建成广东省海洋养殖业及海洋食品加工产业计量中心（汕尾），为海洋养殖业及海洋食品加工提供全产业链计量检测技术服务。在2025年前筹建海洋食品国家质检中心，为我市海洋产业发展提供可靠技术支撑。</w:t>
            </w:r>
          </w:p>
          <w:p>
            <w:pPr>
              <w:spacing w:line="400" w:lineRule="exact"/>
              <w:ind w:firstLine="562" w:firstLineChars="200"/>
              <w:rPr>
                <w:rFonts w:ascii="仿宋" w:hAnsi="仿宋" w:eastAsia="仿宋"/>
                <w:color w:val="000000" w:themeColor="text1"/>
                <w:sz w:val="28"/>
                <w:szCs w:val="28"/>
                <w:u w:val="single"/>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广东省医疗器械产业计量测试中心：</w:t>
            </w:r>
            <w:r>
              <w:rPr>
                <w:rFonts w:hint="eastAsia" w:ascii="宋体" w:hAnsi="宋体"/>
                <w:color w:val="000000" w:themeColor="text1"/>
                <w:sz w:val="28"/>
                <w:szCs w:val="28"/>
                <w14:textFill>
                  <w14:solidFill>
                    <w14:schemeClr w14:val="tx1"/>
                  </w14:solidFill>
                </w14:textFill>
              </w:rPr>
              <w:t>筹建省级产业计量测试中心，配套建设系列基础设施，包括与医疗器械产业链相关的社会公用计量标准、相关设备、实验室等。覆盖全产业链、全寿命周期链、全溯源链的计量需求，为医疗器械产业基础研究和应用研究、产品研发试验、生产过程数据监测等提供测试技术服务。</w:t>
            </w:r>
          </w:p>
        </w:tc>
      </w:tr>
    </w:tbl>
    <w:p>
      <w:pPr>
        <w:ind w:firstLine="640" w:firstLineChars="200"/>
        <w:outlineLvl w:val="1"/>
        <w:rPr>
          <w:rFonts w:ascii="楷体_GB2312" w:hAnsi="仿宋" w:eastAsia="楷体_GB2312" w:cs="仿宋"/>
          <w:bCs/>
          <w:color w:val="000000"/>
          <w:sz w:val="32"/>
          <w:szCs w:val="32"/>
        </w:rPr>
      </w:pPr>
      <w:bookmarkStart w:id="92" w:name="_Toc14645"/>
      <w:r>
        <w:rPr>
          <w:rFonts w:hint="eastAsia" w:ascii="楷体_GB2312" w:hAnsi="仿宋" w:eastAsia="楷体_GB2312" w:cs="仿宋"/>
          <w:bCs/>
          <w:color w:val="000000"/>
          <w:sz w:val="32"/>
          <w:szCs w:val="32"/>
        </w:rPr>
        <w:t>（六）</w:t>
      </w:r>
      <w:r>
        <w:rPr>
          <w:rFonts w:hint="eastAsia" w:ascii="楷体_GB2312" w:hAnsi="仿宋" w:eastAsia="楷体_GB2312" w:cs="仿宋"/>
          <w:bCs/>
          <w:color w:val="000000"/>
          <w:sz w:val="32"/>
          <w:szCs w:val="32"/>
          <w:u w:val="none"/>
        </w:rPr>
        <w:t>建立健全高效服务机制，</w:t>
      </w:r>
      <w:r>
        <w:rPr>
          <w:rFonts w:hint="eastAsia" w:ascii="楷体_GB2312" w:hAnsi="仿宋" w:eastAsia="楷体_GB2312" w:cs="仿宋"/>
          <w:bCs/>
          <w:color w:val="000000"/>
          <w:sz w:val="32"/>
          <w:szCs w:val="32"/>
        </w:rPr>
        <w:t>全面优化制造业发展环境</w:t>
      </w:r>
      <w:bookmarkEnd w:id="92"/>
    </w:p>
    <w:p>
      <w:pPr>
        <w:ind w:firstLine="643" w:firstLineChars="200"/>
        <w:outlineLvl w:val="2"/>
        <w:rPr>
          <w:rFonts w:ascii="仿宋_GB2312" w:hAnsi="仿宋" w:eastAsia="仿宋_GB2312" w:cs="仿宋"/>
          <w:b/>
          <w:color w:val="000000"/>
          <w:sz w:val="32"/>
          <w:szCs w:val="32"/>
        </w:rPr>
      </w:pPr>
      <w:bookmarkStart w:id="93" w:name="_Toc30195"/>
      <w:bookmarkStart w:id="94" w:name="_Hlk60835561"/>
      <w:r>
        <w:rPr>
          <w:rFonts w:hint="eastAsia" w:ascii="仿宋_GB2312" w:hAnsi="仿宋" w:eastAsia="仿宋_GB2312" w:cs="仿宋"/>
          <w:b/>
          <w:color w:val="000000"/>
          <w:sz w:val="32"/>
          <w:szCs w:val="32"/>
        </w:rPr>
        <w:t>1</w:t>
      </w: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营造良好营商环境</w:t>
      </w:r>
      <w:bookmarkEnd w:id="93"/>
      <w:bookmarkEnd w:id="94"/>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深化“放管服”改革，对照世界银行标准，全面压减权责清单事项，加快电子证照服务应用，持续开展“减证便民”，全面推进“无证明城市”创建，显著提升开办企业、施工许可办理、不动产登记、企业投资项目落地、办理纳税、用水用电用气、获得信贷、贸易通关“八个便利化”水平。持续深化商事制度改革，企业开办1个工作日内完成。深化工程建设项目审批制度改革，推动行政审批事项全面提速，实现投资项目审批“最多跑一次”，进一步压缩社会投资项目行政审批时间。全面推广“互联网+不动产登记”，一般登记和抵押登记1个工作日内办结。加快“数字政府”改革建设，全面推行“一窗通办、一网通办、一证通办、一码通办、一次通办、一地通办”，全方位推动政府数字化转型。</w:t>
      </w:r>
    </w:p>
    <w:p>
      <w:pPr>
        <w:ind w:firstLine="643" w:firstLineChars="200"/>
        <w:outlineLvl w:val="2"/>
        <w:rPr>
          <w:rFonts w:ascii="仿宋_GB2312" w:hAnsi="仿宋" w:eastAsia="仿宋_GB2312" w:cs="仿宋"/>
          <w:b/>
          <w:color w:val="000000"/>
          <w:sz w:val="32"/>
          <w:szCs w:val="32"/>
          <w:u w:val="none"/>
        </w:rPr>
      </w:pPr>
      <w:bookmarkStart w:id="95" w:name="_Toc18933"/>
      <w:r>
        <w:rPr>
          <w:rFonts w:hint="eastAsia" w:ascii="仿宋_GB2312" w:hAnsi="仿宋" w:eastAsia="仿宋_GB2312" w:cs="仿宋"/>
          <w:b/>
          <w:color w:val="000000"/>
          <w:sz w:val="32"/>
          <w:szCs w:val="32"/>
          <w:u w:val="none"/>
        </w:rPr>
        <w:t>2</w:t>
      </w:r>
      <w:r>
        <w:rPr>
          <w:rFonts w:ascii="仿宋_GB2312" w:hAnsi="仿宋" w:eastAsia="仿宋_GB2312" w:cs="仿宋"/>
          <w:b/>
          <w:color w:val="000000"/>
          <w:sz w:val="32"/>
          <w:szCs w:val="32"/>
          <w:u w:val="none"/>
        </w:rPr>
        <w:t>.</w:t>
      </w:r>
      <w:r>
        <w:rPr>
          <w:rFonts w:hint="eastAsia" w:ascii="仿宋_GB2312" w:hAnsi="仿宋" w:eastAsia="仿宋_GB2312" w:cs="仿宋"/>
          <w:b/>
          <w:color w:val="000000"/>
          <w:sz w:val="32"/>
          <w:szCs w:val="32"/>
          <w:u w:val="none"/>
        </w:rPr>
        <w:t>完善便企服务机制</w:t>
      </w:r>
      <w:bookmarkEnd w:id="95"/>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全面落实好联系服务企业制度，持续开展暖企行动，加强国家和省、市减税降费、信贷融资、技改创新等优惠扶持政策宣传解读，逐条逐项推动政策落地落实，切实降低企业生产成本。建立畅通有效的政企沟通机制，构建亲清新型政商关系，依托广东政务服务网、政务服务大厅、粤商通、中小企业诉求响应平台、政务服务“好差评”、12345投诉举报平台等，建立线上线下相融合的企业政策公布、建议、咨询、投诉平台，多渠道、多形式及时听取企业的反映和诉求，建立民营企业投诉中心（维权中心），推行走访服务企业、社会投资重点项目代办等服务机制，打响服务企业汕尾品牌。</w:t>
      </w:r>
    </w:p>
    <w:p>
      <w:pPr>
        <w:ind w:firstLine="643" w:firstLineChars="200"/>
        <w:outlineLvl w:val="2"/>
        <w:rPr>
          <w:rFonts w:ascii="仿宋_GB2312" w:hAnsi="仿宋" w:eastAsia="仿宋_GB2312" w:cs="仿宋"/>
          <w:b/>
          <w:color w:val="000000"/>
          <w:sz w:val="32"/>
          <w:szCs w:val="32"/>
          <w:u w:val="none"/>
        </w:rPr>
      </w:pPr>
      <w:bookmarkStart w:id="96" w:name="_Toc21358"/>
      <w:r>
        <w:rPr>
          <w:rFonts w:hint="eastAsia" w:ascii="仿宋_GB2312" w:hAnsi="仿宋" w:eastAsia="仿宋_GB2312" w:cs="仿宋"/>
          <w:b/>
          <w:color w:val="000000"/>
          <w:sz w:val="32"/>
          <w:szCs w:val="32"/>
          <w:u w:val="none"/>
        </w:rPr>
        <w:t>3</w:t>
      </w:r>
      <w:r>
        <w:rPr>
          <w:rFonts w:ascii="仿宋_GB2312" w:hAnsi="仿宋" w:eastAsia="仿宋_GB2312" w:cs="仿宋"/>
          <w:b/>
          <w:color w:val="000000"/>
          <w:sz w:val="32"/>
          <w:szCs w:val="32"/>
          <w:u w:val="none"/>
        </w:rPr>
        <w:t>.</w:t>
      </w:r>
      <w:r>
        <w:rPr>
          <w:rFonts w:hint="eastAsia" w:ascii="仿宋_GB2312" w:hAnsi="仿宋" w:eastAsia="仿宋_GB2312" w:cs="仿宋"/>
          <w:b/>
          <w:color w:val="000000"/>
          <w:sz w:val="32"/>
          <w:szCs w:val="32"/>
          <w:u w:val="none"/>
        </w:rPr>
        <w:t>增强要素供给支持保障</w:t>
      </w:r>
      <w:bookmarkEnd w:id="96"/>
    </w:p>
    <w:p>
      <w:pPr>
        <w:ind w:firstLine="640" w:firstLineChars="200"/>
        <w:rPr>
          <w:rFonts w:ascii="仿宋_GB2312" w:hAnsi="仿宋" w:eastAsia="仿宋_GB2312"/>
          <w:sz w:val="32"/>
          <w:szCs w:val="32"/>
        </w:rPr>
      </w:pPr>
      <w:r>
        <w:rPr>
          <w:rFonts w:hint="eastAsia" w:ascii="仿宋_GB2312" w:hAnsi="仿宋" w:eastAsia="仿宋_GB2312" w:cs="仿宋"/>
          <w:bCs/>
          <w:color w:val="000000"/>
          <w:sz w:val="32"/>
          <w:szCs w:val="32"/>
        </w:rPr>
        <w:t>深入实施“红海扬帆人才计划”，紧紧围绕汕尾制造业重点发展领域需求，加快引进一批高精尖缺人才、创新创业团队和高层次人才；加快高技能人才队伍建设。保障制造业发展空间，全面促进土地资源节约集约利用，鼓励工业用地连片收储开发。支持各地在园区内科学规划新型产业用地（M0），打造一批“生产、生活、生态”融合发展的新型产业综合体，</w:t>
      </w:r>
      <w:r>
        <w:rPr>
          <w:rFonts w:hint="eastAsia" w:ascii="仿宋_GB2312" w:hAnsi="仿宋" w:eastAsia="仿宋_GB2312" w:cs="仿宋"/>
          <w:bCs/>
          <w:color w:val="000000"/>
          <w:sz w:val="32"/>
          <w:szCs w:val="32"/>
          <w:u w:val="none"/>
        </w:rPr>
        <w:t>新型产业用地容积率原则上不低于 2.</w:t>
      </w:r>
      <w:r>
        <w:rPr>
          <w:rFonts w:ascii="仿宋_GB2312" w:hAnsi="仿宋" w:eastAsia="仿宋_GB2312" w:cs="仿宋"/>
          <w:bCs/>
          <w:color w:val="000000"/>
          <w:sz w:val="32"/>
          <w:szCs w:val="32"/>
          <w:u w:val="none"/>
        </w:rPr>
        <w:t>5</w:t>
      </w:r>
      <w:r>
        <w:rPr>
          <w:rFonts w:hint="eastAsia" w:ascii="仿宋_GB2312" w:hAnsi="仿宋" w:eastAsia="仿宋_GB2312" w:cs="仿宋"/>
          <w:bCs/>
          <w:color w:val="000000"/>
          <w:sz w:val="32"/>
          <w:szCs w:val="32"/>
          <w:u w:val="none"/>
        </w:rPr>
        <w:t>，</w:t>
      </w:r>
      <w:r>
        <w:rPr>
          <w:rFonts w:hint="eastAsia" w:ascii="仿宋_GB2312" w:hAnsi="仿宋" w:eastAsia="仿宋_GB2312" w:cs="仿宋"/>
          <w:bCs/>
          <w:color w:val="000000"/>
          <w:sz w:val="32"/>
          <w:szCs w:val="32"/>
        </w:rPr>
        <w:t>配套行政办公及生活服务设施计容建筑面积不大于总计容面积的30%。拓展制造业企业投融资渠道，</w:t>
      </w:r>
      <w:r>
        <w:rPr>
          <w:rFonts w:hint="eastAsia" w:ascii="仿宋_GB2312" w:hAnsi="仿宋" w:eastAsia="仿宋_GB2312"/>
          <w:sz w:val="32"/>
          <w:szCs w:val="32"/>
        </w:rPr>
        <w:t>运用贷款贴息、风险补偿、应急转贷等方式，引导金融机构加大对制造业企业的金融支持力度；积极对接“新三板”、区域性股权交易市场，引导制造业企业通过改制、并购、发债以及股权转让等方式获取直接融资。</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14 </w:t>
            </w:r>
            <w:r>
              <w:rPr>
                <w:rFonts w:hint="eastAsia" w:ascii="黑体" w:hAnsi="黑体" w:eastAsia="黑体"/>
                <w:color w:val="000000" w:themeColor="text1"/>
                <w:sz w:val="30"/>
                <w:szCs w:val="30"/>
                <w14:textFill>
                  <w14:solidFill>
                    <w14:schemeClr w14:val="tx1"/>
                  </w14:solidFill>
                </w14:textFill>
              </w:rPr>
              <w:t>制造业人才培育专项行动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1</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建立制造业重点产业人才联盟。</w:t>
            </w:r>
            <w:r>
              <w:rPr>
                <w:rFonts w:hint="eastAsia" w:ascii="宋体" w:hAnsi="宋体"/>
                <w:color w:val="000000" w:themeColor="text1"/>
                <w:sz w:val="28"/>
                <w:szCs w:val="28"/>
                <w14:textFill>
                  <w14:solidFill>
                    <w14:schemeClr w14:val="tx1"/>
                  </w14:solidFill>
                </w14:textFill>
              </w:rPr>
              <w:t>聚焦我市重点发展的战略性产业集群和优势传统产业集群，结合本地制造业人才队伍现状和发展规划，支持重点制造业的龙头骨干企业、新型研发机构、技术研究院、行业商协会等联合发起成立专业领域人才联盟，充分发挥人才联盟在各自领域人才、技术、平台、项目、信息等资源共建共享的优势，加快形成集技术研发、成果转化、推广应用于一体的全链条制造业产业生态和重点产业人才集群。按照“组建一个支持一个”的方式，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年在我市建立四大制造业重点产业人才联盟。</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2</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实施制造业杰出企业家培育计划。</w:t>
            </w:r>
            <w:r>
              <w:rPr>
                <w:rFonts w:hint="eastAsia" w:ascii="宋体" w:hAnsi="宋体"/>
                <w:color w:val="000000" w:themeColor="text1"/>
                <w:sz w:val="28"/>
                <w:szCs w:val="28"/>
                <w14:textFill>
                  <w14:solidFill>
                    <w14:schemeClr w14:val="tx1"/>
                  </w14:solidFill>
                </w14:textFill>
              </w:rPr>
              <w:t>培育一批扎根汕尾、深耕制造业，具有强烈家国情怀、全球战略眼光、市场开拓精神、管理创新能力和社会责任感的知名企业家和职业经理人。计划每年遴选支持</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w:t>
            </w:r>
            <w:r>
              <w:rPr>
                <w:rFonts w:ascii="宋体" w:hAnsi="宋体"/>
                <w:color w:val="000000" w:themeColor="text1"/>
                <w:sz w:val="28"/>
                <w:szCs w:val="28"/>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名。</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3</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实施制造业创新领军人才计划。</w:t>
            </w:r>
            <w:r>
              <w:rPr>
                <w:rFonts w:hint="eastAsia" w:ascii="宋体" w:hAnsi="宋体"/>
                <w:color w:val="000000" w:themeColor="text1"/>
                <w:sz w:val="28"/>
                <w:szCs w:val="28"/>
                <w14:textFill>
                  <w14:solidFill>
                    <w14:schemeClr w14:val="tx1"/>
                  </w14:solidFill>
                </w14:textFill>
              </w:rPr>
              <w:t>重点面向战略性产业集群建设而、工业基础能力建设、智能制造、工业互联网等领域，支持我市制造业企业培育引进一批在工业设计、关键制造工艺、新材料、工业软件、工业控制及自动化、大数据和人工智能运用等方面，能够突破关键核心技术并实现产业化应用，驱动高新技术产业发展、带动传统优势产业优化升级和提升产业链水平的高层次创新领军人才。计划每年遴选支持2</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年共遴选支持1</w:t>
            </w:r>
            <w:r>
              <w:rPr>
                <w:rFonts w:ascii="宋体" w:hAnsi="宋体"/>
                <w:color w:val="000000" w:themeColor="text1"/>
                <w:sz w:val="28"/>
                <w:szCs w:val="28"/>
                <w14:textFill>
                  <w14:solidFill>
                    <w14:schemeClr w14:val="tx1"/>
                  </w14:solidFill>
                </w14:textFill>
              </w:rPr>
              <w:t>00</w:t>
            </w:r>
            <w:r>
              <w:rPr>
                <w:rFonts w:hint="eastAsia" w:ascii="宋体" w:hAnsi="宋体"/>
                <w:color w:val="000000" w:themeColor="text1"/>
                <w:sz w:val="28"/>
                <w:szCs w:val="28"/>
                <w14:textFill>
                  <w14:solidFill>
                    <w14:schemeClr w14:val="tx1"/>
                  </w14:solidFill>
                </w14:textFill>
              </w:rPr>
              <w:t>名。</w:t>
            </w:r>
          </w:p>
          <w:p>
            <w:pPr>
              <w:spacing w:line="40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4</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实施制造业技能菁英项目。</w:t>
            </w:r>
            <w:r>
              <w:rPr>
                <w:rFonts w:hint="eastAsia" w:ascii="宋体" w:hAnsi="宋体"/>
                <w:color w:val="000000" w:themeColor="text1"/>
                <w:sz w:val="28"/>
                <w:szCs w:val="28"/>
                <w14:textFill>
                  <w14:solidFill>
                    <w14:schemeClr w14:val="tx1"/>
                  </w14:solidFill>
                </w14:textFill>
              </w:rPr>
              <w:t>以建设一支具有国际视野并掌握“高、精、尖”技术工艺的青年高技能人才队伍为目标，支持我市制造业企业培养一批产业发展急需的高技能人才，鼓励企业培育在同行业中具有领先技能水平、具有持续创新发展能力的技能型人才。计划每年遴选支持1</w:t>
            </w:r>
            <w:r>
              <w:rPr>
                <w:rFonts w:ascii="宋体" w:hAnsi="宋体"/>
                <w:color w:val="000000" w:themeColor="text1"/>
                <w:sz w:val="28"/>
                <w:szCs w:val="28"/>
                <w14:textFill>
                  <w14:solidFill>
                    <w14:schemeClr w14:val="tx1"/>
                  </w14:solidFill>
                </w14:textFill>
              </w:rPr>
              <w:t>00</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w:t>
            </w:r>
            <w:r>
              <w:rPr>
                <w:rFonts w:ascii="宋体" w:hAnsi="宋体"/>
                <w:color w:val="000000" w:themeColor="text1"/>
                <w:sz w:val="28"/>
                <w:szCs w:val="28"/>
                <w14:textFill>
                  <w14:solidFill>
                    <w14:schemeClr w14:val="tx1"/>
                  </w14:solidFill>
                </w14:textFill>
              </w:rPr>
              <w:t>500</w:t>
            </w:r>
            <w:r>
              <w:rPr>
                <w:rFonts w:hint="eastAsia" w:ascii="宋体" w:hAnsi="宋体"/>
                <w:color w:val="000000" w:themeColor="text1"/>
                <w:sz w:val="28"/>
                <w:szCs w:val="28"/>
                <w14:textFill>
                  <w14:solidFill>
                    <w14:schemeClr w14:val="tx1"/>
                  </w14:solidFill>
                </w14:textFill>
              </w:rPr>
              <w:t>名。</w:t>
            </w:r>
          </w:p>
        </w:tc>
      </w:tr>
    </w:tbl>
    <w:p>
      <w:pPr>
        <w:ind w:firstLine="640" w:firstLineChars="200"/>
        <w:outlineLvl w:val="0"/>
        <w:rPr>
          <w:rFonts w:ascii="黑体" w:hAnsi="黑体" w:eastAsia="黑体" w:cs="仿宋"/>
          <w:bCs/>
          <w:color w:val="000000"/>
          <w:sz w:val="32"/>
          <w:szCs w:val="32"/>
        </w:rPr>
      </w:pPr>
      <w:bookmarkStart w:id="97" w:name="_Toc31224"/>
      <w:r>
        <w:rPr>
          <w:rFonts w:hint="eastAsia" w:ascii="黑体" w:hAnsi="黑体" w:eastAsia="黑体" w:cs="仿宋"/>
          <w:bCs/>
          <w:color w:val="000000"/>
          <w:sz w:val="32"/>
          <w:szCs w:val="32"/>
        </w:rPr>
        <w:t>五、保障措施</w:t>
      </w:r>
      <w:bookmarkEnd w:id="97"/>
    </w:p>
    <w:p>
      <w:pPr>
        <w:ind w:firstLine="640" w:firstLineChars="200"/>
        <w:outlineLvl w:val="1"/>
        <w:rPr>
          <w:rFonts w:ascii="楷体_GB2312" w:hAnsi="仿宋" w:eastAsia="楷体_GB2312" w:cs="仿宋"/>
          <w:bCs/>
          <w:color w:val="000000"/>
          <w:sz w:val="32"/>
          <w:szCs w:val="32"/>
        </w:rPr>
      </w:pPr>
      <w:bookmarkStart w:id="98" w:name="_Toc54615640"/>
      <w:bookmarkStart w:id="99" w:name="_Toc808"/>
      <w:r>
        <w:rPr>
          <w:rFonts w:hint="eastAsia" w:ascii="楷体_GB2312" w:hAnsi="仿宋" w:eastAsia="楷体_GB2312" w:cs="仿宋"/>
          <w:bCs/>
          <w:color w:val="000000"/>
          <w:sz w:val="32"/>
          <w:szCs w:val="32"/>
        </w:rPr>
        <w:t>（一）健全组织实施机制</w:t>
      </w:r>
      <w:bookmarkEnd w:id="98"/>
      <w:bookmarkEnd w:id="99"/>
    </w:p>
    <w:p>
      <w:pPr>
        <w:ind w:firstLine="640" w:firstLineChars="200"/>
        <w:rPr>
          <w:rFonts w:ascii="仿宋_GB2312" w:hAnsi="仿宋" w:eastAsia="仿宋_GB2312"/>
          <w:sz w:val="32"/>
          <w:szCs w:val="32"/>
        </w:rPr>
      </w:pPr>
      <w:r>
        <w:rPr>
          <w:rFonts w:hint="eastAsia" w:ascii="仿宋_GB2312" w:hAnsi="仿宋" w:eastAsia="仿宋_GB2312"/>
          <w:sz w:val="32"/>
          <w:szCs w:val="32"/>
          <w:u w:val="none"/>
        </w:rPr>
        <w:t>充分发挥汕尾市制造强市建设领导小组作用，</w:t>
      </w:r>
      <w:r>
        <w:rPr>
          <w:rFonts w:hint="eastAsia" w:ascii="仿宋_GB2312" w:hAnsi="仿宋" w:eastAsia="仿宋_GB2312"/>
          <w:sz w:val="32"/>
          <w:szCs w:val="32"/>
        </w:rPr>
        <w:t>加强对全市制造业高质量发展工作的组织领导和统筹协调，研究解决战略性产业集群发展过程中的重大问题。各县（市、区）要成立相应的领导小组，加快形成全市上下联动、协同高效的推动制造业高质量发展的良好工作格局。对标省有关要求，加快建立完善“五个一”工作体系，科学谋划推动各地产业集群合理分工、差异化发展，增强产业集群发展的整体性和协同性。</w:t>
      </w:r>
    </w:p>
    <w:p>
      <w:pPr>
        <w:ind w:firstLine="640" w:firstLineChars="200"/>
        <w:outlineLvl w:val="1"/>
        <w:rPr>
          <w:rFonts w:ascii="楷体_GB2312" w:hAnsi="仿宋" w:eastAsia="楷体_GB2312" w:cs="仿宋"/>
          <w:bCs/>
          <w:color w:val="000000"/>
          <w:sz w:val="32"/>
          <w:szCs w:val="32"/>
        </w:rPr>
      </w:pPr>
      <w:bookmarkStart w:id="100" w:name="_Toc54615641"/>
      <w:bookmarkStart w:id="101" w:name="_Toc24605"/>
      <w:r>
        <w:rPr>
          <w:rFonts w:hint="eastAsia" w:ascii="楷体_GB2312" w:hAnsi="仿宋" w:eastAsia="楷体_GB2312" w:cs="仿宋"/>
          <w:bCs/>
          <w:color w:val="000000"/>
          <w:sz w:val="32"/>
          <w:szCs w:val="32"/>
        </w:rPr>
        <w:t>（二）完善要素市场化配置体制机制</w:t>
      </w:r>
      <w:bookmarkEnd w:id="100"/>
      <w:bookmarkEnd w:id="101"/>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制造业数字化转型发展，推进要素市场化配置改革，破除阻碍要素充分流动和高效配置的体制机制障碍。深化产业用地市场化配置改革，探索划定工业用地保护红线，建立新型产业用地管理机制。开展“亩均论英雄”专项行动，实施制造业企业高质量发展综合评价，制定出台综合评价方案，加快形成推动制造业高质量发展的指标、标准、统计、评价等工作体系。对优先发展类企业，重点保障资源要素需求，支持其股改上市、并购重组，在政府性评先评优、试点示范项目申报、重点科技项目攻关、重大创新载体建设、人才引进等方面给予倾斜；对限制发展类企业严格运用环境保护、安全生产、资源节约、产品质量等方面的法律法规以及国家、省有关产业政策，加大整治力度。加快“低产田”改造提升，全面推进传统制造业和各类园区改造升级，合理转移和淘汰不适合继续发展的产业。</w:t>
      </w:r>
      <w:r>
        <w:rPr>
          <w:rFonts w:hint="eastAsia" w:ascii="仿宋_GB2312" w:hAnsi="仿宋" w:eastAsia="仿宋_GB2312" w:cs="仿宋"/>
          <w:bCs/>
          <w:color w:val="000000"/>
          <w:sz w:val="32"/>
          <w:szCs w:val="32"/>
          <w:u w:val="none"/>
        </w:rPr>
        <w:t>畅通制造业劳动力和人才社会性流动渠道，完善技术技能评价制度；实行更加开放的人才政策，畅通港澳及海外人才来汕尾工作通道，在职业资格认定认可、子女教育、商业医疗保险、停留居留等方面提供便利。</w:t>
      </w:r>
      <w:r>
        <w:rPr>
          <w:rFonts w:hint="eastAsia" w:ascii="仿宋_GB2312" w:hAnsi="仿宋" w:eastAsia="仿宋_GB2312" w:cs="仿宋"/>
          <w:bCs/>
          <w:color w:val="000000"/>
          <w:sz w:val="32"/>
          <w:szCs w:val="32"/>
        </w:rPr>
        <w:t>加快发展技术要素市场，健全职务科技成果产权制度，加快知识产权金融创新。培育发展数据要素市场，研究建立公共数据开放和数据资源有效流动、数据产权确权、数据隐私保护的制度规范，推动相关企业参与数据要素汇聚、流通、交易和产业化发展，统筹推进数据开放共享和标准化建设，健全统一开放、竞争有序的数据要素市场体系，创新数据要素治理模式。</w:t>
      </w:r>
    </w:p>
    <w:p>
      <w:pPr>
        <w:ind w:firstLine="640" w:firstLineChars="200"/>
        <w:outlineLvl w:val="1"/>
        <w:rPr>
          <w:rFonts w:ascii="楷体_GB2312" w:hAnsi="仿宋" w:eastAsia="楷体_GB2312" w:cs="仿宋"/>
          <w:bCs/>
          <w:color w:val="000000"/>
          <w:sz w:val="32"/>
          <w:szCs w:val="32"/>
        </w:rPr>
      </w:pPr>
      <w:bookmarkStart w:id="102" w:name="_Toc54615642"/>
      <w:bookmarkStart w:id="103" w:name="_Toc21220"/>
      <w:r>
        <w:rPr>
          <w:rFonts w:hint="eastAsia" w:ascii="楷体_GB2312" w:hAnsi="仿宋" w:eastAsia="楷体_GB2312" w:cs="仿宋"/>
          <w:bCs/>
          <w:color w:val="000000"/>
          <w:sz w:val="32"/>
          <w:szCs w:val="32"/>
        </w:rPr>
        <w:t>（三）</w:t>
      </w:r>
      <w:bookmarkEnd w:id="102"/>
      <w:r>
        <w:rPr>
          <w:rFonts w:hint="eastAsia" w:ascii="楷体_GB2312" w:hAnsi="仿宋" w:eastAsia="楷体_GB2312" w:cs="仿宋"/>
          <w:bCs/>
          <w:color w:val="000000"/>
          <w:sz w:val="32"/>
          <w:szCs w:val="32"/>
        </w:rPr>
        <w:t>建设新型产业集群治理机制</w:t>
      </w:r>
      <w:bookmarkEnd w:id="103"/>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构建政府、企业、中介组织等多元主体参与、通力合作的新型产业集群治理机制。充分发挥政府政策引导作用，为产业集群发展提供优质要素保障和良好营商环境。强化企业主体地位，发挥链主企业、产业生态型企业、龙头企业的牵引带动作用，建立安全高效的现代化产业链供应链，推动大中小企业融通发展。充分发挥行业商协会、科研院所等产业集群中介服务组织的政企沟通桥梁纽带作用，开展产业链招商与配套对接、关键核心技术攻关、标准制修订与宣传贯彻、行业秩序维护、质量品牌建设、对外交流合作等活动，推动政产学研用深度融合，提升产业集群运转效率。</w:t>
      </w:r>
    </w:p>
    <w:p>
      <w:pPr>
        <w:ind w:firstLine="640" w:firstLineChars="200"/>
        <w:outlineLvl w:val="1"/>
        <w:rPr>
          <w:rFonts w:ascii="楷体_GB2312" w:hAnsi="仿宋" w:eastAsia="楷体_GB2312" w:cs="仿宋"/>
          <w:bCs/>
          <w:color w:val="000000"/>
          <w:sz w:val="32"/>
          <w:szCs w:val="32"/>
        </w:rPr>
      </w:pPr>
      <w:bookmarkStart w:id="104" w:name="_Toc54615643"/>
      <w:bookmarkStart w:id="105" w:name="_Toc17417"/>
      <w:r>
        <w:rPr>
          <w:rFonts w:hint="eastAsia" w:ascii="楷体_GB2312" w:hAnsi="仿宋" w:eastAsia="楷体_GB2312" w:cs="仿宋"/>
          <w:bCs/>
          <w:color w:val="000000"/>
          <w:sz w:val="32"/>
          <w:szCs w:val="32"/>
        </w:rPr>
        <w:t>（四）</w:t>
      </w:r>
      <w:bookmarkEnd w:id="104"/>
      <w:r>
        <w:rPr>
          <w:rFonts w:hint="eastAsia" w:ascii="楷体_GB2312" w:hAnsi="仿宋" w:eastAsia="楷体_GB2312" w:cs="仿宋"/>
          <w:bCs/>
          <w:color w:val="000000"/>
          <w:sz w:val="32"/>
          <w:szCs w:val="32"/>
        </w:rPr>
        <w:t>加强监测评估和督查考核</w:t>
      </w:r>
      <w:bookmarkEnd w:id="105"/>
    </w:p>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加大对产业集群的跟踪评估及重点企业、项目服务力度，探索建立完善集群统计监测指标体系和评价体系，定期对各县（市、区）和市直有关部门集群发展情况进行跟踪督查，把制造业招商引资及高质量发展情况纳入各县（市、区）政绩考核体系。对集群发展较好的地区予以通报表扬，及时总结推广成功经验；对工作滞后或成效不突出的地区，予以通报批评。 </w:t>
      </w:r>
    </w:p>
    <w:bookmarkEnd w:id="36"/>
    <w:p>
      <w:pPr>
        <w:ind w:firstLine="643" w:firstLineChars="200"/>
        <w:jc w:val="left"/>
        <w:rPr>
          <w:rFonts w:ascii="仿宋_GB2312" w:hAnsi="仿宋" w:eastAsia="仿宋_GB2312" w:cs="仿宋"/>
          <w:b/>
          <w:color w:val="000000"/>
          <w:sz w:val="32"/>
          <w:szCs w:val="32"/>
        </w:rPr>
      </w:pPr>
    </w:p>
    <w:p>
      <w:pPr>
        <w:ind w:firstLine="643" w:firstLineChars="200"/>
        <w:outlineLvl w:val="1"/>
        <w:rPr>
          <w:rFonts w:ascii="仿宋_GB2312" w:hAnsi="仿宋" w:eastAsia="仿宋_GB2312" w:cs="仿宋"/>
          <w:b/>
          <w:color w:val="000000"/>
          <w:sz w:val="32"/>
          <w:szCs w:val="32"/>
        </w:rPr>
      </w:pPr>
      <w:bookmarkStart w:id="106" w:name="_Toc54615645"/>
      <w:bookmarkStart w:id="107" w:name="_Toc8408"/>
      <w:r>
        <w:rPr>
          <w:rFonts w:hint="eastAsia" w:ascii="仿宋_GB2312" w:hAnsi="仿宋" w:eastAsia="仿宋_GB2312" w:cs="仿宋"/>
          <w:b/>
          <w:color w:val="000000"/>
          <w:sz w:val="32"/>
          <w:szCs w:val="32"/>
        </w:rPr>
        <w:t>附件1：“十四五”时期汕尾市制造业</w:t>
      </w:r>
      <w:bookmarkEnd w:id="106"/>
      <w:r>
        <w:rPr>
          <w:rFonts w:hint="eastAsia" w:ascii="仿宋_GB2312" w:hAnsi="仿宋" w:eastAsia="仿宋_GB2312" w:cs="仿宋"/>
          <w:b/>
          <w:color w:val="000000"/>
          <w:sz w:val="32"/>
          <w:szCs w:val="32"/>
        </w:rPr>
        <w:t>总体空间布局图</w:t>
      </w:r>
      <w:bookmarkEnd w:id="107"/>
    </w:p>
    <w:p>
      <w:pPr>
        <w:ind w:firstLine="643" w:firstLineChars="200"/>
        <w:outlineLvl w:val="1"/>
        <w:rPr>
          <w:rFonts w:ascii="仿宋_GB2312" w:hAnsi="仿宋" w:eastAsia="仿宋_GB2312" w:cs="仿宋"/>
          <w:b/>
          <w:color w:val="000000"/>
          <w:sz w:val="32"/>
          <w:szCs w:val="32"/>
        </w:rPr>
      </w:pPr>
      <w:bookmarkStart w:id="108" w:name="_Toc5027"/>
      <w:r>
        <w:rPr>
          <w:rFonts w:hint="eastAsia" w:ascii="仿宋_GB2312" w:hAnsi="仿宋" w:eastAsia="仿宋_GB2312" w:cs="仿宋"/>
          <w:b/>
          <w:color w:val="000000"/>
          <w:sz w:val="32"/>
          <w:szCs w:val="32"/>
        </w:rPr>
        <w:t>附件</w:t>
      </w:r>
      <w:bookmarkStart w:id="109" w:name="_Hlk66695519"/>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：汕尾各产业集群创新资源、重大平台载体和重点企业清单</w:t>
      </w:r>
      <w:bookmarkEnd w:id="108"/>
    </w:p>
    <w:bookmarkEnd w:id="109"/>
    <w:p>
      <w:pPr>
        <w:ind w:firstLine="643" w:firstLineChars="200"/>
        <w:outlineLvl w:val="1"/>
        <w:rPr>
          <w:rFonts w:ascii="仿宋_GB2312" w:hAnsi="仿宋" w:eastAsia="仿宋_GB2312" w:cs="仿宋"/>
          <w:b/>
          <w:color w:val="000000"/>
          <w:sz w:val="32"/>
          <w:szCs w:val="32"/>
        </w:rPr>
      </w:pPr>
      <w:bookmarkStart w:id="110" w:name="_Toc4556"/>
      <w:r>
        <w:rPr>
          <w:rFonts w:hint="eastAsia" w:ascii="仿宋_GB2312" w:hAnsi="仿宋" w:eastAsia="仿宋_GB2312" w:cs="仿宋"/>
          <w:b/>
          <w:color w:val="000000"/>
          <w:sz w:val="32"/>
          <w:szCs w:val="32"/>
        </w:rPr>
        <w:t>附件</w:t>
      </w:r>
      <w:r>
        <w:rPr>
          <w:rFonts w:ascii="仿宋_GB2312" w:hAnsi="仿宋" w:eastAsia="仿宋_GB2312" w:cs="仿宋"/>
          <w:b/>
          <w:color w:val="000000"/>
          <w:sz w:val="32"/>
          <w:szCs w:val="32"/>
        </w:rPr>
        <w:t>3</w:t>
      </w:r>
      <w:r>
        <w:rPr>
          <w:rFonts w:hint="eastAsia" w:ascii="仿宋_GB2312" w:hAnsi="仿宋" w:eastAsia="仿宋_GB2312" w:cs="仿宋"/>
          <w:b/>
          <w:color w:val="000000"/>
          <w:sz w:val="32"/>
          <w:szCs w:val="32"/>
        </w:rPr>
        <w:t>：汕尾市制造业“十四五”重点项目表（见E</w:t>
      </w:r>
      <w:r>
        <w:rPr>
          <w:rFonts w:ascii="仿宋_GB2312" w:hAnsi="仿宋" w:eastAsia="仿宋_GB2312" w:cs="仿宋"/>
          <w:b/>
          <w:color w:val="000000"/>
          <w:sz w:val="32"/>
          <w:szCs w:val="32"/>
        </w:rPr>
        <w:t>XCEL</w:t>
      </w:r>
      <w:r>
        <w:rPr>
          <w:rFonts w:hint="eastAsia" w:ascii="仿宋_GB2312" w:hAnsi="仿宋" w:eastAsia="仿宋_GB2312" w:cs="仿宋"/>
          <w:b/>
          <w:color w:val="000000"/>
          <w:sz w:val="32"/>
          <w:szCs w:val="32"/>
        </w:rPr>
        <w:t>表）</w:t>
      </w:r>
      <w:bookmarkEnd w:id="110"/>
    </w:p>
    <w:p>
      <w:pPr>
        <w:ind w:firstLine="643" w:firstLineChars="200"/>
        <w:outlineLvl w:val="1"/>
        <w:rPr>
          <w:rFonts w:ascii="仿宋_GB2312" w:hAnsi="仿宋" w:eastAsia="仿宋_GB2312" w:cs="仿宋"/>
          <w:b/>
          <w:color w:val="000000"/>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pPr>
        <w:rPr>
          <w:rFonts w:ascii="仿宋_GB2312" w:hAnsi="仿宋" w:eastAsia="仿宋_GB2312" w:cs="仿宋"/>
          <w:b/>
          <w:color w:val="000000"/>
          <w:sz w:val="32"/>
          <w:szCs w:val="32"/>
        </w:rPr>
      </w:pPr>
      <w:r>
        <w:rPr>
          <w:rFonts w:hint="eastAsia" w:ascii="仿宋_GB2312" w:hAnsi="仿宋" w:eastAsia="仿宋_GB2312" w:cs="仿宋"/>
          <w:b/>
          <w:color w:val="000000"/>
          <w:sz w:val="32"/>
          <w:szCs w:val="32"/>
        </w:rPr>
        <w:t>附件1</w:t>
      </w:r>
      <w:r>
        <w:rPr>
          <w:rFonts w:ascii="仿宋_GB2312" w:hAnsi="仿宋" w:eastAsia="仿宋_GB2312" w:cs="仿宋"/>
          <w:b/>
          <w:color w:val="000000"/>
          <w:sz w:val="32"/>
          <w:szCs w:val="32"/>
        </w:rPr>
        <w:t xml:space="preserve"> </w:t>
      </w:r>
    </w:p>
    <w:p>
      <w:pPr>
        <w:spacing w:after="120"/>
        <w:jc w:val="center"/>
        <w:rPr>
          <w:sz w:val="24"/>
          <w:szCs w:val="28"/>
        </w:rPr>
      </w:pPr>
      <w:bookmarkStart w:id="111" w:name="_Toc54968408"/>
      <w:bookmarkStart w:id="112" w:name="_Toc61341878"/>
      <w:bookmarkStart w:id="113" w:name="_Toc54968755"/>
      <w:r>
        <w:rPr>
          <w:rFonts w:hint="eastAsia" w:eastAsia="黑体"/>
          <w:bCs/>
          <w:kern w:val="0"/>
          <w:sz w:val="36"/>
          <w:szCs w:val="36"/>
        </w:rPr>
        <w:t>“十四五”时期汕尾市制造业总体空间</w:t>
      </w:r>
      <w:r>
        <w:rPr>
          <w:rFonts w:eastAsia="黑体"/>
          <w:bCs/>
          <w:kern w:val="0"/>
          <w:sz w:val="36"/>
          <w:szCs w:val="36"/>
        </w:rPr>
        <w:t>布局</w:t>
      </w:r>
      <w:bookmarkEnd w:id="111"/>
      <w:bookmarkEnd w:id="112"/>
      <w:bookmarkEnd w:id="113"/>
      <w:r>
        <w:rPr>
          <w:rFonts w:hint="eastAsia" w:eastAsia="黑体"/>
          <w:bCs/>
          <w:kern w:val="0"/>
          <w:sz w:val="36"/>
          <w:szCs w:val="36"/>
        </w:rPr>
        <w:t>图</w:t>
      </w:r>
    </w:p>
    <w:p>
      <w:pPr>
        <w:spacing w:after="120"/>
        <w:ind w:firstLine="640" w:firstLineChars="200"/>
        <w:rPr>
          <w:rFonts w:ascii="仿宋_GB2312" w:hAnsi="仿宋" w:eastAsia="仿宋_GB2312" w:cs="宋体"/>
          <w:sz w:val="32"/>
          <w:szCs w:val="32"/>
          <w:lang w:bidi="zh-TW"/>
        </w:rPr>
      </w:pPr>
      <w:r>
        <w:rPr>
          <w:rFonts w:hint="eastAsia" w:ascii="仿宋_GB2312" w:hAnsi="仿宋" w:eastAsia="仿宋_GB2312" w:cs="宋体"/>
          <w:sz w:val="32"/>
          <w:szCs w:val="32"/>
          <w:lang w:bidi="zh-TW"/>
        </w:rPr>
        <w:t>说明：产业集群区域布局的重要程度用★的数量表示，其中★★★标注核心发展区域，★★标注重点发展区域，★标注一般发展区域；未标星的区域可结合自身实际谋划发展。</w:t>
      </w:r>
    </w:p>
    <w:p>
      <w:pPr>
        <w:spacing w:after="120"/>
        <w:jc w:val="center"/>
        <w:rPr>
          <w:rFonts w:ascii="黑体" w:hAnsi="黑体" w:eastAsia="黑体"/>
          <w:sz w:val="24"/>
          <w:szCs w:val="28"/>
        </w:rPr>
      </w:pPr>
      <w:r>
        <w:rPr>
          <w:rFonts w:ascii="黑体" w:hAnsi="黑体" w:eastAsia="黑体"/>
          <w:bCs/>
          <w:kern w:val="0"/>
          <w:sz w:val="36"/>
          <w:szCs w:val="36"/>
        </w:rPr>
        <w:t xml:space="preserve"> “</w:t>
      </w:r>
      <w:r>
        <w:rPr>
          <w:rFonts w:hint="eastAsia" w:ascii="黑体" w:hAnsi="黑体" w:eastAsia="黑体"/>
          <w:bCs/>
          <w:kern w:val="0"/>
          <w:sz w:val="36"/>
          <w:szCs w:val="36"/>
        </w:rPr>
        <w:t>四</w:t>
      </w:r>
      <w:r>
        <w:rPr>
          <w:rFonts w:ascii="黑体" w:hAnsi="黑体" w:eastAsia="黑体"/>
          <w:bCs/>
          <w:kern w:val="0"/>
          <w:sz w:val="36"/>
          <w:szCs w:val="36"/>
        </w:rPr>
        <w:t>大”</w:t>
      </w:r>
      <w:r>
        <w:rPr>
          <w:rFonts w:hint="eastAsia" w:ascii="黑体" w:hAnsi="黑体" w:eastAsia="黑体"/>
          <w:bCs/>
          <w:kern w:val="0"/>
          <w:sz w:val="36"/>
          <w:szCs w:val="36"/>
        </w:rPr>
        <w:t>战略性</w:t>
      </w:r>
      <w:r>
        <w:rPr>
          <w:rFonts w:ascii="黑体" w:hAnsi="黑体" w:eastAsia="黑体"/>
          <w:bCs/>
          <w:kern w:val="0"/>
          <w:sz w:val="36"/>
          <w:szCs w:val="36"/>
        </w:rPr>
        <w:t>主导产业布局</w:t>
      </w:r>
    </w:p>
    <w:tbl>
      <w:tblPr>
        <w:tblStyle w:val="12"/>
        <w:tblpPr w:leftFromText="181" w:rightFromText="181" w:vertAnchor="text" w:tblpXSpec="center" w:tblpY="1"/>
        <w:tblW w:w="10915" w:type="dxa"/>
        <w:tblInd w:w="0" w:type="dxa"/>
        <w:tblLayout w:type="fixed"/>
        <w:tblCellMar>
          <w:top w:w="15" w:type="dxa"/>
          <w:left w:w="15" w:type="dxa"/>
          <w:bottom w:w="15" w:type="dxa"/>
          <w:right w:w="15" w:type="dxa"/>
        </w:tblCellMar>
      </w:tblPr>
      <w:tblGrid>
        <w:gridCol w:w="3002"/>
        <w:gridCol w:w="992"/>
        <w:gridCol w:w="972"/>
        <w:gridCol w:w="1134"/>
        <w:gridCol w:w="1276"/>
        <w:gridCol w:w="1134"/>
        <w:gridCol w:w="2405"/>
      </w:tblGrid>
      <w:tr>
        <w:tblPrEx>
          <w:tblCellMar>
            <w:top w:w="15" w:type="dxa"/>
            <w:left w:w="15" w:type="dxa"/>
            <w:bottom w:w="15" w:type="dxa"/>
            <w:right w:w="15" w:type="dxa"/>
          </w:tblCellMar>
        </w:tblPrEx>
        <w:trPr>
          <w:trHeight w:val="1256" w:hRule="atLeast"/>
          <w:tblHeader/>
        </w:trPr>
        <w:tc>
          <w:tcPr>
            <w:tcW w:w="3002"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972"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276"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240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340" w:hRule="atLeast"/>
        </w:trPr>
        <w:tc>
          <w:tcPr>
            <w:tcW w:w="3002"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1.电子信息</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240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3</w:t>
            </w:r>
          </w:p>
        </w:tc>
      </w:tr>
      <w:tr>
        <w:tblPrEx>
          <w:tblCellMar>
            <w:top w:w="15" w:type="dxa"/>
            <w:left w:w="15" w:type="dxa"/>
            <w:bottom w:w="15" w:type="dxa"/>
            <w:right w:w="15" w:type="dxa"/>
          </w:tblCellMar>
        </w:tblPrEx>
        <w:trPr>
          <w:trHeight w:val="340" w:hRule="atLeast"/>
        </w:trPr>
        <w:tc>
          <w:tcPr>
            <w:tcW w:w="3002"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2.</w:t>
            </w:r>
            <w:r>
              <w:rPr>
                <w:rFonts w:hint="eastAsia" w:ascii="黑体" w:hAnsi="黑体" w:eastAsia="黑体"/>
                <w:sz w:val="28"/>
                <w:szCs w:val="28"/>
              </w:rPr>
              <w:t>新能源汽车</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24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2</w:t>
            </w:r>
          </w:p>
        </w:tc>
      </w:tr>
      <w:tr>
        <w:tblPrEx>
          <w:tblCellMar>
            <w:top w:w="15" w:type="dxa"/>
            <w:left w:w="15" w:type="dxa"/>
            <w:bottom w:w="15" w:type="dxa"/>
            <w:right w:w="15" w:type="dxa"/>
          </w:tblCellMar>
        </w:tblPrEx>
        <w:trPr>
          <w:trHeight w:val="340" w:hRule="atLeast"/>
        </w:trPr>
        <w:tc>
          <w:tcPr>
            <w:tcW w:w="3002"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hint="eastAsia" w:ascii="黑体" w:hAnsi="黑体" w:eastAsia="黑体"/>
                <w:sz w:val="28"/>
                <w:szCs w:val="28"/>
              </w:rPr>
              <w:t>3</w:t>
            </w:r>
            <w:r>
              <w:rPr>
                <w:rFonts w:ascii="黑体" w:hAnsi="黑体" w:eastAsia="黑体"/>
                <w:sz w:val="28"/>
                <w:szCs w:val="28"/>
              </w:rPr>
              <w:t>.</w:t>
            </w:r>
            <w:r>
              <w:rPr>
                <w:rFonts w:hint="eastAsia" w:ascii="黑体" w:hAnsi="黑体" w:eastAsia="黑体"/>
                <w:sz w:val="28"/>
                <w:szCs w:val="28"/>
              </w:rPr>
              <w:t>海洋工程及装备制造</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240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sz w:val="28"/>
                <w:szCs w:val="28"/>
              </w:rPr>
              <w:t>1</w:t>
            </w:r>
          </w:p>
        </w:tc>
      </w:tr>
      <w:tr>
        <w:tblPrEx>
          <w:tblCellMar>
            <w:top w:w="15" w:type="dxa"/>
            <w:left w:w="15" w:type="dxa"/>
            <w:bottom w:w="15" w:type="dxa"/>
            <w:right w:w="15" w:type="dxa"/>
          </w:tblCellMar>
        </w:tblPrEx>
        <w:trPr>
          <w:trHeight w:val="340" w:hRule="atLeast"/>
        </w:trPr>
        <w:tc>
          <w:tcPr>
            <w:tcW w:w="3002"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4.</w:t>
            </w:r>
            <w:r>
              <w:rPr>
                <w:rFonts w:hint="eastAsia" w:ascii="黑体" w:hAnsi="黑体" w:eastAsia="黑体"/>
                <w:sz w:val="28"/>
                <w:szCs w:val="28"/>
              </w:rPr>
              <w:t>电力能源</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24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340" w:hRule="atLeast"/>
        </w:trPr>
        <w:tc>
          <w:tcPr>
            <w:tcW w:w="3002"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hint="eastAsia" w:eastAsia="仿宋_GB2312"/>
                <w:kern w:val="0"/>
                <w:sz w:val="28"/>
                <w:szCs w:val="28"/>
              </w:rPr>
              <w:t>2</w:t>
            </w:r>
          </w:p>
        </w:tc>
        <w:tc>
          <w:tcPr>
            <w:tcW w:w="97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2</w:t>
            </w:r>
          </w:p>
        </w:tc>
        <w:tc>
          <w:tcPr>
            <w:tcW w:w="240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ind w:firstLine="643" w:firstLineChars="200"/>
        <w:outlineLvl w:val="1"/>
        <w:rPr>
          <w:rFonts w:ascii="仿宋_GB2312" w:hAnsi="仿宋" w:eastAsia="仿宋_GB2312" w:cs="仿宋"/>
          <w:b/>
          <w:color w:val="000000"/>
          <w:sz w:val="32"/>
          <w:szCs w:val="32"/>
        </w:rPr>
      </w:pPr>
      <w:r>
        <w:rPr>
          <w:rFonts w:ascii="仿宋_GB2312" w:hAnsi="仿宋" w:eastAsia="仿宋_GB2312" w:cs="仿宋"/>
          <w:b/>
          <w:color w:val="000000"/>
          <w:sz w:val="32"/>
          <w:szCs w:val="32"/>
        </w:rPr>
        <w:br w:type="page"/>
      </w:r>
    </w:p>
    <w:p>
      <w:pPr>
        <w:ind w:firstLine="643" w:firstLineChars="200"/>
        <w:outlineLvl w:val="1"/>
        <w:rPr>
          <w:rFonts w:ascii="仿宋_GB2312" w:hAnsi="仿宋" w:eastAsia="仿宋_GB2312" w:cs="仿宋"/>
          <w:b/>
          <w:color w:val="000000"/>
          <w:sz w:val="32"/>
          <w:szCs w:val="32"/>
        </w:rPr>
        <w:sectPr>
          <w:pgSz w:w="16838" w:h="11906" w:orient="landscape"/>
          <w:pgMar w:top="1797" w:right="1440" w:bottom="1797" w:left="1440" w:header="851" w:footer="992" w:gutter="0"/>
          <w:pgNumType w:start="1"/>
          <w:cols w:space="425" w:num="1"/>
          <w:docGrid w:type="lines" w:linePitch="312" w:charSpace="0"/>
        </w:sectPr>
      </w:pPr>
    </w:p>
    <w:p>
      <w:pPr>
        <w:spacing w:after="120"/>
        <w:jc w:val="center"/>
        <w:rPr>
          <w:rFonts w:ascii="仿宋_GB2312" w:hAnsi="仿宋" w:eastAsia="仿宋_GB2312" w:cs="宋体"/>
          <w:sz w:val="32"/>
          <w:szCs w:val="32"/>
          <w:lang w:bidi="zh-TW"/>
        </w:rPr>
      </w:pPr>
      <w:r>
        <w:rPr>
          <w:rFonts w:hint="eastAsia" w:ascii="黑体" w:hAnsi="黑体" w:eastAsia="黑体"/>
          <w:bCs/>
          <w:kern w:val="0"/>
          <w:sz w:val="36"/>
          <w:szCs w:val="36"/>
        </w:rPr>
        <w:t>四</w:t>
      </w:r>
      <w:r>
        <w:rPr>
          <w:rFonts w:ascii="黑体" w:hAnsi="黑体" w:eastAsia="黑体"/>
          <w:bCs/>
          <w:kern w:val="0"/>
          <w:sz w:val="36"/>
          <w:szCs w:val="36"/>
        </w:rPr>
        <w:t>大</w:t>
      </w:r>
      <w:r>
        <w:rPr>
          <w:rFonts w:hint="eastAsia" w:ascii="黑体" w:hAnsi="黑体" w:eastAsia="黑体"/>
          <w:bCs/>
          <w:kern w:val="0"/>
          <w:sz w:val="36"/>
          <w:szCs w:val="36"/>
        </w:rPr>
        <w:t>战略性</w:t>
      </w:r>
      <w:r>
        <w:rPr>
          <w:rFonts w:ascii="黑体" w:hAnsi="黑体" w:eastAsia="黑体"/>
          <w:bCs/>
          <w:kern w:val="0"/>
          <w:sz w:val="36"/>
          <w:szCs w:val="36"/>
        </w:rPr>
        <w:t>主导产业布局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7839710" cy="4716780"/>
            <wp:effectExtent l="0" t="0" r="889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843436" cy="4718666"/>
                    </a:xfrm>
                    <a:prstGeom prst="rect">
                      <a:avLst/>
                    </a:prstGeom>
                    <a:noFill/>
                    <a:ln>
                      <a:noFill/>
                    </a:ln>
                  </pic:spPr>
                </pic:pic>
              </a:graphicData>
            </a:graphic>
          </wp:inline>
        </w:drawing>
      </w: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四大战略性新兴</w:t>
      </w:r>
      <w:r>
        <w:rPr>
          <w:rFonts w:ascii="黑体" w:hAnsi="黑体" w:eastAsia="黑体"/>
          <w:bCs/>
          <w:kern w:val="0"/>
          <w:sz w:val="36"/>
          <w:szCs w:val="36"/>
        </w:rPr>
        <w:t>产业布局</w:t>
      </w:r>
    </w:p>
    <w:p>
      <w:pPr>
        <w:spacing w:after="120"/>
        <w:jc w:val="center"/>
        <w:rPr>
          <w:rFonts w:ascii="黑体" w:hAnsi="黑体" w:eastAsia="黑体"/>
          <w:sz w:val="24"/>
          <w:szCs w:val="28"/>
        </w:rPr>
      </w:pPr>
    </w:p>
    <w:tbl>
      <w:tblPr>
        <w:tblStyle w:val="12"/>
        <w:tblpPr w:leftFromText="181" w:rightFromText="181" w:vertAnchor="text" w:tblpXSpec="center" w:tblpY="1"/>
        <w:tblW w:w="11194" w:type="dxa"/>
        <w:tblInd w:w="0" w:type="dxa"/>
        <w:tblLayout w:type="fixed"/>
        <w:tblCellMar>
          <w:top w:w="15" w:type="dxa"/>
          <w:left w:w="15" w:type="dxa"/>
          <w:bottom w:w="15" w:type="dxa"/>
          <w:right w:w="15" w:type="dxa"/>
        </w:tblCellMar>
      </w:tblPr>
      <w:tblGrid>
        <w:gridCol w:w="3144"/>
        <w:gridCol w:w="992"/>
        <w:gridCol w:w="1104"/>
        <w:gridCol w:w="1002"/>
        <w:gridCol w:w="1276"/>
        <w:gridCol w:w="1134"/>
        <w:gridCol w:w="2542"/>
      </w:tblGrid>
      <w:tr>
        <w:tblPrEx>
          <w:tblCellMar>
            <w:top w:w="15" w:type="dxa"/>
            <w:left w:w="15" w:type="dxa"/>
            <w:bottom w:w="15" w:type="dxa"/>
            <w:right w:w="15" w:type="dxa"/>
          </w:tblCellMar>
        </w:tblPrEx>
        <w:trPr>
          <w:trHeight w:val="1256" w:hRule="atLeast"/>
          <w:tblHeader/>
        </w:trPr>
        <w:tc>
          <w:tcPr>
            <w:tcW w:w="3144"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1104"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002"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276"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25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340" w:hRule="atLeast"/>
        </w:trPr>
        <w:tc>
          <w:tcPr>
            <w:tcW w:w="3144"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5.</w:t>
            </w:r>
            <w:r>
              <w:rPr>
                <w:rFonts w:hint="eastAsia" w:ascii="黑体" w:hAnsi="黑体" w:eastAsia="黑体"/>
                <w:sz w:val="28"/>
                <w:szCs w:val="28"/>
              </w:rPr>
              <w:t>数字经济核心产业</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1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00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254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3</w:t>
            </w:r>
          </w:p>
        </w:tc>
      </w:tr>
      <w:tr>
        <w:tblPrEx>
          <w:tblCellMar>
            <w:top w:w="15" w:type="dxa"/>
            <w:left w:w="15" w:type="dxa"/>
            <w:bottom w:w="15" w:type="dxa"/>
            <w:right w:w="15" w:type="dxa"/>
          </w:tblCellMar>
        </w:tblPrEx>
        <w:trPr>
          <w:trHeight w:val="340" w:hRule="atLeast"/>
        </w:trPr>
        <w:tc>
          <w:tcPr>
            <w:tcW w:w="3144"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6.</w:t>
            </w:r>
            <w:r>
              <w:rPr>
                <w:rFonts w:hint="eastAsia" w:ascii="黑体" w:hAnsi="黑体" w:eastAsia="黑体"/>
                <w:sz w:val="28"/>
                <w:szCs w:val="28"/>
              </w:rPr>
              <w:t>绿色石化</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0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25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1</w:t>
            </w:r>
          </w:p>
        </w:tc>
      </w:tr>
      <w:tr>
        <w:tblPrEx>
          <w:tblCellMar>
            <w:top w:w="15" w:type="dxa"/>
            <w:left w:w="15" w:type="dxa"/>
            <w:bottom w:w="15" w:type="dxa"/>
            <w:right w:w="15" w:type="dxa"/>
          </w:tblCellMar>
        </w:tblPrEx>
        <w:trPr>
          <w:trHeight w:val="340" w:hRule="atLeast"/>
        </w:trPr>
        <w:tc>
          <w:tcPr>
            <w:tcW w:w="3144"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7.</w:t>
            </w:r>
            <w:r>
              <w:rPr>
                <w:rFonts w:hint="eastAsia" w:ascii="黑体" w:hAnsi="黑体" w:eastAsia="黑体"/>
                <w:sz w:val="28"/>
                <w:szCs w:val="28"/>
              </w:rPr>
              <w:t>海洋生物</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sz w:val="28"/>
                <w:szCs w:val="28"/>
              </w:rPr>
            </w:pPr>
            <w:r>
              <w:rPr>
                <w:rFonts w:hint="eastAsia" w:ascii="Segoe UI Symbol" w:hAnsi="Segoe UI Symbol" w:cs="Segoe UI Symbol"/>
                <w:sz w:val="28"/>
                <w:szCs w:val="28"/>
              </w:rPr>
              <w:t>★★★</w:t>
            </w:r>
          </w:p>
        </w:tc>
        <w:tc>
          <w:tcPr>
            <w:tcW w:w="11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00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254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340" w:hRule="atLeast"/>
        </w:trPr>
        <w:tc>
          <w:tcPr>
            <w:tcW w:w="3144"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8.</w:t>
            </w:r>
            <w:r>
              <w:rPr>
                <w:rFonts w:hint="eastAsia" w:ascii="黑体" w:hAnsi="黑体" w:eastAsia="黑体"/>
                <w:sz w:val="28"/>
                <w:szCs w:val="28"/>
              </w:rPr>
              <w:t>新材料</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r>
              <w:rPr>
                <w:rFonts w:hint="eastAsia" w:ascii="Segoe UI Symbol" w:hAnsi="Segoe UI Symbol" w:cs="Segoe UI Symbol"/>
                <w:sz w:val="28"/>
                <w:szCs w:val="28"/>
              </w:rPr>
              <w:t>★★</w:t>
            </w:r>
          </w:p>
        </w:tc>
        <w:tc>
          <w:tcPr>
            <w:tcW w:w="11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0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25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340" w:hRule="atLeast"/>
        </w:trPr>
        <w:tc>
          <w:tcPr>
            <w:tcW w:w="3144"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100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25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战略性新兴</w:t>
      </w:r>
      <w:r>
        <w:rPr>
          <w:rFonts w:ascii="黑体" w:hAnsi="黑体" w:eastAsia="黑体"/>
          <w:bCs/>
          <w:kern w:val="0"/>
          <w:sz w:val="36"/>
          <w:szCs w:val="36"/>
        </w:rPr>
        <w:t>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7462520" cy="4698365"/>
            <wp:effectExtent l="0" t="0" r="508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463996" cy="4699627"/>
                    </a:xfrm>
                    <a:prstGeom prst="rect">
                      <a:avLst/>
                    </a:prstGeom>
                    <a:noFill/>
                    <a:ln>
                      <a:noFill/>
                    </a:ln>
                  </pic:spPr>
                </pic:pic>
              </a:graphicData>
            </a:graphic>
          </wp:inline>
        </w:drawing>
      </w: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三大优势传统</w:t>
      </w:r>
      <w:r>
        <w:rPr>
          <w:rFonts w:ascii="黑体" w:hAnsi="黑体" w:eastAsia="黑体"/>
          <w:bCs/>
          <w:kern w:val="0"/>
          <w:sz w:val="36"/>
          <w:szCs w:val="36"/>
        </w:rPr>
        <w:t>产业布局</w:t>
      </w:r>
    </w:p>
    <w:p>
      <w:pPr>
        <w:spacing w:after="120"/>
        <w:jc w:val="center"/>
        <w:rPr>
          <w:rFonts w:ascii="黑体" w:hAnsi="黑体" w:eastAsia="黑体"/>
          <w:sz w:val="24"/>
          <w:szCs w:val="28"/>
        </w:rPr>
      </w:pPr>
    </w:p>
    <w:tbl>
      <w:tblPr>
        <w:tblStyle w:val="12"/>
        <w:tblpPr w:leftFromText="181" w:rightFromText="181" w:vertAnchor="text" w:tblpXSpec="center" w:tblpY="1"/>
        <w:tblW w:w="11052" w:type="dxa"/>
        <w:tblInd w:w="0" w:type="dxa"/>
        <w:tblLayout w:type="fixed"/>
        <w:tblCellMar>
          <w:top w:w="15" w:type="dxa"/>
          <w:left w:w="15" w:type="dxa"/>
          <w:bottom w:w="15" w:type="dxa"/>
          <w:right w:w="15" w:type="dxa"/>
        </w:tblCellMar>
      </w:tblPr>
      <w:tblGrid>
        <w:gridCol w:w="2861"/>
        <w:gridCol w:w="992"/>
        <w:gridCol w:w="972"/>
        <w:gridCol w:w="1134"/>
        <w:gridCol w:w="1276"/>
        <w:gridCol w:w="1134"/>
        <w:gridCol w:w="2683"/>
      </w:tblGrid>
      <w:tr>
        <w:tblPrEx>
          <w:tblCellMar>
            <w:top w:w="15" w:type="dxa"/>
            <w:left w:w="15" w:type="dxa"/>
            <w:bottom w:w="15" w:type="dxa"/>
            <w:right w:w="15" w:type="dxa"/>
          </w:tblCellMar>
        </w:tblPrEx>
        <w:trPr>
          <w:trHeight w:val="1256" w:hRule="atLeast"/>
          <w:tblHeader/>
        </w:trPr>
        <w:tc>
          <w:tcPr>
            <w:tcW w:w="2861"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972"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276"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268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659" w:hRule="atLeast"/>
        </w:trPr>
        <w:tc>
          <w:tcPr>
            <w:tcW w:w="2861"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9.</w:t>
            </w:r>
            <w:r>
              <w:rPr>
                <w:rFonts w:hint="eastAsia" w:ascii="黑体" w:hAnsi="黑体" w:eastAsia="黑体"/>
                <w:sz w:val="28"/>
                <w:szCs w:val="28"/>
              </w:rPr>
              <w:t>现代农业与食品加工</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268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4</w:t>
            </w:r>
          </w:p>
        </w:tc>
      </w:tr>
      <w:tr>
        <w:tblPrEx>
          <w:tblCellMar>
            <w:top w:w="15" w:type="dxa"/>
            <w:left w:w="15" w:type="dxa"/>
            <w:bottom w:w="15" w:type="dxa"/>
            <w:right w:w="15" w:type="dxa"/>
          </w:tblCellMar>
        </w:tblPrEx>
        <w:trPr>
          <w:trHeight w:val="539" w:hRule="atLeast"/>
        </w:trPr>
        <w:tc>
          <w:tcPr>
            <w:tcW w:w="2861"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10.</w:t>
            </w:r>
            <w:r>
              <w:rPr>
                <w:rFonts w:hint="eastAsia" w:ascii="黑体" w:hAnsi="黑体" w:eastAsia="黑体"/>
                <w:sz w:val="28"/>
                <w:szCs w:val="28"/>
              </w:rPr>
              <w:t>纺织服装</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2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3</w:t>
            </w:r>
          </w:p>
        </w:tc>
      </w:tr>
      <w:tr>
        <w:tblPrEx>
          <w:tblCellMar>
            <w:top w:w="15" w:type="dxa"/>
            <w:left w:w="15" w:type="dxa"/>
            <w:bottom w:w="15" w:type="dxa"/>
            <w:right w:w="15" w:type="dxa"/>
          </w:tblCellMar>
        </w:tblPrEx>
        <w:trPr>
          <w:trHeight w:val="519" w:hRule="atLeast"/>
        </w:trPr>
        <w:tc>
          <w:tcPr>
            <w:tcW w:w="2861"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11.</w:t>
            </w:r>
            <w:r>
              <w:rPr>
                <w:rFonts w:hint="eastAsia" w:ascii="黑体" w:hAnsi="黑体" w:eastAsia="黑体"/>
                <w:sz w:val="28"/>
                <w:szCs w:val="28"/>
              </w:rPr>
              <w:t>金银珠宝首饰与美妆</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268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sz w:val="28"/>
                <w:szCs w:val="28"/>
              </w:rPr>
              <w:t>2</w:t>
            </w:r>
          </w:p>
        </w:tc>
      </w:tr>
      <w:tr>
        <w:tblPrEx>
          <w:tblCellMar>
            <w:top w:w="15" w:type="dxa"/>
            <w:left w:w="15" w:type="dxa"/>
            <w:bottom w:w="15" w:type="dxa"/>
            <w:right w:w="15" w:type="dxa"/>
          </w:tblCellMar>
        </w:tblPrEx>
        <w:trPr>
          <w:trHeight w:val="340" w:hRule="atLeast"/>
        </w:trPr>
        <w:tc>
          <w:tcPr>
            <w:tcW w:w="286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2</w:t>
            </w:r>
          </w:p>
        </w:tc>
        <w:tc>
          <w:tcPr>
            <w:tcW w:w="97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268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优势传统</w:t>
      </w:r>
      <w:r>
        <w:rPr>
          <w:rFonts w:ascii="黑体" w:hAnsi="黑体" w:eastAsia="黑体"/>
          <w:bCs/>
          <w:kern w:val="0"/>
          <w:sz w:val="36"/>
          <w:szCs w:val="36"/>
        </w:rPr>
        <w:t>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7462520" cy="4589780"/>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464000" cy="4591017"/>
                    </a:xfrm>
                    <a:prstGeom prst="rect">
                      <a:avLst/>
                    </a:prstGeom>
                    <a:noFill/>
                    <a:ln>
                      <a:noFill/>
                    </a:ln>
                  </pic:spPr>
                </pic:pic>
              </a:graphicData>
            </a:graphic>
          </wp:inline>
        </w:drawing>
      </w:r>
    </w:p>
    <w:p>
      <w:pPr>
        <w:widowControl/>
        <w:jc w:val="left"/>
        <w:rPr>
          <w:rFonts w:ascii="仿宋_GB2312" w:eastAsia="仿宋_GB2312"/>
          <w:b/>
          <w:bCs/>
          <w:sz w:val="32"/>
          <w:szCs w:val="32"/>
        </w:rPr>
      </w:pPr>
      <w:r>
        <w:rPr>
          <w:rFonts w:ascii="仿宋_GB2312" w:hAnsi="仿宋" w:eastAsia="仿宋_GB2312" w:cs="宋体"/>
          <w:sz w:val="32"/>
          <w:szCs w:val="32"/>
          <w:lang w:bidi="zh-TW"/>
        </w:rPr>
        <w:br w:type="page"/>
      </w:r>
      <w:r>
        <w:rPr>
          <w:rFonts w:hint="eastAsia" w:ascii="仿宋_GB2312" w:eastAsia="仿宋_GB2312"/>
          <w:b/>
          <w:bCs/>
          <w:sz w:val="32"/>
          <w:szCs w:val="32"/>
        </w:rPr>
        <w:t>附件</w:t>
      </w:r>
      <w:r>
        <w:rPr>
          <w:rFonts w:ascii="仿宋_GB2312" w:eastAsia="仿宋_GB2312"/>
          <w:b/>
          <w:bCs/>
          <w:sz w:val="32"/>
          <w:szCs w:val="32"/>
        </w:rPr>
        <w:t>2</w:t>
      </w:r>
    </w:p>
    <w:p>
      <w:pPr>
        <w:spacing w:after="120"/>
        <w:jc w:val="center"/>
        <w:rPr>
          <w:rFonts w:ascii="黑体" w:hAnsi="黑体" w:eastAsia="黑体"/>
          <w:sz w:val="36"/>
          <w:szCs w:val="36"/>
        </w:rPr>
      </w:pPr>
      <w:r>
        <w:rPr>
          <w:rFonts w:hint="eastAsia" w:ascii="黑体" w:hAnsi="黑体" w:eastAsia="黑体"/>
          <w:sz w:val="36"/>
          <w:szCs w:val="36"/>
        </w:rPr>
        <w:t>汕尾各产业集群创新资源、重大平台载体和重点企业清单</w:t>
      </w:r>
    </w:p>
    <w:tbl>
      <w:tblPr>
        <w:tblStyle w:val="12"/>
        <w:tblW w:w="14026" w:type="dxa"/>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26"/>
        <w:gridCol w:w="1843"/>
        <w:gridCol w:w="1276"/>
        <w:gridCol w:w="602"/>
        <w:gridCol w:w="810"/>
        <w:gridCol w:w="998"/>
        <w:gridCol w:w="708"/>
        <w:gridCol w:w="709"/>
        <w:gridCol w:w="709"/>
        <w:gridCol w:w="2268"/>
        <w:gridCol w:w="1134"/>
        <w:gridCol w:w="1134"/>
        <w:gridCol w:w="709"/>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产业集群</w:t>
            </w:r>
          </w:p>
        </w:tc>
        <w:tc>
          <w:tcPr>
            <w:tcW w:w="3721" w:type="dxa"/>
            <w:gridSpan w:val="3"/>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创新资源</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p>
        </w:tc>
        <w:tc>
          <w:tcPr>
            <w:tcW w:w="3124" w:type="dxa"/>
            <w:gridSpan w:val="4"/>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重大平台载体</w:t>
            </w:r>
          </w:p>
        </w:tc>
        <w:tc>
          <w:tcPr>
            <w:tcW w:w="5245" w:type="dxa"/>
            <w:gridSpan w:val="4"/>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重点企业（龙头企业、隐形冠军企业）</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名称</w:t>
            </w: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性质</w:t>
            </w: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级别</w:t>
            </w: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地区</w:t>
            </w: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名称</w:t>
            </w: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性质</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级别</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地区</w:t>
            </w: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名称</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类型</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2020年主营业务收入（亿元）</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地区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电子信息</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广东省薄膜减反技术企业重点实验室</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企业重点实验室</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汕尾高新区</w:t>
            </w: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高新区</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省级</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城区、陆丰市</w:t>
            </w: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信利光电股份有限公司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176.55</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广东省医疗器械产业计量测试中心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信利半导体有限公司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36.28</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信利电子有限公司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5.07</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信利仪器有限公司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汕尾德昌电子有限公司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2.69</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39"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路华电子科技（汕尾）有限公司</w:t>
            </w: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新能源汽车</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广东省高性能锂离子电池工程技术研究中心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工程技术研究中心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陆河县产业转移工业园</w:t>
            </w: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高新区</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spacing w:line="480" w:lineRule="exact"/>
              <w:jc w:val="center"/>
            </w:pPr>
            <w:r>
              <w:rPr>
                <w:rFonts w:hint="eastAsia"/>
              </w:rPr>
              <w:t>省级</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spacing w:line="480" w:lineRule="exact"/>
              <w:jc w:val="center"/>
            </w:pPr>
            <w:r>
              <w:rPr>
                <w:rFonts w:hint="eastAsia"/>
              </w:rPr>
              <w:t>陆河县</w:t>
            </w: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汕尾比亚迪汽车有限公司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69.87</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比德能源企业研发中心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技术研发中心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陆丰市比德能源有限公司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汕尾市科技成果中试基地</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39"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市级企业研发中心</w:t>
            </w:r>
          </w:p>
        </w:tc>
        <w:tc>
          <w:tcPr>
            <w:tcW w:w="1276"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海工装备制造</w:t>
            </w: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汕尾明阳新能源科技有限公司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南海海缆有限公司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青岛天能重工股份有限公司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bottom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广东长风新型能源装备制造有限公司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62" w:hRule="atLeast"/>
          <w:jc w:val="center"/>
        </w:trPr>
        <w:tc>
          <w:tcPr>
            <w:tcW w:w="1126"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绿色石化</w:t>
            </w:r>
          </w:p>
        </w:tc>
        <w:tc>
          <w:tcPr>
            <w:tcW w:w="1843" w:type="dxa"/>
            <w:tcBorders>
              <w:top w:val="outset" w:color="000000" w:sz="6"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电力能源</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先进能源科学与技术广东省实验室汕尾分中心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省重点实验室</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陆丰宝丽华新能源电力有限公司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29.3</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汕尾市南告水电有限责任公司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0.22</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陆河县新坑电站有限公司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0.05</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tcBorders>
              <w:top w:val="outset" w:color="000000" w:sz="6" w:space="0"/>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 xml:space="preserve">数字经济核心产业 </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新材料</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广东省电子封装材料与工艺设计（索思）工程技术研究中心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工程技术研究中心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陆河县产业转移工业园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高新区</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汕尾天贸新能源科技有限公司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镍粉与电池容量、导电性技术研发中心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技术研发中心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陆丰</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广东省维业科技有限公司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0.44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市级企业研发中心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广东伟泰新型建材有限公司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0.29</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广东华南幕墙科技有限公司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0.34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陆丰市威海德实业发展有限公司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生物医药</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restart"/>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现代农业与食品加工</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汕尾市青梅产业研究院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新型研发机构</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陆河县产业转移工业园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高新区</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汕尾市国泰食品有限公司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国家级龙头企业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0.52</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汕尾市中科沉香标准研究院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非营利组织</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海丰县蔬菜产业园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汕尾市五丰水产食品有限公司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汕尾市现代畜牧产业研究院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非营利组织</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海丰县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陆丰市萝卜产业园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汕尾市利群农业食品有限公司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市级企业研发中心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陆河县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城区水产产业园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水产养殖</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汕尾雅泰隆食品有限公司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莲雾酵素提纯过滤研发中心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技术研发中心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陆河县青梅产业园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汕尾宝山猪场有限公司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陆丰市甘薯产业园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汕尾市丰隆米业有限公司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海丰县丝苗米产业园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汕尾市金瑞丰生态农业有限公司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陆丰荔枝现代农业产业园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广东中荣农业有限公司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陆河茶叶产业园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汕尾市合利农业发展有限公司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海丰县优稀水果市级现代农业产业园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陆丰丰田畜产有限公司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华侨管理区岭南特色水果市级现代农业产业园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华侨</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陆丰市碣海种养有限责任公司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陆河县食品公司河田食品站河城肉联厂</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0.64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8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226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陆河县果田生态农业科技有限公司</w:t>
            </w:r>
          </w:p>
        </w:tc>
        <w:tc>
          <w:tcPr>
            <w:tcW w:w="1134"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龙头企业</w:t>
            </w:r>
          </w:p>
        </w:tc>
        <w:tc>
          <w:tcPr>
            <w:tcW w:w="1134"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0.05</w:t>
            </w: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纺织服装</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汕尾万盛针织时装有限公司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0.49</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金银珠宝首饰与美妆</w:t>
            </w:r>
          </w:p>
        </w:tc>
        <w:tc>
          <w:tcPr>
            <w:tcW w:w="1843" w:type="dxa"/>
            <w:tcBorders>
              <w:top w:val="single" w:color="auto" w:sz="4" w:space="0"/>
              <w:left w:val="outset" w:color="000000" w:sz="6"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海丰首饰产业环保集聚区</w:t>
            </w:r>
          </w:p>
        </w:tc>
        <w:tc>
          <w:tcPr>
            <w:tcW w:w="70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产业园区</w:t>
            </w: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省级</w:t>
            </w: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海丰</w:t>
            </w:r>
          </w:p>
        </w:tc>
        <w:tc>
          <w:tcPr>
            <w:tcW w:w="226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126" w:type="dxa"/>
            <w:vMerge w:val="continue"/>
            <w:tcBorders>
              <w:left w:val="outset" w:color="000000" w:sz="6" w:space="0"/>
              <w:right w:val="outset" w:color="000000" w:sz="6" w:space="0"/>
            </w:tcBorders>
            <w:shd w:val="clear" w:color="auto" w:fill="FFFFFF"/>
            <w:vAlign w:val="center"/>
          </w:tcPr>
          <w:p>
            <w:pP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bl>
    <w:p>
      <w:pPr>
        <w:spacing w:after="120"/>
        <w:ind w:firstLine="640" w:firstLineChars="200"/>
        <w:rPr>
          <w:rFonts w:ascii="仿宋_GB2312" w:eastAsia="仿宋_GB2312"/>
          <w:sz w:val="32"/>
          <w:szCs w:val="32"/>
        </w:rPr>
      </w:pPr>
    </w:p>
    <w:p>
      <w:pPr>
        <w:spacing w:after="120"/>
        <w:ind w:firstLine="640" w:firstLineChars="200"/>
        <w:rPr>
          <w:rFonts w:ascii="仿宋_GB2312" w:eastAsia="仿宋_GB2312"/>
          <w:sz w:val="32"/>
          <w:szCs w:val="32"/>
        </w:rPr>
      </w:pPr>
    </w:p>
    <w:p>
      <w:pPr>
        <w:spacing w:after="120"/>
        <w:rPr>
          <w:rFonts w:ascii="仿宋_GB2312" w:eastAsia="仿宋_GB2312"/>
          <w:sz w:val="32"/>
          <w:szCs w:val="32"/>
        </w:rPr>
      </w:pPr>
    </w:p>
    <w:p>
      <w:pPr>
        <w:widowControl/>
        <w:jc w:val="left"/>
        <w:rPr>
          <w:rFonts w:ascii="仿宋_GB2312" w:eastAsia="仿宋_GB2312"/>
          <w:sz w:val="32"/>
          <w:szCs w:val="32"/>
        </w:rPr>
      </w:pPr>
    </w:p>
    <w:sectPr>
      <w:pgSz w:w="16838" w:h="11906" w:orient="landscape"/>
      <w:pgMar w:top="1797" w:right="1440" w:bottom="1797" w:left="144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Segoe UI Symbol">
    <w:panose1 w:val="020B0502040204020203"/>
    <w:charset w:val="00"/>
    <w:family w:val="swiss"/>
    <w:pitch w:val="default"/>
    <w:sig w:usb0="8000006F" w:usb1="1200FBEF" w:usb2="0064C000" w:usb3="00000002" w:csb0="00000001" w:csb1="4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623335"/>
    </w:sdtPr>
    <w:sdtContent>
      <w:p>
        <w:pPr>
          <w:pStyle w:val="7"/>
          <w:jc w:val="center"/>
        </w:pPr>
        <w:r>
          <w:fldChar w:fldCharType="begin"/>
        </w:r>
        <w:r>
          <w:instrText xml:space="preserve">PAGE   \* MERGEFORMAT</w:instrText>
        </w:r>
        <w:r>
          <w:fldChar w:fldCharType="separate"/>
        </w:r>
        <w:r>
          <w:rPr>
            <w:lang w:val="zh-CN"/>
          </w:rPr>
          <w:t>36</w:t>
        </w:r>
        <w: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5MjAzZGZhMGQ1MTcyOGI4NWJhMTE4MWNhNWYxZWMifQ=="/>
  </w:docVars>
  <w:rsids>
    <w:rsidRoot w:val="00BE2B78"/>
    <w:rsid w:val="00001C5D"/>
    <w:rsid w:val="00002AE6"/>
    <w:rsid w:val="00002E89"/>
    <w:rsid w:val="0000798A"/>
    <w:rsid w:val="0001291A"/>
    <w:rsid w:val="0001456C"/>
    <w:rsid w:val="00016A7F"/>
    <w:rsid w:val="000177FF"/>
    <w:rsid w:val="00020144"/>
    <w:rsid w:val="00021B68"/>
    <w:rsid w:val="00023B57"/>
    <w:rsid w:val="00025454"/>
    <w:rsid w:val="00025CCC"/>
    <w:rsid w:val="000331AB"/>
    <w:rsid w:val="00033FBE"/>
    <w:rsid w:val="00034624"/>
    <w:rsid w:val="000365BC"/>
    <w:rsid w:val="00040A73"/>
    <w:rsid w:val="00054D43"/>
    <w:rsid w:val="00056354"/>
    <w:rsid w:val="00056886"/>
    <w:rsid w:val="00062DB2"/>
    <w:rsid w:val="00063FF8"/>
    <w:rsid w:val="00064983"/>
    <w:rsid w:val="000659FA"/>
    <w:rsid w:val="0007540B"/>
    <w:rsid w:val="00076B3A"/>
    <w:rsid w:val="00080D8F"/>
    <w:rsid w:val="00083682"/>
    <w:rsid w:val="00084086"/>
    <w:rsid w:val="00086C60"/>
    <w:rsid w:val="00087256"/>
    <w:rsid w:val="000902F2"/>
    <w:rsid w:val="000937FB"/>
    <w:rsid w:val="00096F0C"/>
    <w:rsid w:val="0009792C"/>
    <w:rsid w:val="000A543C"/>
    <w:rsid w:val="000A6953"/>
    <w:rsid w:val="000A7124"/>
    <w:rsid w:val="000B27B9"/>
    <w:rsid w:val="000C2818"/>
    <w:rsid w:val="000C307F"/>
    <w:rsid w:val="000D0029"/>
    <w:rsid w:val="000D4677"/>
    <w:rsid w:val="000D59EE"/>
    <w:rsid w:val="000D6C63"/>
    <w:rsid w:val="000E3C73"/>
    <w:rsid w:val="000E588A"/>
    <w:rsid w:val="000E6DCB"/>
    <w:rsid w:val="000E7E3A"/>
    <w:rsid w:val="000F0EE9"/>
    <w:rsid w:val="000F209E"/>
    <w:rsid w:val="001011EF"/>
    <w:rsid w:val="001047D6"/>
    <w:rsid w:val="00110643"/>
    <w:rsid w:val="001121AD"/>
    <w:rsid w:val="00112F8F"/>
    <w:rsid w:val="0011379E"/>
    <w:rsid w:val="00113CC0"/>
    <w:rsid w:val="001157D6"/>
    <w:rsid w:val="00115E65"/>
    <w:rsid w:val="001173FA"/>
    <w:rsid w:val="00120B24"/>
    <w:rsid w:val="00130C26"/>
    <w:rsid w:val="00132F00"/>
    <w:rsid w:val="001336AD"/>
    <w:rsid w:val="001401D8"/>
    <w:rsid w:val="00142C71"/>
    <w:rsid w:val="00144953"/>
    <w:rsid w:val="00146CA9"/>
    <w:rsid w:val="00146FAE"/>
    <w:rsid w:val="0014780D"/>
    <w:rsid w:val="00150529"/>
    <w:rsid w:val="001527BF"/>
    <w:rsid w:val="0015283A"/>
    <w:rsid w:val="00153DB4"/>
    <w:rsid w:val="0015401A"/>
    <w:rsid w:val="00161ADB"/>
    <w:rsid w:val="00165D2A"/>
    <w:rsid w:val="0016724A"/>
    <w:rsid w:val="00167993"/>
    <w:rsid w:val="00172CA5"/>
    <w:rsid w:val="00173366"/>
    <w:rsid w:val="00174F38"/>
    <w:rsid w:val="00180B78"/>
    <w:rsid w:val="00183E55"/>
    <w:rsid w:val="00184A41"/>
    <w:rsid w:val="0019283F"/>
    <w:rsid w:val="001A2727"/>
    <w:rsid w:val="001A4BB0"/>
    <w:rsid w:val="001A53AB"/>
    <w:rsid w:val="001A5B11"/>
    <w:rsid w:val="001C389A"/>
    <w:rsid w:val="001D3D19"/>
    <w:rsid w:val="001D3DC1"/>
    <w:rsid w:val="001D4D52"/>
    <w:rsid w:val="001E15C2"/>
    <w:rsid w:val="001E1AFB"/>
    <w:rsid w:val="001E51D5"/>
    <w:rsid w:val="001E5859"/>
    <w:rsid w:val="001F127F"/>
    <w:rsid w:val="001F1F35"/>
    <w:rsid w:val="001F7977"/>
    <w:rsid w:val="001F7EB3"/>
    <w:rsid w:val="00203B79"/>
    <w:rsid w:val="00210B81"/>
    <w:rsid w:val="00214940"/>
    <w:rsid w:val="002171A1"/>
    <w:rsid w:val="002177BA"/>
    <w:rsid w:val="00217A83"/>
    <w:rsid w:val="00217C85"/>
    <w:rsid w:val="00226C7D"/>
    <w:rsid w:val="00230A12"/>
    <w:rsid w:val="0023224B"/>
    <w:rsid w:val="00236ABB"/>
    <w:rsid w:val="00241CB0"/>
    <w:rsid w:val="00241DBA"/>
    <w:rsid w:val="002446B7"/>
    <w:rsid w:val="00245D03"/>
    <w:rsid w:val="00246D9F"/>
    <w:rsid w:val="00250A5D"/>
    <w:rsid w:val="0025206C"/>
    <w:rsid w:val="002527F9"/>
    <w:rsid w:val="0025281F"/>
    <w:rsid w:val="0026667D"/>
    <w:rsid w:val="00266BDC"/>
    <w:rsid w:val="0027140D"/>
    <w:rsid w:val="002728B0"/>
    <w:rsid w:val="002735AF"/>
    <w:rsid w:val="0027408C"/>
    <w:rsid w:val="00281460"/>
    <w:rsid w:val="002820CD"/>
    <w:rsid w:val="00282138"/>
    <w:rsid w:val="0028219A"/>
    <w:rsid w:val="0028335B"/>
    <w:rsid w:val="00296E9C"/>
    <w:rsid w:val="00297727"/>
    <w:rsid w:val="002A43D2"/>
    <w:rsid w:val="002A7B61"/>
    <w:rsid w:val="002B1491"/>
    <w:rsid w:val="002B35D8"/>
    <w:rsid w:val="002B3DFE"/>
    <w:rsid w:val="002B46DE"/>
    <w:rsid w:val="002B4FE8"/>
    <w:rsid w:val="002B546E"/>
    <w:rsid w:val="002C01E9"/>
    <w:rsid w:val="002C149B"/>
    <w:rsid w:val="002C19C1"/>
    <w:rsid w:val="002C3D31"/>
    <w:rsid w:val="002D0489"/>
    <w:rsid w:val="002D163C"/>
    <w:rsid w:val="002D1C36"/>
    <w:rsid w:val="002D2826"/>
    <w:rsid w:val="002E24AF"/>
    <w:rsid w:val="002E3178"/>
    <w:rsid w:val="002F0A00"/>
    <w:rsid w:val="00300193"/>
    <w:rsid w:val="00301404"/>
    <w:rsid w:val="00305C61"/>
    <w:rsid w:val="003106AB"/>
    <w:rsid w:val="003113AD"/>
    <w:rsid w:val="003121C6"/>
    <w:rsid w:val="003137B3"/>
    <w:rsid w:val="003171FB"/>
    <w:rsid w:val="00317CD9"/>
    <w:rsid w:val="00325652"/>
    <w:rsid w:val="00326BD0"/>
    <w:rsid w:val="003330B9"/>
    <w:rsid w:val="00333208"/>
    <w:rsid w:val="0034004F"/>
    <w:rsid w:val="003405F5"/>
    <w:rsid w:val="00347915"/>
    <w:rsid w:val="00347AEC"/>
    <w:rsid w:val="00352771"/>
    <w:rsid w:val="00352A19"/>
    <w:rsid w:val="00354545"/>
    <w:rsid w:val="00354F58"/>
    <w:rsid w:val="00355355"/>
    <w:rsid w:val="0036375B"/>
    <w:rsid w:val="003643F2"/>
    <w:rsid w:val="003723B3"/>
    <w:rsid w:val="0037296F"/>
    <w:rsid w:val="0037504E"/>
    <w:rsid w:val="00376772"/>
    <w:rsid w:val="00381687"/>
    <w:rsid w:val="003826DC"/>
    <w:rsid w:val="00384E9B"/>
    <w:rsid w:val="003872EC"/>
    <w:rsid w:val="00396D75"/>
    <w:rsid w:val="00397B26"/>
    <w:rsid w:val="003A1395"/>
    <w:rsid w:val="003A27B6"/>
    <w:rsid w:val="003A7AAE"/>
    <w:rsid w:val="003B0621"/>
    <w:rsid w:val="003B2629"/>
    <w:rsid w:val="003B2CC7"/>
    <w:rsid w:val="003B2D74"/>
    <w:rsid w:val="003B36D1"/>
    <w:rsid w:val="003C0342"/>
    <w:rsid w:val="003C0C6A"/>
    <w:rsid w:val="003C1F8E"/>
    <w:rsid w:val="003D048B"/>
    <w:rsid w:val="003D3EE0"/>
    <w:rsid w:val="003D6042"/>
    <w:rsid w:val="003D6D66"/>
    <w:rsid w:val="003E1329"/>
    <w:rsid w:val="003E2CE0"/>
    <w:rsid w:val="003E46C2"/>
    <w:rsid w:val="003E4EBD"/>
    <w:rsid w:val="003E7E81"/>
    <w:rsid w:val="003F7EA0"/>
    <w:rsid w:val="00400D32"/>
    <w:rsid w:val="00400FE4"/>
    <w:rsid w:val="004028F9"/>
    <w:rsid w:val="00402FD5"/>
    <w:rsid w:val="0041001B"/>
    <w:rsid w:val="0041178F"/>
    <w:rsid w:val="004169A6"/>
    <w:rsid w:val="004170A7"/>
    <w:rsid w:val="00421BD3"/>
    <w:rsid w:val="0042226F"/>
    <w:rsid w:val="00423CC7"/>
    <w:rsid w:val="00424970"/>
    <w:rsid w:val="00431CAB"/>
    <w:rsid w:val="00435463"/>
    <w:rsid w:val="00435745"/>
    <w:rsid w:val="00440CC7"/>
    <w:rsid w:val="004432B6"/>
    <w:rsid w:val="0044332E"/>
    <w:rsid w:val="004436D4"/>
    <w:rsid w:val="00443C18"/>
    <w:rsid w:val="00450131"/>
    <w:rsid w:val="00453B32"/>
    <w:rsid w:val="004627E0"/>
    <w:rsid w:val="004635B6"/>
    <w:rsid w:val="00466A30"/>
    <w:rsid w:val="00467A81"/>
    <w:rsid w:val="00473E61"/>
    <w:rsid w:val="004742F9"/>
    <w:rsid w:val="004775BC"/>
    <w:rsid w:val="004831EE"/>
    <w:rsid w:val="004850F6"/>
    <w:rsid w:val="00486AAE"/>
    <w:rsid w:val="004875EA"/>
    <w:rsid w:val="0049050C"/>
    <w:rsid w:val="004930EC"/>
    <w:rsid w:val="00496C62"/>
    <w:rsid w:val="004A295B"/>
    <w:rsid w:val="004A3331"/>
    <w:rsid w:val="004A5A3E"/>
    <w:rsid w:val="004A6A42"/>
    <w:rsid w:val="004A7DDD"/>
    <w:rsid w:val="004B09EB"/>
    <w:rsid w:val="004B19CC"/>
    <w:rsid w:val="004B3CB8"/>
    <w:rsid w:val="004C0A85"/>
    <w:rsid w:val="004C3F0B"/>
    <w:rsid w:val="004D15DD"/>
    <w:rsid w:val="004D1A64"/>
    <w:rsid w:val="004D23E6"/>
    <w:rsid w:val="004D4AA5"/>
    <w:rsid w:val="004D4FD6"/>
    <w:rsid w:val="004E0BA9"/>
    <w:rsid w:val="004E0E20"/>
    <w:rsid w:val="004E3848"/>
    <w:rsid w:val="004E4800"/>
    <w:rsid w:val="004F04BC"/>
    <w:rsid w:val="004F056B"/>
    <w:rsid w:val="004F4649"/>
    <w:rsid w:val="005059C2"/>
    <w:rsid w:val="005076F8"/>
    <w:rsid w:val="00513C92"/>
    <w:rsid w:val="005146C6"/>
    <w:rsid w:val="005166B4"/>
    <w:rsid w:val="005176FF"/>
    <w:rsid w:val="00521220"/>
    <w:rsid w:val="00521D1B"/>
    <w:rsid w:val="005272D3"/>
    <w:rsid w:val="00534A74"/>
    <w:rsid w:val="00535812"/>
    <w:rsid w:val="005360AF"/>
    <w:rsid w:val="005414AE"/>
    <w:rsid w:val="00545DB4"/>
    <w:rsid w:val="00550756"/>
    <w:rsid w:val="005521E2"/>
    <w:rsid w:val="00552773"/>
    <w:rsid w:val="00554AB7"/>
    <w:rsid w:val="00555221"/>
    <w:rsid w:val="00557CCA"/>
    <w:rsid w:val="00557EB1"/>
    <w:rsid w:val="005644D8"/>
    <w:rsid w:val="00564651"/>
    <w:rsid w:val="00566490"/>
    <w:rsid w:val="00566F30"/>
    <w:rsid w:val="005741AC"/>
    <w:rsid w:val="00574B61"/>
    <w:rsid w:val="00575151"/>
    <w:rsid w:val="005875CD"/>
    <w:rsid w:val="00587BEC"/>
    <w:rsid w:val="00591D2E"/>
    <w:rsid w:val="00597969"/>
    <w:rsid w:val="005A4760"/>
    <w:rsid w:val="005A7444"/>
    <w:rsid w:val="005A7A6A"/>
    <w:rsid w:val="005B181E"/>
    <w:rsid w:val="005B21C2"/>
    <w:rsid w:val="005B6B0E"/>
    <w:rsid w:val="005C1BA5"/>
    <w:rsid w:val="005C2022"/>
    <w:rsid w:val="005C20D1"/>
    <w:rsid w:val="005C28E1"/>
    <w:rsid w:val="005C4474"/>
    <w:rsid w:val="005D3BBA"/>
    <w:rsid w:val="005D52E4"/>
    <w:rsid w:val="005D7ACE"/>
    <w:rsid w:val="005E0C4A"/>
    <w:rsid w:val="005E15A5"/>
    <w:rsid w:val="005E2B7C"/>
    <w:rsid w:val="005E30CA"/>
    <w:rsid w:val="005E472D"/>
    <w:rsid w:val="005E4BBB"/>
    <w:rsid w:val="005F35BE"/>
    <w:rsid w:val="005F504F"/>
    <w:rsid w:val="005F6C6D"/>
    <w:rsid w:val="005F6D8E"/>
    <w:rsid w:val="00600DCD"/>
    <w:rsid w:val="00602782"/>
    <w:rsid w:val="00606290"/>
    <w:rsid w:val="00606977"/>
    <w:rsid w:val="00610499"/>
    <w:rsid w:val="00610B76"/>
    <w:rsid w:val="00610C79"/>
    <w:rsid w:val="006115B0"/>
    <w:rsid w:val="00612266"/>
    <w:rsid w:val="006125E3"/>
    <w:rsid w:val="00614EAE"/>
    <w:rsid w:val="00624379"/>
    <w:rsid w:val="006258DD"/>
    <w:rsid w:val="006302D2"/>
    <w:rsid w:val="00630779"/>
    <w:rsid w:val="00635960"/>
    <w:rsid w:val="00635C9C"/>
    <w:rsid w:val="00637C7E"/>
    <w:rsid w:val="00640847"/>
    <w:rsid w:val="00641A32"/>
    <w:rsid w:val="00654347"/>
    <w:rsid w:val="00655A77"/>
    <w:rsid w:val="00656682"/>
    <w:rsid w:val="00667D56"/>
    <w:rsid w:val="00670B80"/>
    <w:rsid w:val="0067760D"/>
    <w:rsid w:val="006869FA"/>
    <w:rsid w:val="00686A10"/>
    <w:rsid w:val="00694A82"/>
    <w:rsid w:val="006A5912"/>
    <w:rsid w:val="006A6F35"/>
    <w:rsid w:val="006B3D82"/>
    <w:rsid w:val="006B4503"/>
    <w:rsid w:val="006C1107"/>
    <w:rsid w:val="006C4B52"/>
    <w:rsid w:val="006D005F"/>
    <w:rsid w:val="006D0961"/>
    <w:rsid w:val="006D2E42"/>
    <w:rsid w:val="006D3450"/>
    <w:rsid w:val="006D4B34"/>
    <w:rsid w:val="006D6A2B"/>
    <w:rsid w:val="006D6E88"/>
    <w:rsid w:val="006E0DFA"/>
    <w:rsid w:val="006F0171"/>
    <w:rsid w:val="006F3133"/>
    <w:rsid w:val="006F48B4"/>
    <w:rsid w:val="006F5D38"/>
    <w:rsid w:val="007006F6"/>
    <w:rsid w:val="007015E4"/>
    <w:rsid w:val="00703A7F"/>
    <w:rsid w:val="0070452A"/>
    <w:rsid w:val="00710E47"/>
    <w:rsid w:val="00712B33"/>
    <w:rsid w:val="007150B4"/>
    <w:rsid w:val="00720103"/>
    <w:rsid w:val="00721092"/>
    <w:rsid w:val="007235B8"/>
    <w:rsid w:val="0072499F"/>
    <w:rsid w:val="007266AD"/>
    <w:rsid w:val="0073300C"/>
    <w:rsid w:val="007330DC"/>
    <w:rsid w:val="00733668"/>
    <w:rsid w:val="00733F97"/>
    <w:rsid w:val="007355A6"/>
    <w:rsid w:val="00744D7B"/>
    <w:rsid w:val="00746502"/>
    <w:rsid w:val="00747F1D"/>
    <w:rsid w:val="00750FED"/>
    <w:rsid w:val="00752265"/>
    <w:rsid w:val="00754EFB"/>
    <w:rsid w:val="0075520C"/>
    <w:rsid w:val="00755A4F"/>
    <w:rsid w:val="00760F99"/>
    <w:rsid w:val="00762C12"/>
    <w:rsid w:val="0076374B"/>
    <w:rsid w:val="00765EC0"/>
    <w:rsid w:val="00766F68"/>
    <w:rsid w:val="00771B43"/>
    <w:rsid w:val="00773E4C"/>
    <w:rsid w:val="00773E83"/>
    <w:rsid w:val="00775E0E"/>
    <w:rsid w:val="007776A9"/>
    <w:rsid w:val="00777CA8"/>
    <w:rsid w:val="00782F18"/>
    <w:rsid w:val="00783AA2"/>
    <w:rsid w:val="00793B0D"/>
    <w:rsid w:val="00793F5F"/>
    <w:rsid w:val="0079448A"/>
    <w:rsid w:val="007950BE"/>
    <w:rsid w:val="007A0439"/>
    <w:rsid w:val="007A11F0"/>
    <w:rsid w:val="007A1C63"/>
    <w:rsid w:val="007A2FEA"/>
    <w:rsid w:val="007A66F8"/>
    <w:rsid w:val="007B22F1"/>
    <w:rsid w:val="007B3B26"/>
    <w:rsid w:val="007C08B7"/>
    <w:rsid w:val="007C17D0"/>
    <w:rsid w:val="007C2671"/>
    <w:rsid w:val="007C28E0"/>
    <w:rsid w:val="007C75AE"/>
    <w:rsid w:val="007C7858"/>
    <w:rsid w:val="007C7E90"/>
    <w:rsid w:val="007D4128"/>
    <w:rsid w:val="007D60F6"/>
    <w:rsid w:val="007E41EB"/>
    <w:rsid w:val="007E438A"/>
    <w:rsid w:val="007F040C"/>
    <w:rsid w:val="007F2DA8"/>
    <w:rsid w:val="007F50DD"/>
    <w:rsid w:val="007F5185"/>
    <w:rsid w:val="007F53EA"/>
    <w:rsid w:val="007F5B8C"/>
    <w:rsid w:val="007F7E2D"/>
    <w:rsid w:val="008038A5"/>
    <w:rsid w:val="00810D46"/>
    <w:rsid w:val="008132C7"/>
    <w:rsid w:val="00816EDB"/>
    <w:rsid w:val="00817CE3"/>
    <w:rsid w:val="00820B28"/>
    <w:rsid w:val="00821765"/>
    <w:rsid w:val="00821E2F"/>
    <w:rsid w:val="00822517"/>
    <w:rsid w:val="00822A26"/>
    <w:rsid w:val="00823538"/>
    <w:rsid w:val="008277AD"/>
    <w:rsid w:val="00827EDC"/>
    <w:rsid w:val="008357CF"/>
    <w:rsid w:val="00835A36"/>
    <w:rsid w:val="008366A4"/>
    <w:rsid w:val="00836ABF"/>
    <w:rsid w:val="00842B86"/>
    <w:rsid w:val="00843022"/>
    <w:rsid w:val="00845112"/>
    <w:rsid w:val="00853174"/>
    <w:rsid w:val="00854C42"/>
    <w:rsid w:val="00854FC3"/>
    <w:rsid w:val="00855C74"/>
    <w:rsid w:val="00856654"/>
    <w:rsid w:val="008628FF"/>
    <w:rsid w:val="008632AA"/>
    <w:rsid w:val="008662BB"/>
    <w:rsid w:val="008709B4"/>
    <w:rsid w:val="00880238"/>
    <w:rsid w:val="0088145C"/>
    <w:rsid w:val="00882327"/>
    <w:rsid w:val="008825C5"/>
    <w:rsid w:val="00882D98"/>
    <w:rsid w:val="00883650"/>
    <w:rsid w:val="008841AF"/>
    <w:rsid w:val="008857DC"/>
    <w:rsid w:val="0088660A"/>
    <w:rsid w:val="00890E38"/>
    <w:rsid w:val="008918A8"/>
    <w:rsid w:val="008931AA"/>
    <w:rsid w:val="00897A49"/>
    <w:rsid w:val="00897BA7"/>
    <w:rsid w:val="008A1D5B"/>
    <w:rsid w:val="008A3271"/>
    <w:rsid w:val="008A6979"/>
    <w:rsid w:val="008A7CA2"/>
    <w:rsid w:val="008B0BC0"/>
    <w:rsid w:val="008B1037"/>
    <w:rsid w:val="008B147D"/>
    <w:rsid w:val="008B1688"/>
    <w:rsid w:val="008B431D"/>
    <w:rsid w:val="008B6B4C"/>
    <w:rsid w:val="008C3FC5"/>
    <w:rsid w:val="008C43C0"/>
    <w:rsid w:val="008C67CB"/>
    <w:rsid w:val="008D36C3"/>
    <w:rsid w:val="008E77D5"/>
    <w:rsid w:val="008E7BCE"/>
    <w:rsid w:val="008F06B0"/>
    <w:rsid w:val="008F2BA8"/>
    <w:rsid w:val="008F475D"/>
    <w:rsid w:val="008F6014"/>
    <w:rsid w:val="008F7CD5"/>
    <w:rsid w:val="008F7E16"/>
    <w:rsid w:val="009006A9"/>
    <w:rsid w:val="00910E30"/>
    <w:rsid w:val="009121BA"/>
    <w:rsid w:val="009126E7"/>
    <w:rsid w:val="00912ED7"/>
    <w:rsid w:val="00914831"/>
    <w:rsid w:val="0091604D"/>
    <w:rsid w:val="0092154C"/>
    <w:rsid w:val="0093299E"/>
    <w:rsid w:val="0093436D"/>
    <w:rsid w:val="00934548"/>
    <w:rsid w:val="00943392"/>
    <w:rsid w:val="00943FBF"/>
    <w:rsid w:val="00947375"/>
    <w:rsid w:val="00954A26"/>
    <w:rsid w:val="00955B63"/>
    <w:rsid w:val="0096783C"/>
    <w:rsid w:val="009736AC"/>
    <w:rsid w:val="00975B22"/>
    <w:rsid w:val="009773A9"/>
    <w:rsid w:val="00982E1B"/>
    <w:rsid w:val="009831C3"/>
    <w:rsid w:val="00987636"/>
    <w:rsid w:val="00991A3D"/>
    <w:rsid w:val="00994320"/>
    <w:rsid w:val="009A3FFE"/>
    <w:rsid w:val="009A492D"/>
    <w:rsid w:val="009A4BDA"/>
    <w:rsid w:val="009A6A58"/>
    <w:rsid w:val="009A74B1"/>
    <w:rsid w:val="009B1378"/>
    <w:rsid w:val="009B34B8"/>
    <w:rsid w:val="009B7616"/>
    <w:rsid w:val="009B7807"/>
    <w:rsid w:val="009C1AC5"/>
    <w:rsid w:val="009C3309"/>
    <w:rsid w:val="009C49B8"/>
    <w:rsid w:val="009C5AD4"/>
    <w:rsid w:val="009C5D80"/>
    <w:rsid w:val="009D22DF"/>
    <w:rsid w:val="009D51C9"/>
    <w:rsid w:val="009D6343"/>
    <w:rsid w:val="009D6BB9"/>
    <w:rsid w:val="009D6C96"/>
    <w:rsid w:val="009D7E86"/>
    <w:rsid w:val="009E71EA"/>
    <w:rsid w:val="009F084B"/>
    <w:rsid w:val="009F2B06"/>
    <w:rsid w:val="009F556C"/>
    <w:rsid w:val="00A00AB8"/>
    <w:rsid w:val="00A013B8"/>
    <w:rsid w:val="00A02C29"/>
    <w:rsid w:val="00A06008"/>
    <w:rsid w:val="00A101D1"/>
    <w:rsid w:val="00A1026F"/>
    <w:rsid w:val="00A139B2"/>
    <w:rsid w:val="00A13D41"/>
    <w:rsid w:val="00A16107"/>
    <w:rsid w:val="00A16AAD"/>
    <w:rsid w:val="00A20222"/>
    <w:rsid w:val="00A20E53"/>
    <w:rsid w:val="00A23FA6"/>
    <w:rsid w:val="00A245EE"/>
    <w:rsid w:val="00A255D9"/>
    <w:rsid w:val="00A278C7"/>
    <w:rsid w:val="00A30318"/>
    <w:rsid w:val="00A33B9D"/>
    <w:rsid w:val="00A35A22"/>
    <w:rsid w:val="00A35CF5"/>
    <w:rsid w:val="00A40412"/>
    <w:rsid w:val="00A41788"/>
    <w:rsid w:val="00A41E5C"/>
    <w:rsid w:val="00A469AA"/>
    <w:rsid w:val="00A52A8F"/>
    <w:rsid w:val="00A53A3E"/>
    <w:rsid w:val="00A54CD3"/>
    <w:rsid w:val="00A55BD0"/>
    <w:rsid w:val="00A60320"/>
    <w:rsid w:val="00A63541"/>
    <w:rsid w:val="00A63AD3"/>
    <w:rsid w:val="00A65952"/>
    <w:rsid w:val="00A739CE"/>
    <w:rsid w:val="00A744E3"/>
    <w:rsid w:val="00A7574C"/>
    <w:rsid w:val="00A764EB"/>
    <w:rsid w:val="00A77B6D"/>
    <w:rsid w:val="00A8016D"/>
    <w:rsid w:val="00A84BF1"/>
    <w:rsid w:val="00A85927"/>
    <w:rsid w:val="00A9515F"/>
    <w:rsid w:val="00AA7573"/>
    <w:rsid w:val="00AA7822"/>
    <w:rsid w:val="00AB0751"/>
    <w:rsid w:val="00AB1381"/>
    <w:rsid w:val="00AB20C3"/>
    <w:rsid w:val="00AB300A"/>
    <w:rsid w:val="00AB4353"/>
    <w:rsid w:val="00AB597A"/>
    <w:rsid w:val="00AB7A4D"/>
    <w:rsid w:val="00AC09AC"/>
    <w:rsid w:val="00AC11CA"/>
    <w:rsid w:val="00AC17AE"/>
    <w:rsid w:val="00AC3C7B"/>
    <w:rsid w:val="00AC578D"/>
    <w:rsid w:val="00AC57FD"/>
    <w:rsid w:val="00AD2153"/>
    <w:rsid w:val="00AD246B"/>
    <w:rsid w:val="00AD70DF"/>
    <w:rsid w:val="00AD711A"/>
    <w:rsid w:val="00AE1EC5"/>
    <w:rsid w:val="00AE422A"/>
    <w:rsid w:val="00AE6780"/>
    <w:rsid w:val="00AF038F"/>
    <w:rsid w:val="00B0211D"/>
    <w:rsid w:val="00B11FCD"/>
    <w:rsid w:val="00B127D9"/>
    <w:rsid w:val="00B13B9F"/>
    <w:rsid w:val="00B146A0"/>
    <w:rsid w:val="00B16012"/>
    <w:rsid w:val="00B17321"/>
    <w:rsid w:val="00B20E54"/>
    <w:rsid w:val="00B255A9"/>
    <w:rsid w:val="00B362FF"/>
    <w:rsid w:val="00B37641"/>
    <w:rsid w:val="00B46522"/>
    <w:rsid w:val="00B47232"/>
    <w:rsid w:val="00B475F0"/>
    <w:rsid w:val="00B5327F"/>
    <w:rsid w:val="00B53DAA"/>
    <w:rsid w:val="00B60745"/>
    <w:rsid w:val="00B60F79"/>
    <w:rsid w:val="00B62393"/>
    <w:rsid w:val="00B6393E"/>
    <w:rsid w:val="00B63BBD"/>
    <w:rsid w:val="00B659FC"/>
    <w:rsid w:val="00B6714E"/>
    <w:rsid w:val="00B70BA4"/>
    <w:rsid w:val="00B71E71"/>
    <w:rsid w:val="00B7240E"/>
    <w:rsid w:val="00B73210"/>
    <w:rsid w:val="00B74D56"/>
    <w:rsid w:val="00B7698B"/>
    <w:rsid w:val="00B77360"/>
    <w:rsid w:val="00B77679"/>
    <w:rsid w:val="00B8042E"/>
    <w:rsid w:val="00B80ABD"/>
    <w:rsid w:val="00B83432"/>
    <w:rsid w:val="00B84D01"/>
    <w:rsid w:val="00B854EA"/>
    <w:rsid w:val="00B87649"/>
    <w:rsid w:val="00B91172"/>
    <w:rsid w:val="00B92299"/>
    <w:rsid w:val="00B94809"/>
    <w:rsid w:val="00B94E3C"/>
    <w:rsid w:val="00B95485"/>
    <w:rsid w:val="00B955AC"/>
    <w:rsid w:val="00BA2F02"/>
    <w:rsid w:val="00BA5C3C"/>
    <w:rsid w:val="00BA7EA6"/>
    <w:rsid w:val="00BB37DD"/>
    <w:rsid w:val="00BB4406"/>
    <w:rsid w:val="00BB619B"/>
    <w:rsid w:val="00BB6A11"/>
    <w:rsid w:val="00BB7E96"/>
    <w:rsid w:val="00BC3BA5"/>
    <w:rsid w:val="00BC551C"/>
    <w:rsid w:val="00BC5E32"/>
    <w:rsid w:val="00BD380D"/>
    <w:rsid w:val="00BD3C14"/>
    <w:rsid w:val="00BD3EB8"/>
    <w:rsid w:val="00BD4624"/>
    <w:rsid w:val="00BE2B78"/>
    <w:rsid w:val="00BE470B"/>
    <w:rsid w:val="00BE5673"/>
    <w:rsid w:val="00BF051F"/>
    <w:rsid w:val="00BF14CF"/>
    <w:rsid w:val="00BF245E"/>
    <w:rsid w:val="00BF2DA9"/>
    <w:rsid w:val="00C0027B"/>
    <w:rsid w:val="00C00F6D"/>
    <w:rsid w:val="00C02DE0"/>
    <w:rsid w:val="00C0478A"/>
    <w:rsid w:val="00C04CB1"/>
    <w:rsid w:val="00C06A0B"/>
    <w:rsid w:val="00C0739B"/>
    <w:rsid w:val="00C076CA"/>
    <w:rsid w:val="00C10800"/>
    <w:rsid w:val="00C14DE9"/>
    <w:rsid w:val="00C15A6F"/>
    <w:rsid w:val="00C16233"/>
    <w:rsid w:val="00C169EF"/>
    <w:rsid w:val="00C17B14"/>
    <w:rsid w:val="00C26781"/>
    <w:rsid w:val="00C26BE5"/>
    <w:rsid w:val="00C26D67"/>
    <w:rsid w:val="00C27033"/>
    <w:rsid w:val="00C316AE"/>
    <w:rsid w:val="00C342F8"/>
    <w:rsid w:val="00C354C8"/>
    <w:rsid w:val="00C36CB9"/>
    <w:rsid w:val="00C41BC4"/>
    <w:rsid w:val="00C4218F"/>
    <w:rsid w:val="00C42612"/>
    <w:rsid w:val="00C454E9"/>
    <w:rsid w:val="00C45F86"/>
    <w:rsid w:val="00C470C0"/>
    <w:rsid w:val="00C47395"/>
    <w:rsid w:val="00C5777D"/>
    <w:rsid w:val="00C61A60"/>
    <w:rsid w:val="00C63057"/>
    <w:rsid w:val="00C65378"/>
    <w:rsid w:val="00C65885"/>
    <w:rsid w:val="00C669F4"/>
    <w:rsid w:val="00C71DCA"/>
    <w:rsid w:val="00C7399E"/>
    <w:rsid w:val="00C74AEC"/>
    <w:rsid w:val="00C82A75"/>
    <w:rsid w:val="00C83DE0"/>
    <w:rsid w:val="00C83ED9"/>
    <w:rsid w:val="00C86A23"/>
    <w:rsid w:val="00C9184A"/>
    <w:rsid w:val="00C93571"/>
    <w:rsid w:val="00C956C6"/>
    <w:rsid w:val="00C97FB3"/>
    <w:rsid w:val="00CA09A1"/>
    <w:rsid w:val="00CA1872"/>
    <w:rsid w:val="00CA6C42"/>
    <w:rsid w:val="00CA7CCB"/>
    <w:rsid w:val="00CB1797"/>
    <w:rsid w:val="00CB22AA"/>
    <w:rsid w:val="00CB40A5"/>
    <w:rsid w:val="00CC157F"/>
    <w:rsid w:val="00CC3987"/>
    <w:rsid w:val="00CC3EB4"/>
    <w:rsid w:val="00CC52A6"/>
    <w:rsid w:val="00CC57BB"/>
    <w:rsid w:val="00CC67A2"/>
    <w:rsid w:val="00CD478E"/>
    <w:rsid w:val="00CD4931"/>
    <w:rsid w:val="00CD77FF"/>
    <w:rsid w:val="00CE3D31"/>
    <w:rsid w:val="00CE4B0E"/>
    <w:rsid w:val="00CF57C9"/>
    <w:rsid w:val="00CF69FA"/>
    <w:rsid w:val="00D01CA8"/>
    <w:rsid w:val="00D02E62"/>
    <w:rsid w:val="00D05436"/>
    <w:rsid w:val="00D06593"/>
    <w:rsid w:val="00D17603"/>
    <w:rsid w:val="00D21F0C"/>
    <w:rsid w:val="00D234F5"/>
    <w:rsid w:val="00D276C1"/>
    <w:rsid w:val="00D30A1C"/>
    <w:rsid w:val="00D30A6F"/>
    <w:rsid w:val="00D32F23"/>
    <w:rsid w:val="00D344AA"/>
    <w:rsid w:val="00D34DFB"/>
    <w:rsid w:val="00D36575"/>
    <w:rsid w:val="00D40D2F"/>
    <w:rsid w:val="00D44167"/>
    <w:rsid w:val="00D55806"/>
    <w:rsid w:val="00D55870"/>
    <w:rsid w:val="00D55B01"/>
    <w:rsid w:val="00D628A2"/>
    <w:rsid w:val="00D67089"/>
    <w:rsid w:val="00D678AE"/>
    <w:rsid w:val="00D71652"/>
    <w:rsid w:val="00D71B65"/>
    <w:rsid w:val="00D77930"/>
    <w:rsid w:val="00D8450E"/>
    <w:rsid w:val="00D84C0B"/>
    <w:rsid w:val="00D85601"/>
    <w:rsid w:val="00D865A3"/>
    <w:rsid w:val="00DA6079"/>
    <w:rsid w:val="00DA7BF7"/>
    <w:rsid w:val="00DB0861"/>
    <w:rsid w:val="00DB19D4"/>
    <w:rsid w:val="00DB2931"/>
    <w:rsid w:val="00DB579C"/>
    <w:rsid w:val="00DB61F7"/>
    <w:rsid w:val="00DB6356"/>
    <w:rsid w:val="00DB6E9B"/>
    <w:rsid w:val="00DB772E"/>
    <w:rsid w:val="00DD21E3"/>
    <w:rsid w:val="00DD6CB0"/>
    <w:rsid w:val="00DD78BF"/>
    <w:rsid w:val="00DD7C89"/>
    <w:rsid w:val="00DE2C59"/>
    <w:rsid w:val="00DE3A31"/>
    <w:rsid w:val="00DE4DE7"/>
    <w:rsid w:val="00DF604C"/>
    <w:rsid w:val="00E026D6"/>
    <w:rsid w:val="00E02C99"/>
    <w:rsid w:val="00E039F2"/>
    <w:rsid w:val="00E10E79"/>
    <w:rsid w:val="00E11C7C"/>
    <w:rsid w:val="00E11F82"/>
    <w:rsid w:val="00E15CE3"/>
    <w:rsid w:val="00E178E3"/>
    <w:rsid w:val="00E22DD8"/>
    <w:rsid w:val="00E27EF6"/>
    <w:rsid w:val="00E35DA3"/>
    <w:rsid w:val="00E367CF"/>
    <w:rsid w:val="00E36849"/>
    <w:rsid w:val="00E36C4A"/>
    <w:rsid w:val="00E40016"/>
    <w:rsid w:val="00E40623"/>
    <w:rsid w:val="00E41E0D"/>
    <w:rsid w:val="00E42199"/>
    <w:rsid w:val="00E4228C"/>
    <w:rsid w:val="00E42657"/>
    <w:rsid w:val="00E43956"/>
    <w:rsid w:val="00E4762C"/>
    <w:rsid w:val="00E47842"/>
    <w:rsid w:val="00E5184D"/>
    <w:rsid w:val="00E53234"/>
    <w:rsid w:val="00E538CF"/>
    <w:rsid w:val="00E53927"/>
    <w:rsid w:val="00E53A4B"/>
    <w:rsid w:val="00E56A96"/>
    <w:rsid w:val="00E6083E"/>
    <w:rsid w:val="00E63226"/>
    <w:rsid w:val="00E633D3"/>
    <w:rsid w:val="00E70F77"/>
    <w:rsid w:val="00E75252"/>
    <w:rsid w:val="00E75DA2"/>
    <w:rsid w:val="00E7795A"/>
    <w:rsid w:val="00E77AFC"/>
    <w:rsid w:val="00E8181C"/>
    <w:rsid w:val="00E85982"/>
    <w:rsid w:val="00E875F8"/>
    <w:rsid w:val="00E97034"/>
    <w:rsid w:val="00EA1D93"/>
    <w:rsid w:val="00EA2074"/>
    <w:rsid w:val="00EA3259"/>
    <w:rsid w:val="00EA63D6"/>
    <w:rsid w:val="00EB1A99"/>
    <w:rsid w:val="00EB2DB2"/>
    <w:rsid w:val="00EC0CAB"/>
    <w:rsid w:val="00EC1D38"/>
    <w:rsid w:val="00EC456F"/>
    <w:rsid w:val="00EC5436"/>
    <w:rsid w:val="00EC5F9A"/>
    <w:rsid w:val="00EC7895"/>
    <w:rsid w:val="00ED02A1"/>
    <w:rsid w:val="00ED2B1F"/>
    <w:rsid w:val="00ED3C93"/>
    <w:rsid w:val="00ED3D10"/>
    <w:rsid w:val="00ED68F4"/>
    <w:rsid w:val="00ED6CDD"/>
    <w:rsid w:val="00EE1551"/>
    <w:rsid w:val="00EE1BA0"/>
    <w:rsid w:val="00EE1D1F"/>
    <w:rsid w:val="00EE32C2"/>
    <w:rsid w:val="00EE3D93"/>
    <w:rsid w:val="00EE68BD"/>
    <w:rsid w:val="00EE710C"/>
    <w:rsid w:val="00EF0ED8"/>
    <w:rsid w:val="00EF2416"/>
    <w:rsid w:val="00EF35F4"/>
    <w:rsid w:val="00EF6551"/>
    <w:rsid w:val="00EF69E9"/>
    <w:rsid w:val="00EF77C0"/>
    <w:rsid w:val="00F006C2"/>
    <w:rsid w:val="00F059DF"/>
    <w:rsid w:val="00F06773"/>
    <w:rsid w:val="00F1103A"/>
    <w:rsid w:val="00F1557C"/>
    <w:rsid w:val="00F21023"/>
    <w:rsid w:val="00F259BA"/>
    <w:rsid w:val="00F2686B"/>
    <w:rsid w:val="00F315C9"/>
    <w:rsid w:val="00F3428D"/>
    <w:rsid w:val="00F365B9"/>
    <w:rsid w:val="00F36B00"/>
    <w:rsid w:val="00F415BB"/>
    <w:rsid w:val="00F425CF"/>
    <w:rsid w:val="00F43F70"/>
    <w:rsid w:val="00F44459"/>
    <w:rsid w:val="00F45560"/>
    <w:rsid w:val="00F457F6"/>
    <w:rsid w:val="00F4748D"/>
    <w:rsid w:val="00F5514D"/>
    <w:rsid w:val="00F55208"/>
    <w:rsid w:val="00F554B1"/>
    <w:rsid w:val="00F645B8"/>
    <w:rsid w:val="00F6588D"/>
    <w:rsid w:val="00F66401"/>
    <w:rsid w:val="00F67828"/>
    <w:rsid w:val="00F7076D"/>
    <w:rsid w:val="00F75802"/>
    <w:rsid w:val="00F77140"/>
    <w:rsid w:val="00F831F2"/>
    <w:rsid w:val="00F85321"/>
    <w:rsid w:val="00F90898"/>
    <w:rsid w:val="00F909F2"/>
    <w:rsid w:val="00F90A79"/>
    <w:rsid w:val="00F9538B"/>
    <w:rsid w:val="00F963E2"/>
    <w:rsid w:val="00F965E8"/>
    <w:rsid w:val="00F96FF4"/>
    <w:rsid w:val="00FA3DD0"/>
    <w:rsid w:val="00FA4EF3"/>
    <w:rsid w:val="00FA509E"/>
    <w:rsid w:val="00FA5E68"/>
    <w:rsid w:val="00FA684D"/>
    <w:rsid w:val="00FB0437"/>
    <w:rsid w:val="00FB3B48"/>
    <w:rsid w:val="00FC210D"/>
    <w:rsid w:val="00FC533C"/>
    <w:rsid w:val="00FD02A4"/>
    <w:rsid w:val="00FD1026"/>
    <w:rsid w:val="00FD11B3"/>
    <w:rsid w:val="00FD2B00"/>
    <w:rsid w:val="00FD2F83"/>
    <w:rsid w:val="00FD3592"/>
    <w:rsid w:val="00FD61BE"/>
    <w:rsid w:val="00FD73F3"/>
    <w:rsid w:val="00FD77C2"/>
    <w:rsid w:val="00FD7F3A"/>
    <w:rsid w:val="00FE1EC7"/>
    <w:rsid w:val="00FE28F3"/>
    <w:rsid w:val="00FE3230"/>
    <w:rsid w:val="00FE62D5"/>
    <w:rsid w:val="00FE7336"/>
    <w:rsid w:val="00FF0411"/>
    <w:rsid w:val="00FF0D27"/>
    <w:rsid w:val="017C3C9A"/>
    <w:rsid w:val="06347347"/>
    <w:rsid w:val="09530BFF"/>
    <w:rsid w:val="09A3009D"/>
    <w:rsid w:val="12356B70"/>
    <w:rsid w:val="14A36FB2"/>
    <w:rsid w:val="16CB3016"/>
    <w:rsid w:val="17053B5E"/>
    <w:rsid w:val="1A20494B"/>
    <w:rsid w:val="1AAB5D0A"/>
    <w:rsid w:val="1DB36F7A"/>
    <w:rsid w:val="20B73005"/>
    <w:rsid w:val="2A6D328F"/>
    <w:rsid w:val="2ACC6986"/>
    <w:rsid w:val="2C1A3C52"/>
    <w:rsid w:val="2DB6460D"/>
    <w:rsid w:val="2F2B72E1"/>
    <w:rsid w:val="30F158B4"/>
    <w:rsid w:val="32074BCE"/>
    <w:rsid w:val="32BC0233"/>
    <w:rsid w:val="34D8267E"/>
    <w:rsid w:val="34DD3CEE"/>
    <w:rsid w:val="360914FF"/>
    <w:rsid w:val="36295B24"/>
    <w:rsid w:val="3A510A20"/>
    <w:rsid w:val="3E2960EF"/>
    <w:rsid w:val="3EB5122F"/>
    <w:rsid w:val="3FB65086"/>
    <w:rsid w:val="41F03C3F"/>
    <w:rsid w:val="42AA534D"/>
    <w:rsid w:val="451F3684"/>
    <w:rsid w:val="47C273D9"/>
    <w:rsid w:val="4925375A"/>
    <w:rsid w:val="4AB77490"/>
    <w:rsid w:val="558B5325"/>
    <w:rsid w:val="57361BEA"/>
    <w:rsid w:val="5B306D77"/>
    <w:rsid w:val="5DD95E44"/>
    <w:rsid w:val="5DE3792F"/>
    <w:rsid w:val="5E9B7148"/>
    <w:rsid w:val="62EB183B"/>
    <w:rsid w:val="64EF2A19"/>
    <w:rsid w:val="6644139D"/>
    <w:rsid w:val="6C651895"/>
    <w:rsid w:val="6CD72FB4"/>
    <w:rsid w:val="6CF070E7"/>
    <w:rsid w:val="6D294720"/>
    <w:rsid w:val="7061457C"/>
    <w:rsid w:val="746A242A"/>
    <w:rsid w:val="79C62607"/>
    <w:rsid w:val="7AE74029"/>
    <w:rsid w:val="7C2855BB"/>
    <w:rsid w:val="7C794489"/>
    <w:rsid w:val="7E49150D"/>
    <w:rsid w:val="7F726B9A"/>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仿宋"/>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link w:val="19"/>
    <w:semiHidden/>
    <w:unhideWhenUsed/>
    <w:qFormat/>
    <w:uiPriority w:val="0"/>
    <w:pPr>
      <w:spacing w:after="120"/>
      <w:ind w:left="420" w:leftChars="200"/>
    </w:pPr>
    <w:rPr>
      <w:rFonts w:eastAsia="仿宋"/>
      <w:sz w:val="30"/>
    </w:rPr>
  </w:style>
  <w:style w:type="paragraph" w:styleId="5">
    <w:name w:val="toc 3"/>
    <w:basedOn w:val="1"/>
    <w:next w:val="1"/>
    <w:unhideWhenUsed/>
    <w:qFormat/>
    <w:uiPriority w:val="39"/>
    <w:pPr>
      <w:ind w:left="840" w:leftChars="400"/>
    </w:pPr>
  </w:style>
  <w:style w:type="paragraph" w:styleId="6">
    <w:name w:val="Balloon Text"/>
    <w:basedOn w:val="1"/>
    <w:link w:val="21"/>
    <w:qFormat/>
    <w:uiPriority w:val="0"/>
    <w:rPr>
      <w:rFonts w:eastAsia="仿宋"/>
      <w:sz w:val="18"/>
      <w:szCs w:val="18"/>
    </w:rPr>
  </w:style>
  <w:style w:type="paragraph" w:styleId="7">
    <w:name w:val="footer"/>
    <w:basedOn w:val="1"/>
    <w:link w:val="23"/>
    <w:unhideWhenUsed/>
    <w:qFormat/>
    <w:uiPriority w:val="99"/>
    <w:pPr>
      <w:tabs>
        <w:tab w:val="center" w:pos="4153"/>
        <w:tab w:val="right" w:pos="8306"/>
      </w:tabs>
      <w:snapToGrid w:val="0"/>
      <w:jc w:val="left"/>
    </w:pPr>
    <w:rPr>
      <w:rFonts w:eastAsia="仿宋"/>
      <w:sz w:val="18"/>
      <w:szCs w:val="18"/>
    </w:rPr>
  </w:style>
  <w:style w:type="paragraph" w:styleId="8">
    <w:name w:val="header"/>
    <w:basedOn w:val="1"/>
    <w:link w:val="22"/>
    <w:unhideWhenUsed/>
    <w:qFormat/>
    <w:uiPriority w:val="0"/>
    <w:pPr>
      <w:pBdr>
        <w:bottom w:val="single" w:color="auto" w:sz="6" w:space="1"/>
      </w:pBdr>
      <w:tabs>
        <w:tab w:val="center" w:pos="4153"/>
        <w:tab w:val="right" w:pos="8306"/>
      </w:tabs>
      <w:snapToGrid w:val="0"/>
      <w:jc w:val="center"/>
    </w:pPr>
    <w:rPr>
      <w:rFonts w:eastAsia="仿宋"/>
      <w:sz w:val="18"/>
      <w:szCs w:val="18"/>
    </w:rPr>
  </w:style>
  <w:style w:type="paragraph" w:styleId="9">
    <w:name w:val="toc 1"/>
    <w:basedOn w:val="1"/>
    <w:next w:val="1"/>
    <w:unhideWhenUsed/>
    <w:qFormat/>
    <w:uiPriority w:val="39"/>
    <w:rPr>
      <w:rFonts w:eastAsia="仿宋"/>
      <w:sz w:val="30"/>
    </w:rPr>
  </w:style>
  <w:style w:type="paragraph" w:styleId="10">
    <w:name w:val="toc 2"/>
    <w:basedOn w:val="1"/>
    <w:next w:val="1"/>
    <w:unhideWhenUsed/>
    <w:qFormat/>
    <w:uiPriority w:val="39"/>
    <w:pPr>
      <w:tabs>
        <w:tab w:val="right" w:leader="dot" w:pos="8296"/>
      </w:tabs>
      <w:spacing w:line="500" w:lineRule="exact"/>
      <w:ind w:left="420" w:leftChars="200"/>
    </w:pPr>
    <w:rPr>
      <w:rFonts w:eastAsia="仿宋"/>
      <w:sz w:val="30"/>
    </w:rPr>
  </w:style>
  <w:style w:type="paragraph" w:styleId="11">
    <w:name w:val="Body Text First Indent 2"/>
    <w:basedOn w:val="4"/>
    <w:link w:val="20"/>
    <w:unhideWhenUsed/>
    <w:qFormat/>
    <w:uiPriority w:val="0"/>
    <w:pPr>
      <w:ind w:firstLine="420" w:firstLineChars="200"/>
    </w:p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标题 1 字符"/>
    <w:basedOn w:val="14"/>
    <w:link w:val="2"/>
    <w:qFormat/>
    <w:uiPriority w:val="0"/>
    <w:rPr>
      <w:rFonts w:eastAsia="仿宋"/>
      <w:b/>
      <w:bCs/>
      <w:kern w:val="44"/>
      <w:sz w:val="44"/>
      <w:szCs w:val="44"/>
    </w:rPr>
  </w:style>
  <w:style w:type="character" w:customStyle="1" w:styleId="18">
    <w:name w:val="标题 2 字符"/>
    <w:basedOn w:val="14"/>
    <w:link w:val="3"/>
    <w:qFormat/>
    <w:uiPriority w:val="9"/>
    <w:rPr>
      <w:rFonts w:asciiTheme="majorHAnsi" w:hAnsiTheme="majorHAnsi" w:eastAsiaTheme="majorEastAsia" w:cstheme="majorBidi"/>
      <w:b/>
      <w:bCs/>
      <w:kern w:val="2"/>
      <w:sz w:val="32"/>
      <w:szCs w:val="32"/>
    </w:rPr>
  </w:style>
  <w:style w:type="character" w:customStyle="1" w:styleId="19">
    <w:name w:val="正文文本缩进 字符"/>
    <w:basedOn w:val="14"/>
    <w:link w:val="4"/>
    <w:semiHidden/>
    <w:qFormat/>
    <w:uiPriority w:val="0"/>
    <w:rPr>
      <w:rFonts w:eastAsia="仿宋"/>
      <w:kern w:val="2"/>
      <w:sz w:val="30"/>
      <w:szCs w:val="24"/>
    </w:rPr>
  </w:style>
  <w:style w:type="character" w:customStyle="1" w:styleId="20">
    <w:name w:val="正文文本首行缩进 2 字符"/>
    <w:basedOn w:val="19"/>
    <w:link w:val="11"/>
    <w:qFormat/>
    <w:uiPriority w:val="0"/>
    <w:rPr>
      <w:rFonts w:eastAsia="仿宋"/>
      <w:kern w:val="2"/>
      <w:sz w:val="30"/>
      <w:szCs w:val="24"/>
    </w:rPr>
  </w:style>
  <w:style w:type="character" w:customStyle="1" w:styleId="21">
    <w:name w:val="批注框文本 字符"/>
    <w:basedOn w:val="14"/>
    <w:link w:val="6"/>
    <w:qFormat/>
    <w:uiPriority w:val="0"/>
    <w:rPr>
      <w:rFonts w:eastAsia="仿宋"/>
      <w:kern w:val="2"/>
      <w:sz w:val="18"/>
      <w:szCs w:val="18"/>
    </w:rPr>
  </w:style>
  <w:style w:type="character" w:customStyle="1" w:styleId="22">
    <w:name w:val="页眉 字符"/>
    <w:basedOn w:val="14"/>
    <w:link w:val="8"/>
    <w:qFormat/>
    <w:uiPriority w:val="0"/>
    <w:rPr>
      <w:rFonts w:eastAsia="仿宋"/>
      <w:kern w:val="2"/>
      <w:sz w:val="18"/>
      <w:szCs w:val="18"/>
    </w:rPr>
  </w:style>
  <w:style w:type="character" w:customStyle="1" w:styleId="23">
    <w:name w:val="页脚 字符"/>
    <w:basedOn w:val="14"/>
    <w:link w:val="7"/>
    <w:qFormat/>
    <w:uiPriority w:val="99"/>
    <w:rPr>
      <w:rFonts w:eastAsia="仿宋"/>
      <w:kern w:val="2"/>
      <w:sz w:val="18"/>
      <w:szCs w:val="18"/>
    </w:rPr>
  </w:style>
  <w:style w:type="paragraph" w:styleId="24">
    <w:name w:val="List Paragraph"/>
    <w:basedOn w:val="1"/>
    <w:qFormat/>
    <w:uiPriority w:val="34"/>
    <w:pPr>
      <w:ind w:firstLine="420" w:firstLineChars="200"/>
    </w:pPr>
    <w:rPr>
      <w:rFonts w:eastAsia="仿宋"/>
      <w:sz w:val="30"/>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table" w:customStyle="1" w:styleId="26">
    <w:name w:val="网格型2"/>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Body text|1"/>
    <w:basedOn w:val="1"/>
    <w:qFormat/>
    <w:uiPriority w:val="0"/>
    <w:pPr>
      <w:spacing w:line="480" w:lineRule="auto"/>
    </w:pPr>
    <w:rPr>
      <w:rFonts w:ascii="宋体" w:hAnsi="宋体" w:cs="宋体"/>
      <w:sz w:val="26"/>
      <w:szCs w:val="26"/>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5643F-EC25-49DB-97F3-C8293CB3D60B}">
  <ds:schemaRefs/>
</ds:datastoreItem>
</file>

<file path=docProps/app.xml><?xml version="1.0" encoding="utf-8"?>
<Properties xmlns="http://schemas.openxmlformats.org/officeDocument/2006/extended-properties" xmlns:vt="http://schemas.openxmlformats.org/officeDocument/2006/docPropsVTypes">
  <Template>Normal.dotm</Template>
  <Company>ITSK.com</Company>
  <Pages>65</Pages>
  <Words>30388</Words>
  <Characters>31798</Characters>
  <Lines>257</Lines>
  <Paragraphs>72</Paragraphs>
  <TotalTime>3023</TotalTime>
  <ScaleCrop>false</ScaleCrop>
  <LinksUpToDate>false</LinksUpToDate>
  <CharactersWithSpaces>32010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2021-07-11T08:45:00Z</dcterms:created>
  <dc:creator>S SM</dc:creator>
  <cp:lastModifiedBy>達</cp:lastModifiedBy>
  <dcterms:modified xsi:type="dcterms:W3CDTF">2022-08-15T07:54:50Z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B5A9F3D2C9F046228F8742C3A98BB711</vt:lpwstr>
  </property>
</Properties>
</file>