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4</w:t>
      </w:r>
    </w:p>
    <w:p>
      <w:pPr>
        <w:spacing w:line="600" w:lineRule="exact"/>
        <w:jc w:val="center"/>
        <w:rPr>
          <w:rFonts w:hint="eastAsia" w:ascii="方正小标宋简体" w:hAnsi="方正小标宋简体" w:eastAsia="方正小标宋简体" w:cs="方正小标宋简体"/>
          <w:kern w:val="0"/>
          <w:sz w:val="44"/>
          <w:szCs w:val="44"/>
          <w:lang w:eastAsia="zh-CN"/>
        </w:rPr>
      </w:pPr>
      <w:r>
        <w:rPr>
          <w:rFonts w:hint="eastAsia" w:ascii="方正小标宋简体" w:hAnsi="方正小标宋简体" w:eastAsia="方正小标宋简体" w:cs="方正小标宋简体"/>
          <w:kern w:val="0"/>
          <w:sz w:val="44"/>
          <w:szCs w:val="44"/>
          <w:lang w:eastAsia="zh-CN"/>
        </w:rPr>
        <w:t>汕尾市中小学生校服产品质量</w:t>
      </w:r>
    </w:p>
    <w:p>
      <w:pPr>
        <w:spacing w:line="600" w:lineRule="exact"/>
        <w:jc w:val="center"/>
        <w:rPr>
          <w:rFonts w:hint="eastAsia" w:ascii="方正小标宋简体" w:hAnsi="方正小标宋简体" w:eastAsia="方正小标宋简体" w:cs="方正小标宋简体"/>
          <w:bCs/>
          <w:sz w:val="44"/>
          <w:szCs w:val="44"/>
          <w:lang w:eastAsia="zh-CN"/>
        </w:rPr>
      </w:pPr>
      <w:r>
        <w:rPr>
          <w:rFonts w:hint="eastAsia" w:ascii="方正小标宋简体" w:hAnsi="方正小标宋简体" w:eastAsia="方正小标宋简体" w:cs="方正小标宋简体"/>
          <w:kern w:val="0"/>
          <w:sz w:val="44"/>
          <w:szCs w:val="44"/>
          <w:lang w:eastAsia="zh-CN"/>
        </w:rPr>
        <w:t>监督抽查</w:t>
      </w:r>
      <w:r>
        <w:rPr>
          <w:rFonts w:hint="eastAsia" w:ascii="方正小标宋简体" w:hAnsi="方正小标宋简体" w:eastAsia="方正小标宋简体" w:cs="方正小标宋简体"/>
          <w:kern w:val="0"/>
          <w:sz w:val="44"/>
          <w:szCs w:val="44"/>
        </w:rPr>
        <w:t>实施</w:t>
      </w:r>
      <w:r>
        <w:rPr>
          <w:rFonts w:hint="eastAsia" w:ascii="方正小标宋简体" w:hAnsi="方正小标宋简体" w:eastAsia="方正小标宋简体" w:cs="方正小标宋简体"/>
          <w:kern w:val="0"/>
          <w:sz w:val="44"/>
          <w:szCs w:val="44"/>
          <w:lang w:eastAsia="zh-CN"/>
        </w:rPr>
        <w:t>细则</w:t>
      </w:r>
    </w:p>
    <w:p>
      <w:pPr>
        <w:spacing w:line="600" w:lineRule="exact"/>
        <w:jc w:val="left"/>
        <w:rPr>
          <w:b/>
          <w:bCs/>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w:t>
      </w:r>
      <w:bookmarkStart w:id="0" w:name="_GoBack"/>
      <w:bookmarkEnd w:id="0"/>
      <w:r>
        <w:rPr>
          <w:rFonts w:hint="eastAsia" w:ascii="黑体" w:hAnsi="黑体" w:eastAsia="黑体" w:cs="黑体"/>
          <w:sz w:val="32"/>
          <w:szCs w:val="32"/>
          <w:lang w:eastAsia="zh-CN"/>
        </w:rPr>
        <w:t>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spacing w:line="600" w:lineRule="exact"/>
        <w:ind w:firstLine="640" w:firstLineChars="200"/>
        <w:rPr>
          <w:szCs w:val="32"/>
        </w:rPr>
      </w:pPr>
      <w:r>
        <w:rPr>
          <w:rFonts w:hint="eastAsia" w:ascii="仿宋_GB2312" w:hAnsi="仿宋_GB2312" w:eastAsia="仿宋_GB2312" w:cs="仿宋_GB2312"/>
          <w:color w:val="000000"/>
          <w:sz w:val="32"/>
          <w:szCs w:val="32"/>
          <w:lang w:eastAsia="zh-CN"/>
        </w:rPr>
        <w:t>抽查数量：</w:t>
      </w:r>
      <w:r>
        <w:rPr>
          <w:rFonts w:hint="eastAsia" w:ascii="仿宋_GB2312" w:hAnsi="仿宋_GB2312" w:eastAsia="仿宋_GB2312" w:cs="仿宋_GB2312"/>
          <w:kern w:val="0"/>
          <w:sz w:val="32"/>
          <w:szCs w:val="32"/>
        </w:rPr>
        <w:t>每款产品抽取2组样本，第1组用于检验，第2组用于备用。每组样品需抽取样品数量如下表所示：</w:t>
      </w:r>
    </w:p>
    <w:tbl>
      <w:tblPr>
        <w:tblStyle w:val="2"/>
        <w:tblW w:w="8103" w:type="dxa"/>
        <w:tblInd w:w="3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91"/>
        <w:gridCol w:w="2559"/>
        <w:gridCol w:w="2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noWrap w:val="0"/>
            <w:vAlign w:val="center"/>
          </w:tcPr>
          <w:p>
            <w:pPr>
              <w:spacing w:line="400" w:lineRule="exact"/>
              <w:jc w:val="center"/>
              <w:rPr>
                <w:szCs w:val="32"/>
              </w:rPr>
            </w:pPr>
            <w:r>
              <w:rPr>
                <w:szCs w:val="32"/>
              </w:rPr>
              <w:t>序号</w:t>
            </w:r>
          </w:p>
        </w:tc>
        <w:tc>
          <w:tcPr>
            <w:tcW w:w="2191" w:type="dxa"/>
            <w:noWrap w:val="0"/>
            <w:vAlign w:val="center"/>
          </w:tcPr>
          <w:p>
            <w:pPr>
              <w:spacing w:line="400" w:lineRule="exact"/>
              <w:jc w:val="center"/>
              <w:rPr>
                <w:szCs w:val="32"/>
              </w:rPr>
            </w:pPr>
            <w:r>
              <w:rPr>
                <w:szCs w:val="32"/>
              </w:rPr>
              <w:t>产品名称</w:t>
            </w:r>
          </w:p>
        </w:tc>
        <w:tc>
          <w:tcPr>
            <w:tcW w:w="2559" w:type="dxa"/>
            <w:noWrap w:val="0"/>
            <w:vAlign w:val="center"/>
          </w:tcPr>
          <w:p>
            <w:pPr>
              <w:spacing w:line="400" w:lineRule="exact"/>
              <w:jc w:val="center"/>
              <w:rPr>
                <w:szCs w:val="32"/>
              </w:rPr>
            </w:pPr>
            <w:r>
              <w:rPr>
                <w:szCs w:val="32"/>
              </w:rPr>
              <w:t>第1组数量</w:t>
            </w:r>
          </w:p>
        </w:tc>
        <w:tc>
          <w:tcPr>
            <w:tcW w:w="2453" w:type="dxa"/>
            <w:noWrap w:val="0"/>
            <w:vAlign w:val="top"/>
          </w:tcPr>
          <w:p>
            <w:pPr>
              <w:spacing w:line="400" w:lineRule="exact"/>
              <w:jc w:val="center"/>
              <w:rPr>
                <w:szCs w:val="32"/>
              </w:rPr>
            </w:pPr>
            <w:r>
              <w:rPr>
                <w:szCs w:val="32"/>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noWrap w:val="0"/>
            <w:vAlign w:val="center"/>
          </w:tcPr>
          <w:p>
            <w:pPr>
              <w:spacing w:line="400" w:lineRule="exact"/>
              <w:jc w:val="center"/>
              <w:rPr>
                <w:szCs w:val="32"/>
              </w:rPr>
            </w:pPr>
            <w:r>
              <w:rPr>
                <w:szCs w:val="32"/>
              </w:rPr>
              <w:t>1</w:t>
            </w:r>
          </w:p>
        </w:tc>
        <w:tc>
          <w:tcPr>
            <w:tcW w:w="2191" w:type="dxa"/>
            <w:noWrap w:val="0"/>
            <w:vAlign w:val="center"/>
          </w:tcPr>
          <w:p>
            <w:pPr>
              <w:adjustRightInd w:val="0"/>
              <w:snapToGrid w:val="0"/>
              <w:spacing w:line="400" w:lineRule="exact"/>
              <w:jc w:val="center"/>
              <w:rPr>
                <w:rFonts w:hint="eastAsia" w:eastAsia="仿宋_GB2312"/>
                <w:szCs w:val="32"/>
                <w:lang w:eastAsia="zh-CN"/>
              </w:rPr>
            </w:pPr>
            <w:r>
              <w:rPr>
                <w:rFonts w:hint="eastAsia" w:ascii="宋体" w:hAnsi="宋体" w:cs="宋体"/>
                <w:szCs w:val="21"/>
                <w:lang w:eastAsia="zh-CN"/>
              </w:rPr>
              <w:t>中小学生校服</w:t>
            </w:r>
          </w:p>
        </w:tc>
        <w:tc>
          <w:tcPr>
            <w:tcW w:w="2559" w:type="dxa"/>
            <w:noWrap w:val="0"/>
            <w:vAlign w:val="center"/>
          </w:tcPr>
          <w:p>
            <w:pPr>
              <w:adjustRightInd w:val="0"/>
              <w:snapToGrid w:val="0"/>
              <w:spacing w:line="400" w:lineRule="exact"/>
              <w:jc w:val="center"/>
              <w:rPr>
                <w:rFonts w:hint="default" w:eastAsia="仿宋_GB2312"/>
                <w:szCs w:val="32"/>
                <w:lang w:val="en-US" w:eastAsia="zh-CN"/>
              </w:rPr>
            </w:pPr>
            <w:r>
              <w:rPr>
                <w:rFonts w:hint="eastAsia"/>
                <w:szCs w:val="32"/>
                <w:lang w:val="en-US" w:eastAsia="zh-CN"/>
              </w:rPr>
              <w:t>1件/（条/套）</w:t>
            </w:r>
          </w:p>
        </w:tc>
        <w:tc>
          <w:tcPr>
            <w:tcW w:w="2453" w:type="dxa"/>
            <w:noWrap w:val="0"/>
            <w:vAlign w:val="center"/>
          </w:tcPr>
          <w:p>
            <w:pPr>
              <w:adjustRightInd w:val="0"/>
              <w:snapToGrid w:val="0"/>
              <w:spacing w:line="400" w:lineRule="exact"/>
              <w:jc w:val="center"/>
              <w:rPr>
                <w:rFonts w:hint="default" w:eastAsia="仿宋_GB2312"/>
                <w:szCs w:val="32"/>
                <w:lang w:val="en-US" w:eastAsia="zh-CN"/>
              </w:rPr>
            </w:pPr>
            <w:r>
              <w:rPr>
                <w:rFonts w:hint="eastAsia"/>
                <w:szCs w:val="32"/>
                <w:lang w:val="en-US" w:eastAsia="zh-CN"/>
              </w:rPr>
              <w:t>1件/（条/套）</w:t>
            </w:r>
          </w:p>
        </w:tc>
      </w:tr>
    </w:tbl>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lang w:eastAsia="zh-CN"/>
        </w:rPr>
        <w:t>抽样方法：确定被抽样对象应符合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600" w:lineRule="exact"/>
        <w:ind w:firstLine="640" w:firstLineChars="200"/>
        <w:rPr>
          <w:kern w:val="0"/>
          <w:szCs w:val="32"/>
        </w:rPr>
      </w:pPr>
      <w:r>
        <w:rPr>
          <w:rFonts w:hint="eastAsia" w:ascii="仿宋_GB2312" w:hAnsi="仿宋_GB2312" w:eastAsia="仿宋_GB2312" w:cs="仿宋_GB2312"/>
          <w:kern w:val="0"/>
          <w:sz w:val="32"/>
          <w:szCs w:val="32"/>
        </w:rPr>
        <w:t>封样要求：抽取的样品应当场封样，由抽样单位抽样人员、被抽样市场主体签字确认，每款产品的2组样品分别封样，抽样机构应采取防拆封措施。样品全部带回实验室。</w:t>
      </w:r>
    </w:p>
    <w:p>
      <w:pPr>
        <w:spacing w:line="520" w:lineRule="exact"/>
        <w:ind w:firstLine="640" w:firstLineChars="200"/>
        <w:rPr>
          <w:rFonts w:eastAsia="黑体"/>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、主要检验项目及不合格类别的划分指标</w:t>
      </w:r>
    </w:p>
    <w:tbl>
      <w:tblPr>
        <w:tblStyle w:val="2"/>
        <w:tblW w:w="8404" w:type="dxa"/>
        <w:jc w:val="center"/>
        <w:tblLayout w:type="autofit"/>
        <w:tblCellMar>
          <w:top w:w="0" w:type="dxa"/>
          <w:left w:w="0" w:type="dxa"/>
          <w:bottom w:w="0" w:type="dxa"/>
          <w:right w:w="0" w:type="dxa"/>
        </w:tblCellMar>
      </w:tblPr>
      <w:tblGrid>
        <w:gridCol w:w="461"/>
        <w:gridCol w:w="1829"/>
        <w:gridCol w:w="2012"/>
        <w:gridCol w:w="1361"/>
        <w:gridCol w:w="1332"/>
        <w:gridCol w:w="709"/>
        <w:gridCol w:w="700"/>
      </w:tblGrid>
      <w:tr>
        <w:tblPrEx>
          <w:tblCellMar>
            <w:top w:w="0" w:type="dxa"/>
            <w:left w:w="0" w:type="dxa"/>
            <w:bottom w:w="0" w:type="dxa"/>
            <w:right w:w="0" w:type="dxa"/>
          </w:tblCellMar>
        </w:tblPrEx>
        <w:trPr>
          <w:cantSplit/>
          <w:trHeight w:val="397" w:hRule="atLeast"/>
          <w:tblHeader/>
          <w:jc w:val="center"/>
        </w:trPr>
        <w:tc>
          <w:tcPr>
            <w:tcW w:w="461" w:type="dxa"/>
            <w:vMerge w:val="restart"/>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b/>
                <w:bCs/>
                <w:color w:val="000000"/>
                <w:kern w:val="0"/>
                <w:sz w:val="18"/>
                <w:szCs w:val="18"/>
              </w:rPr>
              <w:t>序号</w:t>
            </w:r>
          </w:p>
        </w:tc>
        <w:tc>
          <w:tcPr>
            <w:tcW w:w="1829" w:type="dxa"/>
            <w:vMerge w:val="restart"/>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b/>
                <w:bCs/>
                <w:color w:val="000000"/>
                <w:kern w:val="0"/>
                <w:sz w:val="18"/>
                <w:szCs w:val="18"/>
              </w:rPr>
              <w:t>检验项目</w:t>
            </w:r>
          </w:p>
        </w:tc>
        <w:tc>
          <w:tcPr>
            <w:tcW w:w="2012" w:type="dxa"/>
            <w:vMerge w:val="restart"/>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b/>
                <w:bCs/>
                <w:color w:val="000000"/>
                <w:kern w:val="0"/>
                <w:sz w:val="18"/>
                <w:szCs w:val="18"/>
              </w:rPr>
              <w:t>依据标准</w:t>
            </w:r>
          </w:p>
        </w:tc>
        <w:tc>
          <w:tcPr>
            <w:tcW w:w="1361" w:type="dxa"/>
            <w:vMerge w:val="restart"/>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b/>
                <w:bCs/>
                <w:color w:val="000000"/>
                <w:kern w:val="0"/>
                <w:sz w:val="18"/>
                <w:szCs w:val="18"/>
              </w:rPr>
              <w:t>强制性</w:t>
            </w:r>
            <w:r>
              <w:rPr>
                <w:rFonts w:ascii="_5b8b_4f53" w:hAnsi="_5b8b_4f53" w:cs="宋体"/>
                <w:b/>
                <w:bCs/>
                <w:color w:val="000000"/>
                <w:kern w:val="0"/>
                <w:sz w:val="18"/>
                <w:szCs w:val="18"/>
              </w:rPr>
              <w:t>/</w:t>
            </w:r>
            <w:r>
              <w:rPr>
                <w:rFonts w:hint="eastAsia" w:ascii="_5b8b_4f53" w:hAnsi="_5b8b_4f53" w:cs="宋体"/>
                <w:b/>
                <w:bCs/>
                <w:color w:val="000000"/>
                <w:kern w:val="0"/>
                <w:sz w:val="18"/>
                <w:szCs w:val="18"/>
              </w:rPr>
              <w:t>推荐性</w:t>
            </w:r>
          </w:p>
        </w:tc>
        <w:tc>
          <w:tcPr>
            <w:tcW w:w="1332" w:type="dxa"/>
            <w:vMerge w:val="restart"/>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b/>
                <w:bCs/>
                <w:color w:val="000000"/>
                <w:kern w:val="0"/>
                <w:sz w:val="18"/>
                <w:szCs w:val="18"/>
              </w:rPr>
              <w:t>检测方法标准</w:t>
            </w:r>
          </w:p>
        </w:tc>
        <w:tc>
          <w:tcPr>
            <w:tcW w:w="1409" w:type="dxa"/>
            <w:gridSpan w:val="2"/>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b/>
                <w:bCs/>
                <w:color w:val="000000"/>
                <w:kern w:val="0"/>
                <w:sz w:val="18"/>
                <w:szCs w:val="18"/>
              </w:rPr>
              <w:t>重要程度或不合格程度分类</w:t>
            </w:r>
          </w:p>
        </w:tc>
      </w:tr>
      <w:tr>
        <w:tblPrEx>
          <w:tblCellMar>
            <w:top w:w="0" w:type="dxa"/>
            <w:left w:w="0" w:type="dxa"/>
            <w:bottom w:w="0" w:type="dxa"/>
            <w:right w:w="0" w:type="dxa"/>
          </w:tblCellMar>
        </w:tblPrEx>
        <w:trPr>
          <w:cantSplit/>
          <w:trHeight w:val="263" w:hRule="atLeast"/>
          <w:tblHeader/>
          <w:jc w:val="center"/>
        </w:trPr>
        <w:tc>
          <w:tcPr>
            <w:tcW w:w="461"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kern w:val="0"/>
                <w:sz w:val="24"/>
              </w:rPr>
            </w:pPr>
          </w:p>
        </w:tc>
        <w:tc>
          <w:tcPr>
            <w:tcW w:w="1829"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kern w:val="0"/>
                <w:sz w:val="24"/>
              </w:rPr>
            </w:pPr>
          </w:p>
        </w:tc>
        <w:tc>
          <w:tcPr>
            <w:tcW w:w="2012"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kern w:val="0"/>
                <w:sz w:val="24"/>
              </w:rPr>
            </w:pPr>
          </w:p>
        </w:tc>
        <w:tc>
          <w:tcPr>
            <w:tcW w:w="1361"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kern w:val="0"/>
                <w:sz w:val="24"/>
              </w:rPr>
            </w:pPr>
          </w:p>
        </w:tc>
        <w:tc>
          <w:tcPr>
            <w:tcW w:w="1332"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kern w:val="0"/>
                <w:sz w:val="24"/>
              </w:rPr>
            </w:pP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b/>
                <w:bCs/>
                <w:color w:val="000000"/>
                <w:kern w:val="0"/>
                <w:sz w:val="18"/>
                <w:szCs w:val="18"/>
              </w:rPr>
              <w:t>A</w:t>
            </w:r>
            <w:r>
              <w:rPr>
                <w:rFonts w:hint="eastAsia" w:ascii="_5b8b_4f53" w:hAnsi="_5b8b_4f53" w:cs="宋体"/>
                <w:b/>
                <w:bCs/>
                <w:color w:val="000000"/>
                <w:kern w:val="0"/>
                <w:sz w:val="18"/>
                <w:szCs w:val="18"/>
              </w:rPr>
              <w:t>类</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b/>
                <w:bCs/>
                <w:color w:val="000000"/>
                <w:kern w:val="0"/>
                <w:sz w:val="18"/>
                <w:szCs w:val="18"/>
              </w:rPr>
              <w:t>B</w:t>
            </w:r>
            <w:r>
              <w:rPr>
                <w:rFonts w:hint="eastAsia" w:ascii="_5b8b_4f53" w:hAnsi="_5b8b_4f53" w:cs="宋体"/>
                <w:b/>
                <w:bCs/>
                <w:color w:val="000000"/>
                <w:kern w:val="0"/>
                <w:sz w:val="18"/>
                <w:szCs w:val="18"/>
              </w:rPr>
              <w:t>类</w:t>
            </w:r>
          </w:p>
        </w:tc>
      </w:tr>
      <w:tr>
        <w:tblPrEx>
          <w:tblCellMar>
            <w:top w:w="0" w:type="dxa"/>
            <w:left w:w="0" w:type="dxa"/>
            <w:bottom w:w="0" w:type="dxa"/>
            <w:right w:w="0" w:type="dxa"/>
          </w:tblCellMar>
        </w:tblPrEx>
        <w:trPr>
          <w:trHeight w:val="397"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1</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color w:val="000000"/>
                <w:kern w:val="0"/>
                <w:sz w:val="18"/>
                <w:szCs w:val="18"/>
              </w:rPr>
              <w:t>纤维成分及含量（％）</w:t>
            </w:r>
            <w:r>
              <w:rPr>
                <w:rFonts w:ascii="_5b8b_4f53" w:hAnsi="_5b8b_4f53" w:cs="宋体"/>
                <w:color w:val="000000"/>
                <w:kern w:val="0"/>
                <w:sz w:val="18"/>
                <w:szCs w:val="18"/>
              </w:rPr>
              <w:t>[1]</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color w:val="000000"/>
                <w:kern w:val="0"/>
                <w:sz w:val="18"/>
                <w:szCs w:val="18"/>
              </w:rPr>
              <w:t>GB/T</w:t>
            </w:r>
            <w:r>
              <w:rPr>
                <w:rFonts w:hint="eastAsia" w:ascii="_5b8b_4f53" w:hAnsi="_5b8b_4f53" w:cs="宋体"/>
                <w:color w:val="000000"/>
                <w:kern w:val="0"/>
                <w:sz w:val="11"/>
                <w:szCs w:val="11"/>
              </w:rPr>
              <w:t xml:space="preserve"> </w:t>
            </w:r>
            <w:r>
              <w:rPr>
                <w:rFonts w:ascii="_5b8b_4f53" w:hAnsi="_5b8b_4f53" w:cs="宋体"/>
                <w:color w:val="000000"/>
                <w:kern w:val="0"/>
                <w:sz w:val="18"/>
                <w:szCs w:val="18"/>
              </w:rPr>
              <w:t>29862</w:t>
            </w:r>
            <w:r>
              <w:rPr>
                <w:rFonts w:hint="eastAsia" w:ascii="_5b8b_4f53" w:hAnsi="_5b8b_4f53" w:cs="宋体"/>
                <w:color w:val="000000"/>
                <w:spacing w:val="-6"/>
                <w:kern w:val="0"/>
                <w:sz w:val="18"/>
                <w:szCs w:val="18"/>
              </w:rPr>
              <w:t>相应产品标准</w:t>
            </w:r>
            <w:r>
              <w:rPr>
                <w:rFonts w:hint="eastAsia" w:ascii="_5b8b_4f53" w:hAnsi="_5b8b_4f53" w:cs="宋体"/>
                <w:color w:val="000000"/>
                <w:kern w:val="0"/>
                <w:sz w:val="18"/>
                <w:szCs w:val="18"/>
              </w:rPr>
              <w:t>明示纤维成分及含量</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推荐性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color w:val="000000"/>
                <w:kern w:val="0"/>
                <w:sz w:val="18"/>
                <w:szCs w:val="18"/>
              </w:rPr>
              <w:t>FZ/T 01057</w:t>
            </w:r>
          </w:p>
          <w:p>
            <w:pPr>
              <w:widowControl/>
              <w:spacing w:before="100" w:beforeAutospacing="1" w:after="100" w:afterAutospacing="1"/>
              <w:rPr>
                <w:rFonts w:ascii="宋体" w:hAnsi="宋体" w:cs="宋体"/>
                <w:kern w:val="0"/>
                <w:sz w:val="24"/>
              </w:rPr>
            </w:pPr>
            <w:r>
              <w:rPr>
                <w:rFonts w:ascii="_5b8b_4f53" w:hAnsi="_5b8b_4f53" w:cs="宋体"/>
                <w:color w:val="000000"/>
                <w:kern w:val="0"/>
                <w:sz w:val="18"/>
                <w:szCs w:val="18"/>
              </w:rPr>
              <w:t>GB/T 2910</w:t>
            </w:r>
            <w:r>
              <w:rPr>
                <w:rFonts w:hint="eastAsia" w:ascii="_5b8b_4f53" w:hAnsi="_5b8b_4f53" w:cs="宋体"/>
                <w:color w:val="000000"/>
                <w:kern w:val="0"/>
                <w:sz w:val="18"/>
                <w:szCs w:val="18"/>
              </w:rPr>
              <w:t>等</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宋体" w:hAnsi="宋体"/>
                <w:sz w:val="18"/>
                <w:szCs w:val="18"/>
              </w:rPr>
              <w:t>●</w:t>
            </w:r>
          </w:p>
        </w:tc>
      </w:tr>
      <w:tr>
        <w:tblPrEx>
          <w:tblCellMar>
            <w:top w:w="0" w:type="dxa"/>
            <w:left w:w="0" w:type="dxa"/>
            <w:bottom w:w="0" w:type="dxa"/>
            <w:right w:w="0" w:type="dxa"/>
          </w:tblCellMar>
        </w:tblPrEx>
        <w:trPr>
          <w:trHeight w:val="397"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2</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甲醛含量（</w:t>
            </w:r>
            <w:r>
              <w:rPr>
                <w:rFonts w:ascii="_5b8b_4f53" w:hAnsi="_5b8b_4f53" w:cs="宋体"/>
                <w:kern w:val="0"/>
                <w:sz w:val="18"/>
                <w:szCs w:val="18"/>
              </w:rPr>
              <w:t>mg/kg</w:t>
            </w:r>
            <w:r>
              <w:rPr>
                <w:rFonts w:hint="eastAsia" w:ascii="_5b8b_4f53" w:hAnsi="_5b8b_4f53" w:cs="宋体"/>
                <w:kern w:val="0"/>
                <w:sz w:val="18"/>
                <w:szCs w:val="18"/>
              </w:rPr>
              <w:t>）</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kern w:val="0"/>
                <w:sz w:val="18"/>
                <w:szCs w:val="18"/>
              </w:rPr>
              <w:t>GB 18401</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强制性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color w:val="000000"/>
                <w:kern w:val="0"/>
                <w:sz w:val="18"/>
                <w:szCs w:val="18"/>
              </w:rPr>
              <w:t>GB/T 2912.1</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宋体" w:hAnsi="宋体"/>
                <w:sz w:val="18"/>
                <w:szCs w:val="18"/>
              </w:rPr>
              <w:t>●</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r>
      <w:tr>
        <w:tblPrEx>
          <w:tblCellMar>
            <w:top w:w="0" w:type="dxa"/>
            <w:left w:w="0" w:type="dxa"/>
            <w:bottom w:w="0" w:type="dxa"/>
            <w:right w:w="0" w:type="dxa"/>
          </w:tblCellMar>
        </w:tblPrEx>
        <w:trPr>
          <w:trHeight w:val="397"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3</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kern w:val="0"/>
                <w:sz w:val="18"/>
                <w:szCs w:val="18"/>
              </w:rPr>
              <w:t>pH</w:t>
            </w:r>
            <w:r>
              <w:rPr>
                <w:rFonts w:hint="eastAsia" w:ascii="_5b8b_4f53" w:hAnsi="_5b8b_4f53" w:cs="宋体"/>
                <w:kern w:val="0"/>
                <w:sz w:val="18"/>
                <w:szCs w:val="18"/>
              </w:rPr>
              <w:t>值</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kern w:val="0"/>
                <w:sz w:val="18"/>
                <w:szCs w:val="18"/>
              </w:rPr>
              <w:t>GB 18401</w:t>
            </w:r>
          </w:p>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相应产品标准</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强制性</w:t>
            </w:r>
            <w:r>
              <w:rPr>
                <w:rFonts w:ascii="_5b8b_4f53" w:hAnsi="_5b8b_4f53" w:cs="宋体"/>
                <w:kern w:val="0"/>
                <w:sz w:val="18"/>
                <w:szCs w:val="18"/>
              </w:rPr>
              <w:t>/</w:t>
            </w:r>
            <w:r>
              <w:rPr>
                <w:rFonts w:hint="eastAsia" w:ascii="_5b8b_4f53" w:hAnsi="_5b8b_4f53" w:cs="宋体"/>
                <w:kern w:val="0"/>
                <w:sz w:val="18"/>
                <w:szCs w:val="18"/>
              </w:rPr>
              <w:t>推荐性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kern w:val="0"/>
                <w:sz w:val="18"/>
                <w:szCs w:val="18"/>
              </w:rPr>
              <w:t>GB/T 7573</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宋体" w:hAnsi="宋体"/>
                <w:sz w:val="18"/>
                <w:szCs w:val="18"/>
              </w:rPr>
              <w:t>●</w:t>
            </w:r>
          </w:p>
        </w:tc>
      </w:tr>
      <w:tr>
        <w:tblPrEx>
          <w:tblCellMar>
            <w:top w:w="0" w:type="dxa"/>
            <w:left w:w="0" w:type="dxa"/>
            <w:bottom w:w="0" w:type="dxa"/>
            <w:right w:w="0" w:type="dxa"/>
          </w:tblCellMar>
        </w:tblPrEx>
        <w:trPr>
          <w:trHeight w:val="397"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4</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可分解致癌芳香胺染料（</w:t>
            </w:r>
            <w:r>
              <w:rPr>
                <w:rFonts w:ascii="_5b8b_4f53" w:hAnsi="_5b8b_4f53" w:cs="宋体"/>
                <w:kern w:val="0"/>
                <w:sz w:val="18"/>
                <w:szCs w:val="18"/>
              </w:rPr>
              <w:t>mg/kg</w:t>
            </w:r>
            <w:r>
              <w:rPr>
                <w:rFonts w:hint="eastAsia" w:ascii="_5b8b_4f53" w:hAnsi="_5b8b_4f53" w:cs="宋体"/>
                <w:kern w:val="0"/>
                <w:sz w:val="18"/>
                <w:szCs w:val="18"/>
              </w:rPr>
              <w:t>）</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kern w:val="0"/>
                <w:sz w:val="18"/>
                <w:szCs w:val="18"/>
              </w:rPr>
              <w:t>GB 18401</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强制性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hint="eastAsia" w:ascii="_5b8b_4f53" w:hAnsi="_5b8b_4f53" w:cs="宋体"/>
                <w:kern w:val="0"/>
                <w:sz w:val="18"/>
                <w:szCs w:val="18"/>
              </w:rPr>
            </w:pPr>
            <w:r>
              <w:rPr>
                <w:rFonts w:ascii="_5b8b_4f53" w:hAnsi="_5b8b_4f53" w:cs="宋体"/>
                <w:kern w:val="0"/>
                <w:sz w:val="18"/>
                <w:szCs w:val="18"/>
              </w:rPr>
              <w:t>GB/T 17592</w:t>
            </w:r>
          </w:p>
          <w:p>
            <w:pPr>
              <w:widowControl/>
              <w:spacing w:before="100" w:beforeAutospacing="1" w:after="100" w:afterAutospacing="1"/>
              <w:rPr>
                <w:rFonts w:ascii="宋体" w:hAnsi="宋体" w:cs="宋体"/>
                <w:kern w:val="0"/>
                <w:sz w:val="18"/>
                <w:szCs w:val="18"/>
              </w:rPr>
            </w:pPr>
            <w:r>
              <w:rPr>
                <w:rFonts w:hint="eastAsia" w:ascii="宋体" w:hAnsi="宋体" w:cs="Sim Sun"/>
                <w:color w:val="000000"/>
                <w:kern w:val="0"/>
                <w:sz w:val="18"/>
                <w:szCs w:val="18"/>
              </w:rPr>
              <w:t>GB/T 23344</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宋体" w:hAnsi="宋体"/>
                <w:sz w:val="18"/>
                <w:szCs w:val="18"/>
              </w:rPr>
              <w:t>●</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r>
      <w:tr>
        <w:tblPrEx>
          <w:tblCellMar>
            <w:top w:w="0" w:type="dxa"/>
            <w:left w:w="0" w:type="dxa"/>
            <w:bottom w:w="0" w:type="dxa"/>
            <w:right w:w="0" w:type="dxa"/>
          </w:tblCellMar>
        </w:tblPrEx>
        <w:trPr>
          <w:trHeight w:val="397"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5</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耐水色牢度（级）</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hint="eastAsia" w:ascii="宋体" w:hAnsi="宋体" w:cs="宋体"/>
                <w:kern w:val="0"/>
                <w:sz w:val="24"/>
              </w:rPr>
            </w:pPr>
            <w:r>
              <w:rPr>
                <w:rFonts w:ascii="_5b8b_4f53" w:hAnsi="_5b8b_4f53" w:cs="宋体"/>
                <w:kern w:val="0"/>
                <w:sz w:val="18"/>
                <w:szCs w:val="18"/>
              </w:rPr>
              <w:t>GB 18401</w:t>
            </w:r>
          </w:p>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相应产品标准</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强制性</w:t>
            </w:r>
            <w:r>
              <w:rPr>
                <w:rFonts w:ascii="_5b8b_4f53" w:hAnsi="_5b8b_4f53" w:cs="宋体"/>
                <w:kern w:val="0"/>
                <w:sz w:val="18"/>
                <w:szCs w:val="18"/>
              </w:rPr>
              <w:t>/</w:t>
            </w:r>
            <w:r>
              <w:rPr>
                <w:rFonts w:hint="eastAsia" w:ascii="_5b8b_4f53" w:hAnsi="_5b8b_4f53" w:cs="宋体"/>
                <w:kern w:val="0"/>
                <w:sz w:val="18"/>
                <w:szCs w:val="18"/>
              </w:rPr>
              <w:t>推荐性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kern w:val="0"/>
                <w:sz w:val="18"/>
                <w:szCs w:val="18"/>
              </w:rPr>
              <w:t>GB/T 5713</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r>
              <w:rPr>
                <w:rFonts w:hint="eastAsia" w:ascii="宋体" w:hAnsi="宋体"/>
                <w:sz w:val="18"/>
                <w:szCs w:val="18"/>
              </w:rPr>
              <w:t>●</w:t>
            </w:r>
          </w:p>
        </w:tc>
      </w:tr>
      <w:tr>
        <w:tblPrEx>
          <w:tblCellMar>
            <w:top w:w="0" w:type="dxa"/>
            <w:left w:w="0" w:type="dxa"/>
            <w:bottom w:w="0" w:type="dxa"/>
            <w:right w:w="0" w:type="dxa"/>
          </w:tblCellMar>
        </w:tblPrEx>
        <w:trPr>
          <w:trHeight w:val="397"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6</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耐摩擦色牢度（级）</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_5b8b_4f53" w:hAnsi="_5b8b_4f53" w:cs="宋体"/>
                <w:kern w:val="0"/>
                <w:sz w:val="18"/>
                <w:szCs w:val="18"/>
              </w:rPr>
            </w:pPr>
            <w:r>
              <w:rPr>
                <w:rFonts w:ascii="_5b8b_4f53" w:hAnsi="_5b8b_4f53" w:cs="宋体"/>
                <w:kern w:val="0"/>
                <w:sz w:val="18"/>
                <w:szCs w:val="18"/>
              </w:rPr>
              <w:t>GB 18401</w:t>
            </w:r>
          </w:p>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相应产品标准</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强制性</w:t>
            </w:r>
            <w:r>
              <w:rPr>
                <w:rFonts w:ascii="_5b8b_4f53" w:hAnsi="_5b8b_4f53" w:cs="宋体"/>
                <w:kern w:val="0"/>
                <w:sz w:val="18"/>
                <w:szCs w:val="18"/>
              </w:rPr>
              <w:t>/</w:t>
            </w:r>
            <w:r>
              <w:rPr>
                <w:rFonts w:hint="eastAsia" w:ascii="_5b8b_4f53" w:hAnsi="_5b8b_4f53" w:cs="宋体"/>
                <w:kern w:val="0"/>
                <w:sz w:val="18"/>
                <w:szCs w:val="18"/>
              </w:rPr>
              <w:t>推荐性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kern w:val="0"/>
                <w:sz w:val="18"/>
                <w:szCs w:val="18"/>
              </w:rPr>
              <w:t>GB/T 3920</w:t>
            </w:r>
          </w:p>
          <w:p>
            <w:pPr>
              <w:widowControl/>
              <w:spacing w:before="100" w:beforeAutospacing="1" w:after="100" w:afterAutospacing="1"/>
              <w:rPr>
                <w:rFonts w:ascii="宋体" w:hAnsi="宋体" w:cs="宋体"/>
                <w:kern w:val="0"/>
                <w:sz w:val="24"/>
              </w:rPr>
            </w:pPr>
            <w:r>
              <w:rPr>
                <w:rFonts w:hint="eastAsia" w:ascii="_5b8b_4f53" w:hAnsi="_5b8b_4f53" w:cs="宋体"/>
                <w:kern w:val="0"/>
                <w:sz w:val="18"/>
                <w:szCs w:val="18"/>
              </w:rPr>
              <w:t>相应方法标准</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r>
              <w:rPr>
                <w:rFonts w:hint="eastAsia" w:ascii="宋体" w:hAnsi="宋体"/>
                <w:sz w:val="18"/>
                <w:szCs w:val="18"/>
              </w:rPr>
              <w:t>●</w:t>
            </w:r>
          </w:p>
        </w:tc>
      </w:tr>
      <w:tr>
        <w:tblPrEx>
          <w:tblCellMar>
            <w:top w:w="0" w:type="dxa"/>
            <w:left w:w="0" w:type="dxa"/>
            <w:bottom w:w="0" w:type="dxa"/>
            <w:right w:w="0" w:type="dxa"/>
          </w:tblCellMar>
        </w:tblPrEx>
        <w:trPr>
          <w:trHeight w:val="822"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7</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耐汗渍色牢度（级）</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kern w:val="0"/>
                <w:sz w:val="18"/>
                <w:szCs w:val="18"/>
              </w:rPr>
              <w:t>GB 18401</w:t>
            </w:r>
            <w:r>
              <w:rPr>
                <w:rFonts w:hint="eastAsia" w:ascii="_5b8b_4f53" w:hAnsi="_5b8b_4f53" w:cs="宋体"/>
                <w:kern w:val="0"/>
                <w:sz w:val="18"/>
                <w:szCs w:val="18"/>
              </w:rPr>
              <w:t>相应产品标准</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强制性</w:t>
            </w:r>
            <w:r>
              <w:rPr>
                <w:rFonts w:ascii="_5b8b_4f53" w:hAnsi="_5b8b_4f53" w:cs="宋体"/>
                <w:kern w:val="0"/>
                <w:sz w:val="18"/>
                <w:szCs w:val="18"/>
              </w:rPr>
              <w:t>/</w:t>
            </w:r>
            <w:r>
              <w:rPr>
                <w:rFonts w:hint="eastAsia" w:ascii="_5b8b_4f53" w:hAnsi="_5b8b_4f53" w:cs="宋体"/>
                <w:kern w:val="0"/>
                <w:sz w:val="18"/>
                <w:szCs w:val="18"/>
              </w:rPr>
              <w:t>推荐性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kern w:val="0"/>
                <w:sz w:val="18"/>
                <w:szCs w:val="18"/>
              </w:rPr>
              <w:t>GB/T 3922</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r>
              <w:rPr>
                <w:rFonts w:hint="eastAsia" w:ascii="宋体" w:hAnsi="宋体"/>
                <w:sz w:val="18"/>
                <w:szCs w:val="18"/>
              </w:rPr>
              <w:t>●</w:t>
            </w:r>
          </w:p>
        </w:tc>
      </w:tr>
      <w:tr>
        <w:tblPrEx>
          <w:tblCellMar>
            <w:top w:w="0" w:type="dxa"/>
            <w:left w:w="0" w:type="dxa"/>
            <w:bottom w:w="0" w:type="dxa"/>
            <w:right w:w="0" w:type="dxa"/>
          </w:tblCellMar>
        </w:tblPrEx>
        <w:trPr>
          <w:trHeight w:val="480"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8</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hint="eastAsia" w:ascii="_5b8b_4f53" w:hAnsi="_5b8b_4f53" w:cs="宋体"/>
                <w:kern w:val="0"/>
                <w:sz w:val="18"/>
                <w:szCs w:val="18"/>
              </w:rPr>
              <w:t>耐皂洗色牢度（级）</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相应产品标准</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推荐性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kern w:val="0"/>
                <w:sz w:val="18"/>
                <w:szCs w:val="18"/>
              </w:rPr>
              <w:t>GB/T 3921</w:t>
            </w:r>
          </w:p>
          <w:p>
            <w:pPr>
              <w:widowControl/>
              <w:spacing w:before="100" w:beforeAutospacing="1" w:after="100" w:afterAutospacing="1"/>
              <w:rPr>
                <w:rFonts w:ascii="宋体" w:hAnsi="宋体" w:cs="宋体"/>
                <w:kern w:val="0"/>
                <w:sz w:val="24"/>
              </w:rPr>
            </w:pPr>
            <w:r>
              <w:rPr>
                <w:rFonts w:hint="eastAsia" w:ascii="_5b8b_4f53" w:hAnsi="_5b8b_4f53" w:cs="宋体"/>
                <w:kern w:val="0"/>
                <w:sz w:val="18"/>
                <w:szCs w:val="18"/>
              </w:rPr>
              <w:t>相应方法标准</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r>
              <w:rPr>
                <w:rFonts w:hint="eastAsia" w:ascii="宋体" w:hAnsi="宋体"/>
                <w:sz w:val="18"/>
                <w:szCs w:val="18"/>
              </w:rPr>
              <w:t>●</w:t>
            </w:r>
          </w:p>
        </w:tc>
      </w:tr>
      <w:tr>
        <w:tblPrEx>
          <w:tblCellMar>
            <w:top w:w="0" w:type="dxa"/>
            <w:left w:w="0" w:type="dxa"/>
            <w:bottom w:w="0" w:type="dxa"/>
            <w:right w:w="0" w:type="dxa"/>
          </w:tblCellMar>
        </w:tblPrEx>
        <w:trPr>
          <w:trHeight w:val="397" w:hRule="atLeast"/>
          <w:jc w:val="center"/>
        </w:trPr>
        <w:tc>
          <w:tcPr>
            <w:tcW w:w="4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9</w:t>
            </w:r>
          </w:p>
        </w:tc>
        <w:tc>
          <w:tcPr>
            <w:tcW w:w="182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耐光色牢度（级）</w:t>
            </w:r>
          </w:p>
        </w:tc>
        <w:tc>
          <w:tcPr>
            <w:tcW w:w="201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相应产品标准</w:t>
            </w:r>
          </w:p>
        </w:tc>
        <w:tc>
          <w:tcPr>
            <w:tcW w:w="136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推荐性</w:t>
            </w:r>
          </w:p>
        </w:tc>
        <w:tc>
          <w:tcPr>
            <w:tcW w:w="133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ascii="宋体" w:hAnsi="宋体" w:cs="宋体"/>
                <w:kern w:val="0"/>
                <w:sz w:val="24"/>
              </w:rPr>
            </w:pPr>
            <w:r>
              <w:rPr>
                <w:rFonts w:ascii="_5b8b_4f53" w:hAnsi="_5b8b_4f53" w:cs="宋体"/>
                <w:kern w:val="0"/>
                <w:sz w:val="18"/>
                <w:szCs w:val="18"/>
              </w:rPr>
              <w:t>GB/T 8427</w:t>
            </w:r>
          </w:p>
          <w:p>
            <w:pPr>
              <w:widowControl/>
              <w:spacing w:before="100" w:beforeAutospacing="1" w:after="100" w:afterAutospacing="1"/>
              <w:rPr>
                <w:rFonts w:ascii="宋体" w:hAnsi="宋体" w:cs="宋体"/>
                <w:kern w:val="0"/>
                <w:sz w:val="24"/>
              </w:rPr>
            </w:pPr>
            <w:r>
              <w:rPr>
                <w:rFonts w:hint="eastAsia" w:ascii="_5b8b_4f53" w:hAnsi="_5b8b_4f53" w:cs="宋体"/>
                <w:kern w:val="0"/>
                <w:sz w:val="18"/>
                <w:szCs w:val="18"/>
              </w:rPr>
              <w:t>相应方法标准</w:t>
            </w:r>
          </w:p>
        </w:tc>
        <w:tc>
          <w:tcPr>
            <w:tcW w:w="70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c>
          <w:tcPr>
            <w:tcW w:w="7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r>
              <w:rPr>
                <w:rFonts w:hint="eastAsia" w:ascii="宋体" w:hAnsi="宋体"/>
                <w:sz w:val="18"/>
                <w:szCs w:val="18"/>
              </w:rPr>
              <w:t>●</w:t>
            </w:r>
          </w:p>
        </w:tc>
      </w:tr>
      <w:tr>
        <w:tblPrEx>
          <w:tblCellMar>
            <w:top w:w="0" w:type="dxa"/>
            <w:left w:w="0" w:type="dxa"/>
            <w:bottom w:w="0" w:type="dxa"/>
            <w:right w:w="0" w:type="dxa"/>
          </w:tblCellMar>
        </w:tblPrEx>
        <w:trPr>
          <w:trHeight w:val="601" w:hRule="atLeast"/>
          <w:jc w:val="center"/>
        </w:trPr>
        <w:tc>
          <w:tcPr>
            <w:tcW w:w="461" w:type="dxa"/>
            <w:tcBorders>
              <w:top w:val="single" w:color="auto" w:sz="8" w:space="0"/>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kern w:val="0"/>
                <w:sz w:val="18"/>
                <w:szCs w:val="18"/>
              </w:rPr>
              <w:t>1</w:t>
            </w:r>
            <w:r>
              <w:rPr>
                <w:rFonts w:hint="eastAsia" w:ascii="_5b8b_4f53" w:hAnsi="_5b8b_4f53" w:cs="宋体"/>
                <w:kern w:val="0"/>
                <w:sz w:val="18"/>
                <w:szCs w:val="18"/>
              </w:rPr>
              <w:t>0</w:t>
            </w:r>
          </w:p>
        </w:tc>
        <w:tc>
          <w:tcPr>
            <w:tcW w:w="1829" w:type="dxa"/>
            <w:tcBorders>
              <w:top w:val="single" w:color="auto" w:sz="8" w:space="0"/>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起球（级）</w:t>
            </w:r>
          </w:p>
        </w:tc>
        <w:tc>
          <w:tcPr>
            <w:tcW w:w="2012" w:type="dxa"/>
            <w:tcBorders>
              <w:top w:val="single" w:color="auto" w:sz="8" w:space="0"/>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相应产品标准</w:t>
            </w:r>
          </w:p>
        </w:tc>
        <w:tc>
          <w:tcPr>
            <w:tcW w:w="1361" w:type="dxa"/>
            <w:tcBorders>
              <w:top w:val="single" w:color="auto" w:sz="8" w:space="0"/>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hint="eastAsia" w:ascii="_5b8b_4f53" w:hAnsi="_5b8b_4f53" w:cs="宋体"/>
                <w:kern w:val="0"/>
                <w:sz w:val="18"/>
                <w:szCs w:val="18"/>
              </w:rPr>
              <w:t>推荐性</w:t>
            </w:r>
          </w:p>
        </w:tc>
        <w:tc>
          <w:tcPr>
            <w:tcW w:w="1332" w:type="dxa"/>
            <w:tcBorders>
              <w:top w:val="single" w:color="auto" w:sz="8" w:space="0"/>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rPr>
                <w:rFonts w:hint="eastAsia" w:ascii="_5b8b_4f53" w:hAnsi="_5b8b_4f53" w:cs="宋体"/>
                <w:kern w:val="0"/>
                <w:sz w:val="18"/>
                <w:szCs w:val="18"/>
              </w:rPr>
            </w:pPr>
            <w:r>
              <w:rPr>
                <w:rFonts w:hint="eastAsia" w:ascii="宋体" w:hAnsi="宋体" w:cs="宋体"/>
                <w:kern w:val="0"/>
                <w:szCs w:val="21"/>
              </w:rPr>
              <w:t>GB/T 4802.1</w:t>
            </w:r>
          </w:p>
          <w:p>
            <w:pPr>
              <w:widowControl/>
              <w:spacing w:before="100" w:beforeAutospacing="1" w:after="100" w:afterAutospacing="1"/>
              <w:rPr>
                <w:rFonts w:ascii="宋体" w:hAnsi="宋体" w:cs="宋体"/>
                <w:kern w:val="0"/>
                <w:sz w:val="24"/>
              </w:rPr>
            </w:pPr>
            <w:r>
              <w:rPr>
                <w:rFonts w:hint="eastAsia" w:ascii="_5b8b_4f53" w:hAnsi="_5b8b_4f53" w:cs="宋体"/>
                <w:kern w:val="0"/>
                <w:sz w:val="18"/>
                <w:szCs w:val="18"/>
              </w:rPr>
              <w:t>相应方法标准</w:t>
            </w:r>
          </w:p>
        </w:tc>
        <w:tc>
          <w:tcPr>
            <w:tcW w:w="709" w:type="dxa"/>
            <w:tcBorders>
              <w:top w:val="single" w:color="auto" w:sz="8" w:space="0"/>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widowControl/>
              <w:spacing w:before="100" w:beforeAutospacing="1" w:after="100" w:afterAutospacing="1"/>
              <w:jc w:val="center"/>
              <w:rPr>
                <w:rFonts w:ascii="宋体" w:hAnsi="宋体" w:cs="宋体"/>
                <w:kern w:val="0"/>
                <w:sz w:val="24"/>
              </w:rPr>
            </w:pPr>
            <w:r>
              <w:rPr>
                <w:rFonts w:ascii="_5b8b_4f53" w:hAnsi="_5b8b_4f53" w:cs="宋体"/>
                <w:color w:val="000000"/>
                <w:kern w:val="0"/>
                <w:sz w:val="18"/>
                <w:szCs w:val="18"/>
              </w:rPr>
              <w:t> </w:t>
            </w:r>
          </w:p>
        </w:tc>
        <w:tc>
          <w:tcPr>
            <w:tcW w:w="700" w:type="dxa"/>
            <w:tcBorders>
              <w:top w:val="single" w:color="auto" w:sz="8" w:space="0"/>
              <w:left w:val="single" w:color="auto" w:sz="8" w:space="0"/>
              <w:bottom w:val="single" w:color="auto" w:sz="4" w:space="0"/>
              <w:right w:val="single" w:color="auto" w:sz="8" w:space="0"/>
            </w:tcBorders>
            <w:noWrap w:val="0"/>
            <w:tcMar>
              <w:top w:w="0" w:type="dxa"/>
              <w:left w:w="108" w:type="dxa"/>
              <w:bottom w:w="0" w:type="dxa"/>
              <w:right w:w="108" w:type="dxa"/>
            </w:tcMar>
            <w:vAlign w:val="top"/>
          </w:tcPr>
          <w:p>
            <w:r>
              <w:rPr>
                <w:rFonts w:hint="eastAsia" w:ascii="宋体" w:hAnsi="宋体"/>
                <w:sz w:val="18"/>
                <w:szCs w:val="18"/>
              </w:rPr>
              <w:t>●</w:t>
            </w:r>
          </w:p>
        </w:tc>
      </w:tr>
      <w:tr>
        <w:tblPrEx>
          <w:tblCellMar>
            <w:top w:w="0" w:type="dxa"/>
            <w:left w:w="0" w:type="dxa"/>
            <w:bottom w:w="0" w:type="dxa"/>
            <w:right w:w="0" w:type="dxa"/>
          </w:tblCellMar>
        </w:tblPrEx>
        <w:trPr>
          <w:trHeight w:val="539" w:hRule="atLeast"/>
          <w:jc w:val="center"/>
        </w:trPr>
        <w:tc>
          <w:tcPr>
            <w:tcW w:w="8404" w:type="dxa"/>
            <w:gridSpan w:val="7"/>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320" w:lineRule="exact"/>
              <w:rPr>
                <w:rFonts w:hint="eastAsia" w:ascii="_5b8b_4f53" w:hAnsi="_5b8b_4f53" w:cs="宋体"/>
                <w:kern w:val="0"/>
                <w:sz w:val="15"/>
                <w:szCs w:val="15"/>
              </w:rPr>
            </w:pPr>
            <w:r>
              <w:rPr>
                <w:rFonts w:hint="eastAsia" w:ascii="_5b8b_4f53" w:hAnsi="_5b8b_4f53" w:cs="宋体"/>
                <w:kern w:val="0"/>
                <w:sz w:val="15"/>
                <w:szCs w:val="15"/>
              </w:rPr>
              <w:t>备注：</w:t>
            </w:r>
          </w:p>
          <w:p>
            <w:pPr>
              <w:spacing w:line="320" w:lineRule="exact"/>
              <w:rPr>
                <w:rFonts w:hint="eastAsia" w:ascii="宋体" w:hAnsi="宋体"/>
                <w:sz w:val="15"/>
                <w:szCs w:val="15"/>
              </w:rPr>
            </w:pPr>
            <w:r>
              <w:rPr>
                <w:rFonts w:hint="eastAsia" w:ascii="宋体" w:hAnsi="宋体"/>
                <w:sz w:val="15"/>
                <w:szCs w:val="15"/>
              </w:rPr>
              <w:t>注</w:t>
            </w:r>
            <w:r>
              <w:rPr>
                <w:rFonts w:ascii="宋体" w:hAnsi="宋体"/>
                <w:sz w:val="15"/>
                <w:szCs w:val="15"/>
              </w:rPr>
              <w:t>1</w:t>
            </w:r>
            <w:r>
              <w:rPr>
                <w:rFonts w:hint="eastAsia" w:ascii="宋体" w:hAnsi="宋体"/>
                <w:sz w:val="15"/>
                <w:szCs w:val="15"/>
              </w:rPr>
              <w:t>：如果未标注产品主要原材料的纤维成分和含量，则判定该项目为不合格。</w:t>
            </w:r>
          </w:p>
          <w:p>
            <w:pPr>
              <w:spacing w:line="320" w:lineRule="exact"/>
              <w:rPr>
                <w:rFonts w:hint="eastAsia" w:ascii="_5b8b_4f53" w:hAnsi="_5b8b_4f53" w:cs="宋体"/>
                <w:kern w:val="0"/>
                <w:sz w:val="15"/>
                <w:szCs w:val="15"/>
              </w:rPr>
            </w:pPr>
            <w:r>
              <w:rPr>
                <w:rFonts w:hint="eastAsia" w:ascii="_5b8b_4f53" w:hAnsi="_5b8b_4f53" w:cs="宋体"/>
                <w:kern w:val="0"/>
                <w:sz w:val="15"/>
                <w:szCs w:val="15"/>
              </w:rPr>
              <w:t>2.色牢度试验采用单纤维贴衬。</w:t>
            </w:r>
          </w:p>
          <w:p>
            <w:pPr>
              <w:spacing w:line="320" w:lineRule="exact"/>
              <w:rPr>
                <w:rFonts w:ascii="宋体"/>
                <w:sz w:val="15"/>
                <w:szCs w:val="15"/>
              </w:rPr>
            </w:pPr>
            <w:r>
              <w:rPr>
                <w:rFonts w:hint="eastAsia" w:ascii="_5b8b_4f53" w:hAnsi="_5b8b_4f53" w:cs="宋体"/>
                <w:kern w:val="0"/>
                <w:sz w:val="15"/>
                <w:szCs w:val="15"/>
              </w:rPr>
              <w:t>3.A类-------极重要质量项目，B类--------重要质量项目</w:t>
            </w: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三、判定原则</w:t>
      </w:r>
    </w:p>
    <w:p>
      <w:pPr>
        <w:spacing w:line="600" w:lineRule="exact"/>
        <w:ind w:firstLine="640" w:firstLineChars="200"/>
        <w:rPr>
          <w:rFonts w:eastAsia="楷体_GB2312"/>
          <w:color w:val="000000"/>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 18401-2010《国家纺织产品基本安全技术规范》</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29862-2013《纺织品 纤维含量的标识》</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31888-2015《中小学生校服》</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31701-2015《婴幼儿及儿童纺织产品安全技术规范》</w:t>
      </w:r>
    </w:p>
    <w:p>
      <w:pPr>
        <w:spacing w:line="600" w:lineRule="exact"/>
        <w:ind w:firstLine="640" w:firstLineChars="200"/>
        <w:rPr>
          <w:rFonts w:hint="eastAsia" w:ascii="宋体" w:hAnsi="宋体" w:cs="宋体"/>
          <w:color w:val="000000"/>
          <w:kern w:val="0"/>
          <w:szCs w:val="21"/>
        </w:rPr>
      </w:pPr>
      <w:r>
        <w:rPr>
          <w:rFonts w:hint="eastAsia" w:ascii="仿宋_GB2312" w:hAnsi="仿宋_GB2312" w:eastAsia="仿宋_GB2312" w:cs="仿宋_GB2312"/>
          <w:kern w:val="0"/>
          <w:sz w:val="32"/>
          <w:szCs w:val="32"/>
        </w:rPr>
        <w:t>GB/T22854-2009《针织学生服》</w:t>
      </w:r>
    </w:p>
    <w:p>
      <w:p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（二）判定原则</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经检验，检验项目全部合格，判定为抽取的样本所检项目未检出不合格；检验项目中任一项或一项以上不合格，判定为被抽查产品不合格。</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当被检样品明示的质量要求优于监督抽查实施细则中依据的标准要求时，应按被检样品明示的质量要求判定；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当被检样品明示的质量要求劣于或不包含监督抽查实施细则中依据的强制性标准要求时，应按照强制性标准要求判定；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当被检样品明示的质量要求不包含监督抽查实施细则中依据的推荐性标准要求时，该指标不参与判定，但应在检验报告中作出说明；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当被检样品未能提供有效的企业标准时，按相关国家或行业标准进行判定；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按照产品质量相关法律法规的规定判定。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_5b8b_4f53">
    <w:altName w:val="Times New Roman"/>
    <w:panose1 w:val="00000000000000000000"/>
    <w:charset w:val="00"/>
    <w:family w:val="roman"/>
    <w:pitch w:val="default"/>
    <w:sig w:usb0="00000000" w:usb1="00000000" w:usb2="00000000" w:usb3="00000000" w:csb0="00040001" w:csb1="00000000"/>
  </w:font>
  <w:font w:name="Sim Sun">
    <w:altName w:val="宋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A8205D"/>
    <w:rsid w:val="249C73CC"/>
    <w:rsid w:val="3247650B"/>
    <w:rsid w:val="5EA8205D"/>
    <w:rsid w:val="675024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2022-04-20T02:18:00Z</dcterms:created>
  <dc:creator>李文湘</dc:creator>
  <cp:lastModifiedBy>李文湘</cp:lastModifiedBy>
  <dcterms:modified xsi:type="dcterms:W3CDTF">2022-08-01T08:28:18Z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