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jc w:val="center"/>
        <w:rPr>
          <w:rFonts w:ascii="宋体" w:hAnsi="宋体" w:eastAsia="宋体" w:cs="宋体"/>
          <w:b/>
          <w:bCs/>
          <w:color w:val="000000" w:themeColor="text1"/>
          <w:szCs w:val="44"/>
          <w:shd w:val="clear" w:color="auto" w:fill="FFFFFF"/>
          <w14:textFill>
            <w14:solidFill>
              <w14:schemeClr w14:val="tx1"/>
            </w14:solidFill>
          </w14:textFill>
        </w:rPr>
      </w:pPr>
      <w:r>
        <w:rPr>
          <w:rFonts w:hint="eastAsia" w:ascii="宋体" w:hAnsi="宋体" w:eastAsia="宋体" w:cs="宋体"/>
          <w:b/>
          <w:bCs/>
          <w:color w:val="000000" w:themeColor="text1"/>
          <w:szCs w:val="44"/>
          <w14:textFill>
            <w14:solidFill>
              <w14:schemeClr w14:val="tx1"/>
            </w14:solidFill>
          </w14:textFill>
        </w:rPr>
        <w:t>汕尾市小微企业信用保证基金</w:t>
      </w:r>
      <w:r>
        <w:rPr>
          <w:rFonts w:hint="eastAsia" w:ascii="宋体" w:hAnsi="宋体" w:eastAsia="宋体" w:cs="宋体"/>
          <w:b/>
          <w:bCs/>
          <w:color w:val="000000" w:themeColor="text1"/>
          <w:szCs w:val="44"/>
          <w:shd w:val="clear" w:color="auto" w:fill="FFFFFF"/>
          <w14:textFill>
            <w14:solidFill>
              <w14:schemeClr w14:val="tx1"/>
            </w14:solidFill>
          </w14:textFill>
        </w:rPr>
        <w:t>知识产权</w:t>
      </w:r>
    </w:p>
    <w:p>
      <w:pPr>
        <w:pStyle w:val="3"/>
        <w:spacing w:line="600" w:lineRule="exact"/>
        <w:jc w:val="center"/>
        <w:rPr>
          <w:rFonts w:hint="eastAsia" w:ascii="宋体" w:hAnsi="宋体" w:eastAsia="宋体" w:cs="宋体"/>
          <w:b/>
          <w:bCs/>
          <w:color w:val="000000" w:themeColor="text1"/>
          <w:szCs w:val="44"/>
          <w14:textFill>
            <w14:solidFill>
              <w14:schemeClr w14:val="tx1"/>
            </w14:solidFill>
          </w14:textFill>
        </w:rPr>
      </w:pPr>
      <w:r>
        <w:rPr>
          <w:rFonts w:hint="eastAsia" w:ascii="宋体" w:hAnsi="宋体" w:eastAsia="宋体" w:cs="宋体"/>
          <w:b/>
          <w:bCs/>
          <w:color w:val="000000" w:themeColor="text1"/>
          <w:szCs w:val="44"/>
          <w:shd w:val="clear" w:color="auto" w:fill="FFFFFF"/>
          <w14:textFill>
            <w14:solidFill>
              <w14:schemeClr w14:val="tx1"/>
            </w14:solidFill>
          </w14:textFill>
        </w:rPr>
        <w:t>质押融资风险补偿项目</w:t>
      </w:r>
      <w:r>
        <w:rPr>
          <w:rFonts w:hint="eastAsia" w:ascii="宋体" w:hAnsi="宋体" w:eastAsia="宋体" w:cs="宋体"/>
          <w:b/>
          <w:bCs/>
          <w:color w:val="000000" w:themeColor="text1"/>
          <w:szCs w:val="44"/>
          <w14:textFill>
            <w14:solidFill>
              <w14:schemeClr w14:val="tx1"/>
            </w14:solidFill>
          </w14:textFill>
        </w:rPr>
        <w:t>实施细则</w:t>
      </w:r>
    </w:p>
    <w:p>
      <w:pPr>
        <w:jc w:val="center"/>
        <w:rPr>
          <w:rFonts w:hint="eastAsia" w:eastAsia="宋体"/>
          <w:color w:val="000000" w:themeColor="text1"/>
          <w:lang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（征求意见</w:t>
      </w:r>
      <w:r>
        <w:rPr>
          <w:rFonts w:hint="eastAsia" w:ascii="宋体" w:hAnsi="宋体" w:eastAsia="宋体" w:cs="宋体"/>
          <w:b/>
          <w:bCs/>
          <w:color w:val="000000" w:themeColor="text1"/>
          <w:sz w:val="44"/>
          <w:szCs w:val="44"/>
          <w:lang w:eastAsia="zh-CN"/>
          <w14:textFill>
            <w14:solidFill>
              <w14:schemeClr w14:val="tx1"/>
            </w14:solidFill>
          </w14:textFill>
        </w:rPr>
        <w:t>稿）</w:t>
      </w:r>
    </w:p>
    <w:p>
      <w:pPr>
        <w:jc w:val="center"/>
        <w:rPr>
          <w:rFonts w:hint="eastAsia" w:eastAsia="仿宋_GB2312"/>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pPr>
        <w:pageBreakBefore w:val="0"/>
        <w:kinsoku/>
        <w:wordWrap/>
        <w:overflowPunct/>
        <w:topLinePunct w:val="0"/>
        <w:autoSpaceDE/>
        <w:autoSpaceDN/>
        <w:bidi w:val="0"/>
        <w:spacing w:line="600" w:lineRule="exact"/>
        <w:jc w:val="center"/>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第一章 总则</w:t>
      </w:r>
    </w:p>
    <w:p>
      <w:pPr>
        <w:pageBreakBefore w:val="0"/>
        <w:kinsoku/>
        <w:wordWrap/>
        <w:overflowPunct/>
        <w:topLinePunct w:val="0"/>
        <w:autoSpaceDE/>
        <w:autoSpaceDN/>
        <w:bidi w:val="0"/>
        <w:adjustRightInd w:val="0"/>
        <w:snapToGrid w:val="0"/>
        <w:spacing w:line="600" w:lineRule="exact"/>
        <w:ind w:firstLine="643" w:firstLineChars="200"/>
        <w:textAlignment w:val="auto"/>
        <w:rPr>
          <w:rFonts w:hint="eastAsia"/>
          <w:color w:val="000000" w:themeColor="text1"/>
          <w:lang w:eastAsia="zh-CN"/>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第一条</w:t>
      </w:r>
      <w:r>
        <w:rPr>
          <w:rFonts w:hint="eastAsia" w:ascii="仿宋_GB2312" w:hAnsi="仿宋_GB2312" w:cs="仿宋_GB2312"/>
          <w:b/>
          <w:bCs/>
          <w:color w:val="000000" w:themeColor="text1"/>
          <w:szCs w:val="32"/>
          <w:lang w:val="en-US" w:eastAsia="zh-CN"/>
          <w14:textFill>
            <w14:solidFill>
              <w14:schemeClr w14:val="tx1"/>
            </w14:solidFill>
          </w14:textFill>
        </w:rPr>
        <w:t xml:space="preserve">  </w:t>
      </w:r>
      <w:r>
        <w:rPr>
          <w:color w:val="000000" w:themeColor="text1"/>
          <w14:textFill>
            <w14:solidFill>
              <w14:schemeClr w14:val="tx1"/>
            </w14:solidFill>
          </w14:textFill>
        </w:rPr>
        <w:t>为深入贯彻落实中央、国务院关于加快实施创新驱动发展的战略部署，进一步发挥知识产权推动产业转型升级和经济提质增效的作用，提升政府财政资金杠杆和风险保障作用，实现知识产权市场价值，解决轻资产的科技型小</w:t>
      </w:r>
      <w:r>
        <w:rPr>
          <w:rFonts w:hint="eastAsia"/>
          <w:color w:val="000000" w:themeColor="text1"/>
          <w14:textFill>
            <w14:solidFill>
              <w14:schemeClr w14:val="tx1"/>
            </w14:solidFill>
          </w14:textFill>
        </w:rPr>
        <w:t>微</w:t>
      </w:r>
      <w:r>
        <w:rPr>
          <w:color w:val="000000" w:themeColor="text1"/>
          <w14:textFill>
            <w14:solidFill>
              <w14:schemeClr w14:val="tx1"/>
            </w14:solidFill>
          </w14:textFill>
        </w:rPr>
        <w:t>企业融资难问题，省、市财政共同出资建立首期为</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000万元的汕</w:t>
      </w:r>
      <w:r>
        <w:rPr>
          <w:rFonts w:hint="eastAsia"/>
          <w:color w:val="000000" w:themeColor="text1"/>
          <w14:textFill>
            <w14:solidFill>
              <w14:schemeClr w14:val="tx1"/>
            </w14:solidFill>
          </w14:textFill>
        </w:rPr>
        <w:t>尾</w:t>
      </w:r>
      <w:r>
        <w:rPr>
          <w:color w:val="000000" w:themeColor="text1"/>
          <w14:textFill>
            <w14:solidFill>
              <w14:schemeClr w14:val="tx1"/>
            </w14:solidFill>
          </w14:textFill>
        </w:rPr>
        <w:t>市知识产权质押融资风险补偿</w:t>
      </w:r>
      <w:r>
        <w:rPr>
          <w:rFonts w:hint="eastAsia"/>
          <w:color w:val="000000" w:themeColor="text1"/>
          <w14:textFill>
            <w14:solidFill>
              <w14:schemeClr w14:val="tx1"/>
            </w14:solidFill>
          </w14:textFill>
        </w:rPr>
        <w:t>基金（</w:t>
      </w:r>
      <w:r>
        <w:rPr>
          <w:color w:val="000000" w:themeColor="text1"/>
          <w14:textFill>
            <w14:solidFill>
              <w14:schemeClr w14:val="tx1"/>
            </w14:solidFill>
          </w14:textFill>
        </w:rPr>
        <w:t>以下简称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风险补偿</w:t>
      </w:r>
      <w:r>
        <w:rPr>
          <w:rFonts w:hint="eastAsia"/>
          <w:color w:val="000000" w:themeColor="text1"/>
          <w14:textFill>
            <w14:solidFill>
              <w14:schemeClr w14:val="tx1"/>
            </w14:solidFill>
          </w14:textFill>
        </w:rPr>
        <w:t>基</w:t>
      </w:r>
      <w:r>
        <w:rPr>
          <w:color w:val="000000" w:themeColor="text1"/>
          <w14:textFill>
            <w14:solidFill>
              <w14:schemeClr w14:val="tx1"/>
            </w14:solidFill>
          </w14:textFill>
        </w:rPr>
        <w:t>金</w:t>
      </w:r>
      <w:r>
        <w:rPr>
          <w:rFonts w:hint="eastAsia"/>
          <w:color w:val="000000" w:themeColor="text1"/>
          <w14:textFill>
            <w14:solidFill>
              <w14:schemeClr w14:val="tx1"/>
            </w14:solidFill>
          </w14:textFill>
        </w:rPr>
        <w:t>”，</w:t>
      </w:r>
      <w:r>
        <w:rPr>
          <w:rFonts w:ascii="仿宋_GB2312" w:hAnsi="仿宋_GB2312" w:cs="仿宋_GB2312"/>
          <w:color w:val="000000" w:themeColor="text1"/>
          <w:szCs w:val="32"/>
          <w14:textFill>
            <w14:solidFill>
              <w14:schemeClr w14:val="tx1"/>
            </w14:solidFill>
          </w14:textFill>
        </w:rPr>
        <w:t>其中省</w:t>
      </w:r>
      <w:r>
        <w:rPr>
          <w:rFonts w:hint="eastAsia" w:ascii="仿宋_GB2312" w:hAnsi="仿宋_GB2312" w:cs="仿宋_GB2312"/>
          <w:color w:val="000000" w:themeColor="text1"/>
          <w:szCs w:val="32"/>
          <w14:textFill>
            <w14:solidFill>
              <w14:schemeClr w14:val="tx1"/>
            </w14:solidFill>
          </w14:textFill>
        </w:rPr>
        <w:t>级财政资金5</w:t>
      </w:r>
      <w:r>
        <w:rPr>
          <w:rFonts w:ascii="仿宋_GB2312" w:hAnsi="仿宋_GB2312" w:cs="仿宋_GB2312"/>
          <w:color w:val="000000" w:themeColor="text1"/>
          <w:szCs w:val="32"/>
          <w14:textFill>
            <w14:solidFill>
              <w14:schemeClr w14:val="tx1"/>
            </w14:solidFill>
          </w14:textFill>
        </w:rPr>
        <w:t>00万元</w:t>
      </w:r>
      <w:r>
        <w:rPr>
          <w:rFonts w:hint="eastAsia" w:ascii="仿宋_GB2312" w:hAnsi="仿宋_GB2312" w:cs="仿宋_GB2312"/>
          <w:color w:val="000000" w:themeColor="text1"/>
          <w:szCs w:val="32"/>
          <w14:textFill>
            <w14:solidFill>
              <w14:schemeClr w14:val="tx1"/>
            </w14:solidFill>
          </w14:textFill>
        </w:rPr>
        <w:t>）</w:t>
      </w:r>
      <w:r>
        <w:rPr>
          <w:color w:val="000000" w:themeColor="text1"/>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根据《汕尾市人民政府办公室关于印发汕尾市小微企业信用保证基金实施方案的通知》</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汕府办函〔2020〕272号</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《汕尾市小微企业信用保证基金管理办法》（汕信保管委办〔202</w:t>
      </w:r>
      <w:r>
        <w:rPr>
          <w:rFonts w:hint="eastAsia" w:ascii="仿宋_GB2312" w:hAnsi="仿宋_GB2312" w:cs="仿宋_GB2312"/>
          <w:color w:val="000000" w:themeColor="text1"/>
          <w:szCs w:val="32"/>
          <w:lang w:val="en-US" w:eastAsia="zh-CN"/>
          <w14:textFill>
            <w14:solidFill>
              <w14:schemeClr w14:val="tx1"/>
            </w14:solidFill>
          </w14:textFill>
        </w:rPr>
        <w:t>1</w:t>
      </w:r>
      <w:r>
        <w:rPr>
          <w:rFonts w:hint="eastAsia" w:ascii="仿宋_GB2312" w:hAnsi="仿宋_GB2312" w:cs="仿宋_GB2312"/>
          <w:color w:val="000000" w:themeColor="text1"/>
          <w:szCs w:val="32"/>
          <w14:textFill>
            <w14:solidFill>
              <w14:schemeClr w14:val="tx1"/>
            </w14:solidFill>
          </w14:textFill>
        </w:rPr>
        <w:t>〕2号 ），</w:t>
      </w:r>
      <w:r>
        <w:rPr>
          <w:rFonts w:ascii="仿宋_GB2312" w:hAnsi="仿宋_GB2312" w:cs="仿宋_GB2312"/>
          <w:color w:val="000000" w:themeColor="text1"/>
          <w:szCs w:val="32"/>
          <w14:textFill>
            <w14:solidFill>
              <w14:schemeClr w14:val="tx1"/>
            </w14:solidFill>
          </w14:textFill>
        </w:rPr>
        <w:t>风险补偿基金</w:t>
      </w:r>
      <w:r>
        <w:rPr>
          <w:rFonts w:hint="eastAsia" w:ascii="仿宋_GB2312" w:hAnsi="仿宋_GB2312" w:cs="仿宋_GB2312"/>
          <w:color w:val="000000" w:themeColor="text1"/>
          <w:szCs w:val="32"/>
          <w14:textFill>
            <w14:solidFill>
              <w14:schemeClr w14:val="tx1"/>
            </w14:solidFill>
          </w14:textFill>
        </w:rPr>
        <w:t>并入</w:t>
      </w:r>
      <w:r>
        <w:rPr>
          <w:rFonts w:hint="eastAsia"/>
          <w:color w:val="000000" w:themeColor="text1"/>
          <w14:textFill>
            <w14:solidFill>
              <w14:schemeClr w14:val="tx1"/>
            </w14:solidFill>
          </w14:textFill>
        </w:rPr>
        <w:t>汕尾市小微企业信用保证基金</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以下简称“信保基金”</w:t>
      </w:r>
      <w:r>
        <w:rPr>
          <w:rFonts w:hint="eastAsia"/>
          <w:color w:val="000000" w:themeColor="text1"/>
          <w:lang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，可单独设立信保基金专属产品，为符合条件的小微企业提供信用保证，分担合作金融机构知识产权质押融资风险。为</w:t>
      </w:r>
      <w:r>
        <w:rPr>
          <w:color w:val="000000" w:themeColor="text1"/>
          <w14:textFill>
            <w14:solidFill>
              <w14:schemeClr w14:val="tx1"/>
            </w14:solidFill>
          </w14:textFill>
        </w:rPr>
        <w:t>做好风险补偿</w:t>
      </w:r>
      <w:r>
        <w:rPr>
          <w:rFonts w:hint="eastAsia"/>
          <w:color w:val="000000" w:themeColor="text1"/>
          <w14:textFill>
            <w14:solidFill>
              <w14:schemeClr w14:val="tx1"/>
            </w14:solidFill>
          </w14:textFill>
        </w:rPr>
        <w:t>基金并入信保基金后</w:t>
      </w:r>
      <w:r>
        <w:rPr>
          <w:color w:val="000000" w:themeColor="text1"/>
          <w14:textFill>
            <w14:solidFill>
              <w14:schemeClr w14:val="tx1"/>
            </w14:solidFill>
          </w14:textFill>
        </w:rPr>
        <w:t>的管理工作，同时</w:t>
      </w:r>
      <w:r>
        <w:rPr>
          <w:rFonts w:hint="eastAsia"/>
          <w:color w:val="000000" w:themeColor="text1"/>
          <w14:textFill>
            <w14:solidFill>
              <w14:schemeClr w14:val="tx1"/>
            </w14:solidFill>
          </w14:textFill>
        </w:rPr>
        <w:t>规范相关业务操作，防范和控制风险，</w:t>
      </w:r>
      <w:r>
        <w:rPr>
          <w:color w:val="000000" w:themeColor="text1"/>
          <w14:textFill>
            <w14:solidFill>
              <w14:schemeClr w14:val="tx1"/>
            </w14:solidFill>
          </w14:textFill>
        </w:rPr>
        <w:t>制定本</w:t>
      </w:r>
      <w:r>
        <w:rPr>
          <w:rFonts w:hint="eastAsia"/>
          <w:color w:val="000000" w:themeColor="text1"/>
          <w14:textFill>
            <w14:solidFill>
              <w14:schemeClr w14:val="tx1"/>
            </w14:solidFill>
          </w14:textFill>
        </w:rPr>
        <w:t>实施细则</w:t>
      </w:r>
      <w:r>
        <w:rPr>
          <w:rFonts w:hint="eastAsia"/>
          <w:color w:val="000000" w:themeColor="text1"/>
          <w:lang w:eastAsia="zh-CN"/>
          <w14:textFill>
            <w14:solidFill>
              <w14:schemeClr w14:val="tx1"/>
            </w14:solidFill>
          </w14:textFill>
        </w:rPr>
        <w:t>。</w:t>
      </w:r>
    </w:p>
    <w:p>
      <w:pPr>
        <w:pageBreakBefore w:val="0"/>
        <w:kinsoku/>
        <w:wordWrap/>
        <w:overflowPunct/>
        <w:topLinePunct w:val="0"/>
        <w:autoSpaceDE/>
        <w:autoSpaceDN/>
        <w:bidi w:val="0"/>
        <w:adjustRightInd w:val="0"/>
        <w:snapToGrid w:val="0"/>
        <w:spacing w:line="600" w:lineRule="exact"/>
        <w:ind w:firstLine="643"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 xml:space="preserve">第二条  </w:t>
      </w:r>
      <w:r>
        <w:rPr>
          <w:rFonts w:hint="eastAsia" w:ascii="仿宋_GB2312" w:hAnsi="仿宋_GB2312" w:cs="仿宋_GB2312"/>
          <w:color w:val="000000" w:themeColor="text1"/>
          <w:szCs w:val="32"/>
          <w14:textFill>
            <w14:solidFill>
              <w14:schemeClr w14:val="tx1"/>
            </w14:solidFill>
          </w14:textFill>
        </w:rPr>
        <w:t>风险补偿基金坚持政府引导、市场化运用，发挥财政资金引导作用，通过集成政策、创新机制、融合资源，为拥有专利、商标、地理标志等知识产权的小微企业，尤其是知识产权示范、优势企业的知识产权质押融资提供部分风险分担，以拓宽该类小微企业融资渠道，降低企业融资成本，助力创新驱动，支持我市企业高质量发展。</w:t>
      </w:r>
    </w:p>
    <w:p>
      <w:pPr>
        <w:pageBreakBefore w:val="0"/>
        <w:kinsoku/>
        <w:wordWrap/>
        <w:overflowPunct/>
        <w:topLinePunct w:val="0"/>
        <w:autoSpaceDE/>
        <w:autoSpaceDN/>
        <w:bidi w:val="0"/>
        <w:adjustRightInd w:val="0"/>
        <w:snapToGrid w:val="0"/>
        <w:spacing w:line="600" w:lineRule="exact"/>
        <w:ind w:firstLine="643" w:firstLineChars="200"/>
        <w:textAlignment w:val="auto"/>
        <w:rPr>
          <w:rFonts w:ascii="仿宋" w:hAnsi="仿宋" w:eastAsia="仿宋"/>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第三条</w:t>
      </w:r>
      <w:r>
        <w:rPr>
          <w:rFonts w:hint="eastAsia" w:ascii="仿宋_GB2312" w:hAnsi="仿宋_GB2312" w:cs="仿宋_GB2312"/>
          <w:b w:val="0"/>
          <w:bCs w:val="0"/>
          <w:color w:val="000000" w:themeColor="text1"/>
          <w:szCs w:val="32"/>
          <w14:textFill>
            <w14:solidFill>
              <w14:schemeClr w14:val="tx1"/>
            </w14:solidFill>
          </w14:textFill>
        </w:rPr>
        <w:t xml:space="preserve">  本细则所称的知识产权质押融资，</w:t>
      </w:r>
      <w:r>
        <w:rPr>
          <w:rFonts w:hint="eastAsia" w:ascii="仿宋" w:hAnsi="仿宋" w:eastAsia="仿宋" w:cs="仿宋"/>
          <w:b/>
          <w:bCs/>
          <w:color w:val="FF0000"/>
          <w:szCs w:val="32"/>
          <w:lang w:val="en-US" w:eastAsia="zh-CN"/>
        </w:rPr>
        <w:t>是指在汕尾市依法正常开展经营活动2周年以上</w:t>
      </w:r>
      <w:r>
        <w:rPr>
          <w:rFonts w:hint="eastAsia" w:ascii="仿宋" w:hAnsi="仿宋" w:eastAsia="仿宋" w:cs="仿宋"/>
          <w:b/>
          <w:bCs/>
          <w:color w:val="FF0000"/>
          <w:szCs w:val="32"/>
        </w:rPr>
        <w:t>，</w:t>
      </w:r>
      <w:r>
        <w:rPr>
          <w:rFonts w:hint="eastAsia" w:ascii="仿宋" w:hAnsi="仿宋" w:eastAsia="仿宋" w:cs="仿宋"/>
          <w:b w:val="0"/>
          <w:bCs w:val="0"/>
          <w:color w:val="000000" w:themeColor="text1"/>
          <w:szCs w:val="32"/>
          <w14:textFill>
            <w14:solidFill>
              <w14:schemeClr w14:val="tx1"/>
            </w14:solidFill>
          </w14:textFill>
        </w:rPr>
        <w:t>具有独立法人资格</w:t>
      </w:r>
      <w:r>
        <w:rPr>
          <w:rFonts w:hint="eastAsia" w:ascii="仿宋_GB2312" w:hAnsi="仿宋_GB2312" w:cs="仿宋_GB2312"/>
          <w:b w:val="0"/>
          <w:bCs w:val="0"/>
          <w:color w:val="000000" w:themeColor="text1"/>
          <w:szCs w:val="32"/>
          <w14:textFill>
            <w14:solidFill>
              <w14:schemeClr w14:val="tx1"/>
            </w14:solidFill>
          </w14:textFill>
        </w:rPr>
        <w:t>，且拥有专利权、商标权、地理标志等知识产权的小微企业，</w:t>
      </w:r>
      <w:r>
        <w:rPr>
          <w:rFonts w:hint="eastAsia" w:ascii="仿宋_GB2312" w:hAnsi="仿宋_GB2312" w:cs="仿宋_GB2312"/>
          <w:color w:val="000000" w:themeColor="text1"/>
          <w:szCs w:val="32"/>
          <w14:textFill>
            <w14:solidFill>
              <w14:schemeClr w14:val="tx1"/>
            </w14:solidFill>
          </w14:textFill>
        </w:rPr>
        <w:t>特别是知识产权优势、示范企业，采用</w:t>
      </w:r>
      <w:r>
        <w:rPr>
          <w:rFonts w:hint="eastAsia" w:ascii="仿宋" w:hAnsi="仿宋" w:eastAsia="仿宋"/>
          <w:color w:val="000000" w:themeColor="text1"/>
          <w:szCs w:val="32"/>
          <w14:textFill>
            <w14:solidFill>
              <w14:schemeClr w14:val="tx1"/>
            </w14:solidFill>
          </w14:textFill>
        </w:rPr>
        <w:t>以合法拥有的</w:t>
      </w:r>
      <w:r>
        <w:rPr>
          <w:rFonts w:hint="eastAsia" w:ascii="仿宋" w:hAnsi="仿宋" w:eastAsia="仿宋" w:cs="仿宋"/>
          <w:color w:val="000000" w:themeColor="text1"/>
          <w:szCs w:val="32"/>
          <w14:textFill>
            <w14:solidFill>
              <w14:schemeClr w14:val="tx1"/>
            </w14:solidFill>
          </w14:textFill>
        </w:rPr>
        <w:t>专利权、商标权、地理标志</w:t>
      </w:r>
      <w:r>
        <w:rPr>
          <w:rFonts w:hint="eastAsia" w:ascii="仿宋" w:hAnsi="仿宋" w:eastAsia="仿宋"/>
          <w:color w:val="000000" w:themeColor="text1"/>
          <w:szCs w:val="32"/>
          <w14:textFill>
            <w14:solidFill>
              <w14:schemeClr w14:val="tx1"/>
            </w14:solidFill>
          </w14:textFill>
        </w:rPr>
        <w:t>为主实现质押担保，从而获得金融机构授信资金的融资模式。</w:t>
      </w:r>
    </w:p>
    <w:p>
      <w:pPr>
        <w:pageBreakBefore w:val="0"/>
        <w:kinsoku/>
        <w:wordWrap/>
        <w:overflowPunct/>
        <w:topLinePunct w:val="0"/>
        <w:autoSpaceDE/>
        <w:autoSpaceDN/>
        <w:bidi w:val="0"/>
        <w:adjustRightInd w:val="0"/>
        <w:snapToGrid w:val="0"/>
        <w:spacing w:line="600" w:lineRule="exact"/>
        <w:ind w:firstLine="643"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 xml:space="preserve">第四条  </w:t>
      </w:r>
      <w:r>
        <w:rPr>
          <w:rFonts w:hint="eastAsia" w:ascii="仿宋_GB2312" w:hAnsi="仿宋_GB2312" w:cs="仿宋_GB2312"/>
          <w:color w:val="000000" w:themeColor="text1"/>
          <w:szCs w:val="32"/>
          <w14:textFill>
            <w14:solidFill>
              <w14:schemeClr w14:val="tx1"/>
            </w14:solidFill>
          </w14:textFill>
        </w:rPr>
        <w:t>根据基金运行情况，若存续期内运作良好，可以报请市政府以及省级主管部门申请追加风险补偿基金总额、延长运营期限及增加合作机构。</w:t>
      </w:r>
    </w:p>
    <w:p>
      <w:pPr>
        <w:pageBreakBefore w:val="0"/>
        <w:kinsoku/>
        <w:wordWrap/>
        <w:overflowPunct/>
        <w:topLinePunct w:val="0"/>
        <w:autoSpaceDE/>
        <w:autoSpaceDN/>
        <w:bidi w:val="0"/>
        <w:adjustRightInd w:val="0"/>
        <w:snapToGrid w:val="0"/>
        <w:spacing w:line="600" w:lineRule="exact"/>
        <w:ind w:firstLine="64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风险补偿基金产生利息滚存计入信保基金专户，实行专款专用。</w:t>
      </w:r>
    </w:p>
    <w:p>
      <w:pPr>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color w:val="000000" w:themeColor="text1"/>
          <w:szCs w:val="32"/>
          <w:lang w:val="en-US" w:eastAsia="zh-CN"/>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第五条</w:t>
      </w:r>
      <w:r>
        <w:rPr>
          <w:rFonts w:hint="eastAsia" w:ascii="仿宋_GB2312" w:hAnsi="仿宋_GB2312" w:cs="仿宋_GB2312"/>
          <w:color w:val="000000" w:themeColor="text1"/>
          <w:szCs w:val="32"/>
          <w14:textFill>
            <w14:solidFill>
              <w14:schemeClr w14:val="tx1"/>
            </w14:solidFill>
          </w14:textFill>
        </w:rPr>
        <w:t xml:space="preserve">  </w:t>
      </w:r>
      <w:r>
        <w:rPr>
          <w:rFonts w:hint="eastAsia" w:ascii="仿宋" w:hAnsi="仿宋" w:eastAsia="仿宋" w:cs="仿宋"/>
          <w:color w:val="000000" w:themeColor="text1"/>
          <w:szCs w:val="32"/>
          <w14:textFill>
            <w14:solidFill>
              <w14:schemeClr w14:val="tx1"/>
            </w14:solidFill>
          </w14:textFill>
        </w:rPr>
        <w:t>管理委员会依规选取具有相关资质和管理经验的机构作为风险补偿资金的管理人</w:t>
      </w:r>
      <w:r>
        <w:rPr>
          <w:rFonts w:hint="eastAsia" w:ascii="仿宋" w:hAnsi="仿宋" w:eastAsia="仿宋" w:cs="仿宋"/>
          <w:color w:val="000000" w:themeColor="text1"/>
          <w:szCs w:val="32"/>
          <w:lang w:eastAsia="zh-CN"/>
          <w14:textFill>
            <w14:solidFill>
              <w14:schemeClr w14:val="tx1"/>
            </w14:solidFill>
          </w14:textFill>
        </w:rPr>
        <w:t>（</w:t>
      </w:r>
      <w:r>
        <w:rPr>
          <w:rFonts w:hint="eastAsia" w:ascii="仿宋" w:hAnsi="仿宋" w:eastAsia="仿宋" w:cs="仿宋"/>
          <w:color w:val="000000" w:themeColor="text1"/>
          <w:szCs w:val="32"/>
          <w14:textFill>
            <w14:solidFill>
              <w14:schemeClr w14:val="tx1"/>
            </w14:solidFill>
          </w14:textFill>
        </w:rPr>
        <w:t>以下简称资金管理人</w:t>
      </w:r>
      <w:r>
        <w:rPr>
          <w:rFonts w:hint="eastAsia" w:ascii="仿宋" w:hAnsi="仿宋" w:eastAsia="仿宋" w:cs="仿宋"/>
          <w:color w:val="000000" w:themeColor="text1"/>
          <w:szCs w:val="32"/>
          <w:lang w:eastAsia="zh-CN"/>
          <w14:textFill>
            <w14:solidFill>
              <w14:schemeClr w14:val="tx1"/>
            </w14:solidFill>
          </w14:textFill>
        </w:rPr>
        <w:t>）</w:t>
      </w:r>
      <w:r>
        <w:rPr>
          <w:rFonts w:hint="eastAsia" w:ascii="仿宋" w:hAnsi="仿宋" w:eastAsia="仿宋" w:cs="仿宋"/>
          <w:color w:val="000000" w:themeColor="text1"/>
          <w:szCs w:val="32"/>
          <w14:textFill>
            <w14:solidFill>
              <w14:schemeClr w14:val="tx1"/>
            </w14:solidFill>
          </w14:textFill>
        </w:rPr>
        <w:t>，</w:t>
      </w:r>
      <w:r>
        <w:rPr>
          <w:rFonts w:hint="eastAsia" w:ascii="仿宋" w:hAnsi="仿宋" w:eastAsia="仿宋" w:cs="仿宋"/>
          <w:b/>
          <w:bCs/>
          <w:color w:val="FF0000"/>
          <w:szCs w:val="32"/>
        </w:rPr>
        <w:t>本细则所称合作金融机构是指经批准与资金的管理人签订合作协议，</w:t>
      </w:r>
      <w:r>
        <w:rPr>
          <w:rFonts w:hint="eastAsia" w:ascii="仿宋" w:hAnsi="仿宋" w:eastAsia="仿宋" w:cs="仿宋"/>
          <w:b/>
          <w:bCs/>
          <w:color w:val="FF0000"/>
          <w:szCs w:val="32"/>
          <w:lang w:val="en-US" w:eastAsia="zh-CN"/>
        </w:rPr>
        <w:t>为在我市依法正常开展经营活动2周年以上的</w:t>
      </w:r>
      <w:r>
        <w:rPr>
          <w:rFonts w:hint="eastAsia" w:ascii="仿宋" w:hAnsi="仿宋" w:eastAsia="仿宋" w:cs="仿宋"/>
          <w:b/>
          <w:bCs/>
          <w:color w:val="FF0000"/>
          <w:szCs w:val="32"/>
        </w:rPr>
        <w:t>拥有专利权、商标权、地理标志等知识产权的小微企业提供贷款的金融机构。</w:t>
      </w:r>
    </w:p>
    <w:p>
      <w:pPr>
        <w:pageBreakBefore w:val="0"/>
        <w:kinsoku/>
        <w:wordWrap/>
        <w:overflowPunct/>
        <w:topLinePunct w:val="0"/>
        <w:autoSpaceDE/>
        <w:autoSpaceDN/>
        <w:bidi w:val="0"/>
        <w:adjustRightInd w:val="0"/>
        <w:snapToGrid w:val="0"/>
        <w:spacing w:line="600" w:lineRule="exact"/>
        <w:ind w:firstLine="64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第六条</w:t>
      </w:r>
      <w:r>
        <w:rPr>
          <w:rFonts w:hint="eastAsia" w:ascii="仿宋_GB2312" w:hAnsi="仿宋_GB2312" w:cs="仿宋_GB2312"/>
          <w:color w:val="000000" w:themeColor="text1"/>
          <w:szCs w:val="32"/>
          <w14:textFill>
            <w14:solidFill>
              <w14:schemeClr w14:val="tx1"/>
            </w14:solidFill>
          </w14:textFill>
        </w:rPr>
        <w:t xml:space="preserve">  风险补偿基金的使用和管理的原则：</w:t>
      </w:r>
    </w:p>
    <w:p>
      <w:pPr>
        <w:pageBreakBefore w:val="0"/>
        <w:kinsoku/>
        <w:wordWrap/>
        <w:overflowPunct/>
        <w:topLinePunct w:val="0"/>
        <w:autoSpaceDE/>
        <w:autoSpaceDN/>
        <w:bidi w:val="0"/>
        <w:adjustRightInd w:val="0"/>
        <w:snapToGrid w:val="0"/>
        <w:spacing w:line="600" w:lineRule="exact"/>
        <w:ind w:firstLine="64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（一）遵守有关法律、法规和规章制度；</w:t>
      </w:r>
    </w:p>
    <w:p>
      <w:pPr>
        <w:pageBreakBefore w:val="0"/>
        <w:kinsoku/>
        <w:wordWrap/>
        <w:overflowPunct/>
        <w:topLinePunct w:val="0"/>
        <w:autoSpaceDE/>
        <w:autoSpaceDN/>
        <w:bidi w:val="0"/>
        <w:adjustRightInd w:val="0"/>
        <w:snapToGrid w:val="0"/>
        <w:spacing w:line="600" w:lineRule="exact"/>
        <w:ind w:firstLine="64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（二）保证风险补偿基金的公开、公平和公正；</w:t>
      </w:r>
    </w:p>
    <w:p>
      <w:pPr>
        <w:pageBreakBefore w:val="0"/>
        <w:kinsoku/>
        <w:wordWrap/>
        <w:overflowPunct/>
        <w:topLinePunct w:val="0"/>
        <w:autoSpaceDE/>
        <w:autoSpaceDN/>
        <w:bidi w:val="0"/>
        <w:adjustRightInd w:val="0"/>
        <w:snapToGrid w:val="0"/>
        <w:spacing w:line="600" w:lineRule="exact"/>
        <w:ind w:firstLine="64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（三）严格监督，专款专用；</w:t>
      </w:r>
    </w:p>
    <w:p>
      <w:pPr>
        <w:pageBreakBefore w:val="0"/>
        <w:kinsoku/>
        <w:wordWrap/>
        <w:overflowPunct/>
        <w:topLinePunct w:val="0"/>
        <w:autoSpaceDE/>
        <w:autoSpaceDN/>
        <w:bidi w:val="0"/>
        <w:adjustRightInd w:val="0"/>
        <w:snapToGrid w:val="0"/>
        <w:spacing w:line="600" w:lineRule="exact"/>
        <w:ind w:firstLine="640"/>
        <w:textAlignment w:val="auto"/>
        <w:rPr>
          <w:rFonts w:ascii="Times New Roman" w:hAnsi="Times New Roman"/>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（四）</w:t>
      </w:r>
      <w:r>
        <w:rPr>
          <w:rFonts w:hint="eastAsia" w:ascii="仿宋" w:hAnsi="仿宋" w:eastAsia="仿宋" w:cs="仿宋"/>
          <w:b/>
          <w:bCs/>
          <w:color w:val="FF0000"/>
          <w:szCs w:val="32"/>
          <w:lang w:val="en-US" w:eastAsia="zh-CN"/>
        </w:rPr>
        <w:t>实行政府职能部门推荐，企业自愿申请</w:t>
      </w:r>
      <w:r>
        <w:rPr>
          <w:rFonts w:hint="eastAsia" w:ascii="仿宋" w:hAnsi="仿宋" w:eastAsia="仿宋" w:cs="仿宋"/>
          <w:b/>
          <w:bCs/>
          <w:color w:val="FF0000"/>
          <w:szCs w:val="32"/>
        </w:rPr>
        <w:t>；</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（五）统筹安排，讲求效益，实行绩效评价。</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color w:val="000000" w:themeColor="text1"/>
          <w:szCs w:val="32"/>
          <w14:textFill>
            <w14:solidFill>
              <w14:schemeClr w14:val="tx1"/>
            </w14:solidFill>
          </w14:textFill>
        </w:rPr>
      </w:pPr>
    </w:p>
    <w:p>
      <w:pPr>
        <w:pageBreakBefore w:val="0"/>
        <w:kinsoku/>
        <w:wordWrap/>
        <w:overflowPunct/>
        <w:topLinePunct w:val="0"/>
        <w:autoSpaceDE/>
        <w:autoSpaceDN/>
        <w:bidi w:val="0"/>
        <w:spacing w:line="600" w:lineRule="exact"/>
        <w:ind w:firstLine="643" w:firstLineChars="200"/>
        <w:jc w:val="center"/>
        <w:textAlignment w:val="auto"/>
        <w:rPr>
          <w:rFonts w:ascii="黑体" w:hAnsi="黑体" w:eastAsia="黑体" w:cs="黑体"/>
          <w:b/>
          <w:bCs/>
          <w:color w:val="000000" w:themeColor="text1"/>
          <w:szCs w:val="32"/>
          <w14:textFill>
            <w14:solidFill>
              <w14:schemeClr w14:val="tx1"/>
            </w14:solidFill>
          </w14:textFill>
        </w:rPr>
      </w:pPr>
      <w:r>
        <w:rPr>
          <w:rFonts w:hint="eastAsia" w:ascii="黑体" w:hAnsi="黑体" w:eastAsia="黑体" w:cs="黑体"/>
          <w:b/>
          <w:bCs/>
          <w:color w:val="000000" w:themeColor="text1"/>
          <w:szCs w:val="32"/>
          <w14:textFill>
            <w14:solidFill>
              <w14:schemeClr w14:val="tx1"/>
            </w14:solidFill>
          </w14:textFill>
        </w:rPr>
        <w:t>第二章  管理部门与职责</w:t>
      </w:r>
    </w:p>
    <w:p>
      <w:pPr>
        <w:pageBreakBefore w:val="0"/>
        <w:kinsoku/>
        <w:wordWrap/>
        <w:overflowPunct/>
        <w:topLinePunct w:val="0"/>
        <w:autoSpaceDE/>
        <w:autoSpaceDN/>
        <w:bidi w:val="0"/>
        <w:spacing w:line="600" w:lineRule="exact"/>
        <w:ind w:firstLine="643" w:firstLineChars="200"/>
        <w:textAlignment w:val="auto"/>
        <w:rPr>
          <w:rFonts w:ascii="Times New Roman" w:hAnsi="Times New Roman"/>
          <w:color w:val="000000" w:themeColor="text1"/>
          <w:szCs w:val="32"/>
          <w14:textFill>
            <w14:solidFill>
              <w14:schemeClr w14:val="tx1"/>
            </w14:solidFill>
          </w14:textFill>
        </w:rPr>
      </w:pPr>
      <w:r>
        <w:rPr>
          <w:rFonts w:hint="eastAsia" w:ascii="Times New Roman" w:hAnsi="Times New Roman"/>
          <w:b/>
          <w:bCs/>
          <w:color w:val="000000" w:themeColor="text1"/>
          <w:szCs w:val="32"/>
          <w14:textFill>
            <w14:solidFill>
              <w14:schemeClr w14:val="tx1"/>
            </w14:solidFill>
          </w14:textFill>
        </w:rPr>
        <w:t>第七条</w:t>
      </w:r>
      <w:r>
        <w:rPr>
          <w:rFonts w:hint="eastAsia" w:ascii="Times New Roman" w:hAnsi="Times New Roman"/>
          <w:color w:val="000000" w:themeColor="text1"/>
          <w:szCs w:val="32"/>
          <w14:textFill>
            <w14:solidFill>
              <w14:schemeClr w14:val="tx1"/>
            </w14:solidFill>
          </w14:textFill>
        </w:rPr>
        <w:t xml:space="preserve">  </w:t>
      </w:r>
      <w:r>
        <w:rPr>
          <w:rFonts w:hint="eastAsia" w:ascii="Times New Roman" w:hAnsi="Times New Roman"/>
          <w:b w:val="0"/>
          <w:bCs w:val="0"/>
          <w:color w:val="000000" w:themeColor="text1"/>
          <w:szCs w:val="32"/>
          <w14:textFill>
            <w14:solidFill>
              <w14:schemeClr w14:val="tx1"/>
            </w14:solidFill>
          </w14:textFill>
        </w:rPr>
        <w:t>市市场监督管理局</w:t>
      </w:r>
      <w:r>
        <w:rPr>
          <w:rFonts w:hint="eastAsia" w:ascii="Times New Roman" w:hAnsi="Times New Roman"/>
          <w:b w:val="0"/>
          <w:bCs w:val="0"/>
          <w:color w:val="000000" w:themeColor="text1"/>
          <w:szCs w:val="32"/>
          <w:lang w:eastAsia="zh-CN"/>
          <w14:textFill>
            <w14:solidFill>
              <w14:schemeClr w14:val="tx1"/>
            </w14:solidFill>
          </w14:textFill>
        </w:rPr>
        <w:t>（</w:t>
      </w:r>
      <w:r>
        <w:rPr>
          <w:rFonts w:hint="eastAsia" w:ascii="Times New Roman" w:hAnsi="Times New Roman"/>
          <w:b w:val="0"/>
          <w:bCs w:val="0"/>
          <w:color w:val="000000" w:themeColor="text1"/>
          <w:szCs w:val="32"/>
          <w14:textFill>
            <w14:solidFill>
              <w14:schemeClr w14:val="tx1"/>
            </w14:solidFill>
          </w14:textFill>
        </w:rPr>
        <w:t>知识产权局</w:t>
      </w:r>
      <w:r>
        <w:rPr>
          <w:rFonts w:hint="eastAsia" w:ascii="Times New Roman" w:hAnsi="Times New Roman"/>
          <w:b w:val="0"/>
          <w:bCs w:val="0"/>
          <w:color w:val="000000" w:themeColor="text1"/>
          <w:szCs w:val="32"/>
          <w:lang w:eastAsia="zh-CN"/>
          <w14:textFill>
            <w14:solidFill>
              <w14:schemeClr w14:val="tx1"/>
            </w14:solidFill>
          </w14:textFill>
        </w:rPr>
        <w:t>）</w:t>
      </w:r>
      <w:r>
        <w:rPr>
          <w:rFonts w:hint="eastAsia" w:ascii="Times New Roman" w:hAnsi="Times New Roman"/>
          <w:b w:val="0"/>
          <w:bCs w:val="0"/>
          <w:color w:val="000000" w:themeColor="text1"/>
          <w:szCs w:val="32"/>
          <w14:textFill>
            <w14:solidFill>
              <w14:schemeClr w14:val="tx1"/>
            </w14:solidFill>
          </w14:textFill>
        </w:rPr>
        <w:t>及各县（</w:t>
      </w:r>
      <w:r>
        <w:rPr>
          <w:rFonts w:hint="eastAsia" w:ascii="Times New Roman" w:hAnsi="Times New Roman"/>
          <w:b w:val="0"/>
          <w:bCs w:val="0"/>
          <w:color w:val="000000" w:themeColor="text1"/>
          <w:szCs w:val="32"/>
          <w:lang w:val="en-US" w:eastAsia="zh-CN"/>
          <w14:textFill>
            <w14:solidFill>
              <w14:schemeClr w14:val="tx1"/>
            </w14:solidFill>
          </w14:textFill>
        </w:rPr>
        <w:t>市、</w:t>
      </w:r>
      <w:r>
        <w:rPr>
          <w:rFonts w:hint="eastAsia" w:ascii="Times New Roman" w:hAnsi="Times New Roman"/>
          <w:b w:val="0"/>
          <w:bCs w:val="0"/>
          <w:color w:val="000000" w:themeColor="text1"/>
          <w:szCs w:val="32"/>
          <w14:textFill>
            <w14:solidFill>
              <w14:schemeClr w14:val="tx1"/>
            </w14:solidFill>
          </w14:textFill>
        </w:rPr>
        <w:t>区）市场监督管理局负责知识产权质押融资风险补偿基金项目企业</w:t>
      </w:r>
      <w:r>
        <w:rPr>
          <w:rFonts w:hint="eastAsia" w:ascii="仿宋" w:hAnsi="仿宋" w:eastAsia="仿宋" w:cs="仿宋"/>
          <w:b/>
          <w:bCs/>
          <w:color w:val="FF0000"/>
          <w:szCs w:val="32"/>
          <w:lang w:val="en-US" w:eastAsia="zh-CN"/>
        </w:rPr>
        <w:t>推荐</w:t>
      </w:r>
      <w:r>
        <w:rPr>
          <w:rFonts w:hint="eastAsia" w:ascii="仿宋" w:hAnsi="仿宋" w:eastAsia="仿宋" w:cs="仿宋"/>
          <w:b/>
          <w:bCs/>
          <w:color w:val="FF0000"/>
          <w:szCs w:val="32"/>
        </w:rPr>
        <w:t>；</w:t>
      </w:r>
      <w:r>
        <w:rPr>
          <w:rFonts w:hint="eastAsia" w:ascii="Times New Roman" w:hAnsi="Times New Roman"/>
          <w:color w:val="000000" w:themeColor="text1"/>
          <w:szCs w:val="32"/>
          <w14:textFill>
            <w14:solidFill>
              <w14:schemeClr w14:val="tx1"/>
            </w14:solidFill>
          </w14:textFill>
        </w:rPr>
        <w:t>通过信保基金管理委员会办公室督促</w:t>
      </w:r>
      <w:r>
        <w:rPr>
          <w:rFonts w:hint="eastAsia" w:ascii="仿宋" w:hAnsi="仿宋" w:eastAsia="仿宋" w:cs="仿宋"/>
          <w:color w:val="000000" w:themeColor="text1"/>
          <w:szCs w:val="32"/>
          <w14:textFill>
            <w14:solidFill>
              <w14:schemeClr w14:val="tx1"/>
            </w14:solidFill>
          </w14:textFill>
        </w:rPr>
        <w:t>资金管理人</w:t>
      </w:r>
      <w:r>
        <w:rPr>
          <w:rFonts w:hint="eastAsia" w:ascii="Times New Roman" w:hAnsi="Times New Roman"/>
          <w:color w:val="000000" w:themeColor="text1"/>
          <w:szCs w:val="32"/>
          <w14:textFill>
            <w14:solidFill>
              <w14:schemeClr w14:val="tx1"/>
            </w14:solidFill>
          </w14:textFill>
        </w:rPr>
        <w:t>设计</w:t>
      </w:r>
      <w:r>
        <w:rPr>
          <w:rFonts w:ascii="Times New Roman" w:hAnsi="Times New Roman"/>
          <w:color w:val="000000" w:themeColor="text1"/>
          <w:szCs w:val="32"/>
          <w14:textFill>
            <w14:solidFill>
              <w14:schemeClr w14:val="tx1"/>
            </w14:solidFill>
          </w14:textFill>
        </w:rPr>
        <w:t>符合市场需求的知识产权质押融资产品</w:t>
      </w:r>
      <w:r>
        <w:rPr>
          <w:rFonts w:hint="eastAsia" w:ascii="Times New Roman" w:hAnsi="Times New Roman"/>
          <w:color w:val="000000" w:themeColor="text1"/>
          <w:szCs w:val="32"/>
          <w:lang w:eastAsia="zh-CN"/>
          <w14:textFill>
            <w14:solidFill>
              <w14:schemeClr w14:val="tx1"/>
            </w14:solidFill>
          </w14:textFill>
        </w:rPr>
        <w:t>，</w:t>
      </w:r>
      <w:r>
        <w:rPr>
          <w:rFonts w:ascii="Times New Roman" w:hAnsi="Times New Roman"/>
          <w:color w:val="000000" w:themeColor="text1"/>
          <w:szCs w:val="32"/>
          <w14:textFill>
            <w14:solidFill>
              <w14:schemeClr w14:val="tx1"/>
            </w14:solidFill>
          </w14:textFill>
        </w:rPr>
        <w:t>将知识产权质押融资风险补偿基金保障范围覆盖商标、专利</w:t>
      </w:r>
      <w:r>
        <w:rPr>
          <w:rFonts w:hint="eastAsia" w:ascii="Times New Roman" w:hAnsi="Times New Roman"/>
          <w:color w:val="000000" w:themeColor="text1"/>
          <w:szCs w:val="32"/>
          <w14:textFill>
            <w14:solidFill>
              <w14:schemeClr w14:val="tx1"/>
            </w14:solidFill>
          </w14:textFill>
        </w:rPr>
        <w:t>、地理标志</w:t>
      </w:r>
      <w:r>
        <w:rPr>
          <w:rFonts w:ascii="Times New Roman" w:hAnsi="Times New Roman"/>
          <w:color w:val="000000" w:themeColor="text1"/>
          <w:szCs w:val="32"/>
          <w14:textFill>
            <w14:solidFill>
              <w14:schemeClr w14:val="tx1"/>
            </w14:solidFill>
          </w14:textFill>
        </w:rPr>
        <w:t>等各类知识产权质押业务</w:t>
      </w:r>
      <w:r>
        <w:rPr>
          <w:rFonts w:hint="eastAsia" w:ascii="Times New Roman" w:hAnsi="Times New Roman"/>
          <w:color w:val="000000" w:themeColor="text1"/>
          <w:szCs w:val="32"/>
          <w:lang w:eastAsia="zh-CN"/>
          <w14:textFill>
            <w14:solidFill>
              <w14:schemeClr w14:val="tx1"/>
            </w14:solidFill>
          </w14:textFill>
        </w:rPr>
        <w:t>；</w:t>
      </w:r>
      <w:r>
        <w:rPr>
          <w:rFonts w:ascii="Times New Roman" w:hAnsi="Times New Roman"/>
          <w:color w:val="000000" w:themeColor="text1"/>
          <w:szCs w:val="32"/>
          <w14:textFill>
            <w14:solidFill>
              <w14:schemeClr w14:val="tx1"/>
            </w14:solidFill>
          </w14:textFill>
        </w:rPr>
        <w:t>广泛开展知识产权质押融资政策的宣传培训和有针对性的银企对接活动</w:t>
      </w:r>
      <w:r>
        <w:rPr>
          <w:rFonts w:hint="eastAsia" w:ascii="Times New Roman" w:hAnsi="Times New Roman"/>
          <w:color w:val="000000" w:themeColor="text1"/>
          <w:szCs w:val="32"/>
          <w14:textFill>
            <w14:solidFill>
              <w14:schemeClr w14:val="tx1"/>
            </w14:solidFill>
          </w14:textFill>
        </w:rPr>
        <w:t>，</w:t>
      </w:r>
      <w:r>
        <w:rPr>
          <w:rFonts w:ascii="Times New Roman" w:hAnsi="Times New Roman"/>
          <w:color w:val="000000" w:themeColor="text1"/>
          <w:szCs w:val="32"/>
          <w14:textFill>
            <w14:solidFill>
              <w14:schemeClr w14:val="tx1"/>
            </w14:solidFill>
          </w14:textFill>
        </w:rPr>
        <w:t>提升金融机构对知识产权质押融资业务的参与度</w:t>
      </w:r>
      <w:r>
        <w:rPr>
          <w:rFonts w:hint="eastAsia" w:ascii="Times New Roman" w:hAnsi="Times New Roman"/>
          <w:color w:val="000000" w:themeColor="text1"/>
          <w:szCs w:val="32"/>
          <w:lang w:eastAsia="zh-CN"/>
          <w14:textFill>
            <w14:solidFill>
              <w14:schemeClr w14:val="tx1"/>
            </w14:solidFill>
          </w14:textFill>
        </w:rPr>
        <w:t>；</w:t>
      </w:r>
      <w:r>
        <w:rPr>
          <w:rFonts w:ascii="Times New Roman" w:hAnsi="Times New Roman"/>
          <w:color w:val="000000" w:themeColor="text1"/>
          <w:szCs w:val="32"/>
          <w14:textFill>
            <w14:solidFill>
              <w14:schemeClr w14:val="tx1"/>
            </w14:solidFill>
          </w14:textFill>
        </w:rPr>
        <w:t>确保</w:t>
      </w:r>
      <w:r>
        <w:rPr>
          <w:rFonts w:hint="eastAsia" w:ascii="Times New Roman" w:hAnsi="Times New Roman"/>
          <w:color w:val="000000" w:themeColor="text1"/>
          <w:szCs w:val="32"/>
          <w14:textFill>
            <w14:solidFill>
              <w14:schemeClr w14:val="tx1"/>
            </w14:solidFill>
          </w14:textFill>
        </w:rPr>
        <w:t>我</w:t>
      </w:r>
      <w:r>
        <w:rPr>
          <w:rFonts w:ascii="Times New Roman" w:hAnsi="Times New Roman"/>
          <w:color w:val="000000" w:themeColor="text1"/>
          <w:szCs w:val="32"/>
          <w14:textFill>
            <w14:solidFill>
              <w14:schemeClr w14:val="tx1"/>
            </w14:solidFill>
          </w14:textFill>
        </w:rPr>
        <w:t>市实现知识产权质押融资登记金额年均增长20%的目标</w:t>
      </w:r>
      <w:r>
        <w:rPr>
          <w:rFonts w:hint="eastAsia" w:ascii="Times New Roman" w:hAnsi="Times New Roman"/>
          <w:color w:val="000000" w:themeColor="text1"/>
          <w:szCs w:val="32"/>
          <w14:textFill>
            <w14:solidFill>
              <w14:schemeClr w14:val="tx1"/>
            </w14:solidFill>
          </w14:textFill>
        </w:rPr>
        <w:t>。</w:t>
      </w:r>
    </w:p>
    <w:p>
      <w:pPr>
        <w:pageBreakBefore w:val="0"/>
        <w:kinsoku/>
        <w:wordWrap/>
        <w:overflowPunct/>
        <w:topLinePunct w:val="0"/>
        <w:autoSpaceDE/>
        <w:autoSpaceDN/>
        <w:bidi w:val="0"/>
        <w:spacing w:line="600" w:lineRule="exact"/>
        <w:ind w:firstLine="643" w:firstLineChars="200"/>
        <w:textAlignment w:val="auto"/>
        <w:rPr>
          <w:rFonts w:ascii="Times New Roman" w:hAnsi="Times New Roman"/>
          <w:color w:val="000000" w:themeColor="text1"/>
          <w:szCs w:val="32"/>
          <w14:textFill>
            <w14:solidFill>
              <w14:schemeClr w14:val="tx1"/>
            </w14:solidFill>
          </w14:textFill>
        </w:rPr>
      </w:pPr>
      <w:r>
        <w:rPr>
          <w:rFonts w:hint="eastAsia" w:ascii="Times New Roman" w:hAnsi="Times New Roman"/>
          <w:b/>
          <w:bCs/>
          <w:color w:val="000000" w:themeColor="text1"/>
          <w:szCs w:val="32"/>
          <w14:textFill>
            <w14:solidFill>
              <w14:schemeClr w14:val="tx1"/>
            </w14:solidFill>
          </w14:textFill>
        </w:rPr>
        <w:t>第八条</w:t>
      </w:r>
      <w:r>
        <w:rPr>
          <w:rFonts w:hint="eastAsia" w:ascii="Times New Roman" w:hAnsi="Times New Roman"/>
          <w:color w:val="000000" w:themeColor="text1"/>
          <w:szCs w:val="32"/>
          <w14:textFill>
            <w14:solidFill>
              <w14:schemeClr w14:val="tx1"/>
            </w14:solidFill>
          </w14:textFill>
        </w:rPr>
        <w:t xml:space="preserve">  </w:t>
      </w:r>
      <w:r>
        <w:rPr>
          <w:rFonts w:ascii="Times New Roman" w:hAnsi="Times New Roman"/>
          <w:color w:val="000000" w:themeColor="text1"/>
          <w:szCs w:val="32"/>
          <w14:textFill>
            <w14:solidFill>
              <w14:schemeClr w14:val="tx1"/>
            </w14:solidFill>
          </w14:textFill>
        </w:rPr>
        <w:t>市市场监督管理局</w:t>
      </w:r>
      <w:r>
        <w:rPr>
          <w:rFonts w:hint="eastAsia" w:ascii="Times New Roman" w:hAnsi="Times New Roman"/>
          <w:color w:val="000000" w:themeColor="text1"/>
          <w:szCs w:val="32"/>
          <w14:textFill>
            <w14:solidFill>
              <w14:schemeClr w14:val="tx1"/>
            </w14:solidFill>
          </w14:textFill>
        </w:rPr>
        <w:t>（知识产权局）及各县（</w:t>
      </w:r>
      <w:r>
        <w:rPr>
          <w:rFonts w:hint="eastAsia" w:ascii="Times New Roman" w:hAnsi="Times New Roman"/>
          <w:color w:val="000000" w:themeColor="text1"/>
          <w:szCs w:val="32"/>
          <w:lang w:val="en-US" w:eastAsia="zh-CN"/>
          <w14:textFill>
            <w14:solidFill>
              <w14:schemeClr w14:val="tx1"/>
            </w14:solidFill>
          </w14:textFill>
        </w:rPr>
        <w:t>市、</w:t>
      </w:r>
      <w:r>
        <w:rPr>
          <w:rFonts w:hint="eastAsia" w:ascii="Times New Roman" w:hAnsi="Times New Roman"/>
          <w:color w:val="000000" w:themeColor="text1"/>
          <w:szCs w:val="32"/>
          <w14:textFill>
            <w14:solidFill>
              <w14:schemeClr w14:val="tx1"/>
            </w14:solidFill>
          </w14:textFill>
        </w:rPr>
        <w:t>区）市场监督管理局</w:t>
      </w:r>
      <w:r>
        <w:rPr>
          <w:rFonts w:ascii="Times New Roman" w:hAnsi="Times New Roman"/>
          <w:color w:val="000000" w:themeColor="text1"/>
          <w:szCs w:val="32"/>
          <w14:textFill>
            <w14:solidFill>
              <w14:schemeClr w14:val="tx1"/>
            </w14:solidFill>
          </w14:textFill>
        </w:rPr>
        <w:t>履行好承担省级下达专项资金的预算执行</w:t>
      </w:r>
      <w:r>
        <w:rPr>
          <w:rFonts w:hint="eastAsia" w:ascii="Times New Roman" w:hAnsi="Times New Roman"/>
          <w:color w:val="000000" w:themeColor="text1"/>
          <w:szCs w:val="32"/>
          <w:lang w:eastAsia="zh-CN"/>
          <w14:textFill>
            <w14:solidFill>
              <w14:schemeClr w14:val="tx1"/>
            </w14:solidFill>
          </w14:textFill>
        </w:rPr>
        <w:t>、</w:t>
      </w:r>
      <w:r>
        <w:rPr>
          <w:rFonts w:ascii="Times New Roman" w:hAnsi="Times New Roman"/>
          <w:color w:val="000000" w:themeColor="text1"/>
          <w:szCs w:val="32"/>
          <w14:textFill>
            <w14:solidFill>
              <w14:schemeClr w14:val="tx1"/>
            </w14:solidFill>
          </w14:textFill>
        </w:rPr>
        <w:t>绩效目标监控、任务清单实施的主体责任，做好专项资金的使用和监管工作，确保完成知识产权质押融资风险补偿基金任务清单和绩效目标。</w:t>
      </w:r>
    </w:p>
    <w:p>
      <w:pPr>
        <w:pageBreakBefore w:val="0"/>
        <w:kinsoku/>
        <w:wordWrap/>
        <w:overflowPunct/>
        <w:topLinePunct w:val="0"/>
        <w:autoSpaceDE/>
        <w:autoSpaceDN/>
        <w:bidi w:val="0"/>
        <w:spacing w:line="600" w:lineRule="exact"/>
        <w:textAlignment w:val="auto"/>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 xml:space="preserve">   </w:t>
      </w:r>
    </w:p>
    <w:p>
      <w:pPr>
        <w:pageBreakBefore w:val="0"/>
        <w:kinsoku/>
        <w:wordWrap/>
        <w:overflowPunct/>
        <w:topLinePunct w:val="0"/>
        <w:autoSpaceDE/>
        <w:autoSpaceDN/>
        <w:bidi w:val="0"/>
        <w:spacing w:line="600" w:lineRule="exact"/>
        <w:ind w:firstLine="643" w:firstLineChars="200"/>
        <w:jc w:val="center"/>
        <w:textAlignment w:val="auto"/>
        <w:rPr>
          <w:rFonts w:ascii="黑体" w:hAnsi="黑体" w:eastAsia="黑体" w:cs="黑体"/>
          <w:b/>
          <w:bCs/>
          <w:color w:val="000000" w:themeColor="text1"/>
          <w:szCs w:val="32"/>
          <w14:textFill>
            <w14:solidFill>
              <w14:schemeClr w14:val="tx1"/>
            </w14:solidFill>
          </w14:textFill>
        </w:rPr>
      </w:pPr>
      <w:r>
        <w:rPr>
          <w:rFonts w:hint="eastAsia" w:ascii="黑体" w:hAnsi="黑体" w:eastAsia="黑体" w:cs="黑体"/>
          <w:b/>
          <w:bCs/>
          <w:color w:val="000000" w:themeColor="text1"/>
          <w:szCs w:val="32"/>
          <w14:textFill>
            <w14:solidFill>
              <w14:schemeClr w14:val="tx1"/>
            </w14:solidFill>
          </w14:textFill>
        </w:rPr>
        <w:t>第三章  申报材料与方式</w:t>
      </w:r>
    </w:p>
    <w:p>
      <w:pPr>
        <w:pageBreakBefore w:val="0"/>
        <w:kinsoku/>
        <w:wordWrap/>
        <w:overflowPunct/>
        <w:topLinePunct w:val="0"/>
        <w:autoSpaceDE/>
        <w:autoSpaceDN/>
        <w:bidi w:val="0"/>
        <w:spacing w:line="600" w:lineRule="exact"/>
        <w:ind w:firstLine="643" w:firstLineChars="20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b/>
          <w:bCs/>
          <w:color w:val="000000" w:themeColor="text1"/>
          <w:szCs w:val="32"/>
          <w14:textFill>
            <w14:solidFill>
              <w14:schemeClr w14:val="tx1"/>
            </w14:solidFill>
          </w14:textFill>
        </w:rPr>
        <w:t>第九条</w:t>
      </w:r>
      <w:r>
        <w:rPr>
          <w:rFonts w:hint="eastAsia" w:ascii="仿宋" w:hAnsi="仿宋" w:eastAsia="仿宋" w:cs="仿宋"/>
          <w:color w:val="000000" w:themeColor="text1"/>
          <w:szCs w:val="32"/>
          <w14:textFill>
            <w14:solidFill>
              <w14:schemeClr w14:val="tx1"/>
            </w14:solidFill>
          </w14:textFill>
        </w:rPr>
        <w:t xml:space="preserve">  为进一步降低企业融资难度，除知识产权外，合作金融机构可接受抵押、担保、再担保、履约保险等方式，包括但不限于房产、土地、机器设备、应收账款等合作金融机构认可的抵质押物。对上述组合担保方式的贷款要明确专利、商标等知识产权质押的贷款在贷款总额中所占份额，风险补偿基金只对专利、商标、地理标志等知识产权质押贷款金额提供风险补偿。</w:t>
      </w:r>
    </w:p>
    <w:p>
      <w:pPr>
        <w:pageBreakBefore w:val="0"/>
        <w:kinsoku/>
        <w:wordWrap/>
        <w:overflowPunct/>
        <w:topLinePunct w:val="0"/>
        <w:autoSpaceDE/>
        <w:autoSpaceDN/>
        <w:bidi w:val="0"/>
        <w:spacing w:line="600" w:lineRule="exact"/>
        <w:ind w:firstLine="640"/>
        <w:textAlignment w:val="auto"/>
        <w:rPr>
          <w:rFonts w:hint="eastAsia" w:ascii="仿宋" w:hAnsi="仿宋" w:eastAsia="仿宋" w:cs="仿宋"/>
          <w:b w:val="0"/>
          <w:bCs w:val="0"/>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为符合我市的产业政策，</w:t>
      </w:r>
      <w:r>
        <w:rPr>
          <w:rFonts w:hint="eastAsia" w:ascii="仿宋" w:hAnsi="仿宋" w:eastAsia="仿宋" w:cs="仿宋"/>
          <w:b w:val="0"/>
          <w:bCs w:val="0"/>
          <w:color w:val="000000" w:themeColor="text1"/>
          <w:szCs w:val="32"/>
          <w14:textFill>
            <w14:solidFill>
              <w14:schemeClr w14:val="tx1"/>
            </w14:solidFill>
          </w14:textFill>
        </w:rPr>
        <w:t>且具有高价值、高法律价值和高经济价值的高价值专利和高知名度商标质押贷款提供信用保证。</w:t>
      </w:r>
    </w:p>
    <w:p>
      <w:pPr>
        <w:pageBreakBefore w:val="0"/>
        <w:kinsoku/>
        <w:wordWrap/>
        <w:overflowPunct/>
        <w:topLinePunct w:val="0"/>
        <w:autoSpaceDE/>
        <w:autoSpaceDN/>
        <w:bidi w:val="0"/>
        <w:spacing w:line="600" w:lineRule="exact"/>
        <w:textAlignment w:val="auto"/>
        <w:rPr>
          <w:rFonts w:hint="default" w:ascii="仿宋" w:hAnsi="仿宋" w:eastAsia="仿宋" w:cs="仿宋"/>
          <w:b w:val="0"/>
          <w:bCs w:val="0"/>
          <w:color w:val="FF0000"/>
          <w:szCs w:val="32"/>
          <w:lang w:val="en-US"/>
        </w:rPr>
      </w:pPr>
      <w:r>
        <w:rPr>
          <w:rFonts w:hint="eastAsia"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b/>
          <w:bCs/>
          <w:color w:val="000000" w:themeColor="text1"/>
          <w:szCs w:val="32"/>
          <w14:textFill>
            <w14:solidFill>
              <w14:schemeClr w14:val="tx1"/>
            </w14:solidFill>
          </w14:textFill>
        </w:rPr>
        <w:t xml:space="preserve"> </w:t>
      </w:r>
      <w:r>
        <w:rPr>
          <w:rFonts w:hint="eastAsia" w:ascii="仿宋" w:hAnsi="仿宋" w:eastAsia="仿宋" w:cs="仿宋"/>
          <w:b w:val="0"/>
          <w:bCs w:val="0"/>
          <w:color w:val="000000" w:themeColor="text1"/>
          <w:szCs w:val="32"/>
          <w:lang w:val="en-US" w:eastAsia="zh-CN"/>
          <w14:textFill>
            <w14:solidFill>
              <w14:schemeClr w14:val="tx1"/>
            </w14:solidFill>
          </w14:textFill>
        </w:rPr>
        <w:t>同一企业每年最多可申请1个风险补偿项目，每个风险补偿项目代偿金额累计最高不超过500万元。</w:t>
      </w:r>
    </w:p>
    <w:p>
      <w:pPr>
        <w:pageBreakBefore w:val="0"/>
        <w:kinsoku/>
        <w:wordWrap/>
        <w:overflowPunct/>
        <w:topLinePunct w:val="0"/>
        <w:autoSpaceDE/>
        <w:autoSpaceDN/>
        <w:bidi w:val="0"/>
        <w:spacing w:line="600" w:lineRule="exact"/>
        <w:ind w:firstLine="643" w:firstLineChars="200"/>
        <w:textAlignment w:val="auto"/>
        <w:rPr>
          <w:rFonts w:ascii="仿宋" w:hAnsi="仿宋" w:eastAsia="仿宋" w:cs="仿宋"/>
          <w:b w:val="0"/>
          <w:bCs w:val="0"/>
          <w:color w:val="000000" w:themeColor="text1"/>
          <w:szCs w:val="32"/>
          <w14:textFill>
            <w14:solidFill>
              <w14:schemeClr w14:val="tx1"/>
            </w14:solidFill>
          </w14:textFill>
        </w:rPr>
      </w:pPr>
      <w:r>
        <w:rPr>
          <w:rFonts w:hint="eastAsia" w:ascii="仿宋" w:hAnsi="仿宋" w:eastAsia="仿宋" w:cs="仿宋"/>
          <w:b/>
          <w:bCs/>
          <w:color w:val="000000" w:themeColor="text1"/>
          <w:szCs w:val="32"/>
          <w14:textFill>
            <w14:solidFill>
              <w14:schemeClr w14:val="tx1"/>
            </w14:solidFill>
          </w14:textFill>
        </w:rPr>
        <w:t>第十条</w:t>
      </w:r>
      <w:r>
        <w:rPr>
          <w:rFonts w:hint="eastAsia"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b/>
          <w:bCs/>
          <w:color w:val="000000" w:themeColor="text1"/>
          <w:szCs w:val="32"/>
          <w14:textFill>
            <w14:solidFill>
              <w14:schemeClr w14:val="tx1"/>
            </w14:solidFill>
          </w14:textFill>
        </w:rPr>
        <w:t xml:space="preserve"> </w:t>
      </w:r>
      <w:r>
        <w:rPr>
          <w:rFonts w:hint="eastAsia" w:ascii="仿宋" w:hAnsi="仿宋" w:eastAsia="仿宋" w:cs="仿宋"/>
          <w:b w:val="0"/>
          <w:bCs w:val="0"/>
          <w:color w:val="000000" w:themeColor="text1"/>
          <w:szCs w:val="32"/>
          <w14:textFill>
            <w14:solidFill>
              <w14:schemeClr w14:val="tx1"/>
            </w14:solidFill>
          </w14:textFill>
        </w:rPr>
        <w:t>市市场监督管理局（知识产权局）公开发布开展知识产权质押融资风险补偿项目企业申报通知，明确风险补偿项目企业申报条件</w:t>
      </w:r>
      <w:r>
        <w:rPr>
          <w:rFonts w:ascii="仿宋" w:hAnsi="仿宋" w:eastAsia="仿宋" w:cs="仿宋"/>
          <w:b w:val="0"/>
          <w:bCs w:val="0"/>
          <w:color w:val="000000" w:themeColor="text1"/>
          <w:szCs w:val="32"/>
          <w14:textFill>
            <w14:solidFill>
              <w14:schemeClr w14:val="tx1"/>
            </w14:solidFill>
          </w14:textFill>
        </w:rPr>
        <w:t>及</w:t>
      </w:r>
      <w:r>
        <w:rPr>
          <w:rFonts w:hint="eastAsia" w:ascii="仿宋" w:hAnsi="仿宋" w:eastAsia="仿宋" w:cs="仿宋"/>
          <w:b w:val="0"/>
          <w:bCs w:val="0"/>
          <w:color w:val="000000" w:themeColor="text1"/>
          <w:szCs w:val="32"/>
          <w14:textFill>
            <w14:solidFill>
              <w14:schemeClr w14:val="tx1"/>
            </w14:solidFill>
          </w14:textFill>
        </w:rPr>
        <w:t>相关佐证材料等。</w:t>
      </w:r>
    </w:p>
    <w:p>
      <w:pPr>
        <w:pageBreakBefore w:val="0"/>
        <w:kinsoku/>
        <w:wordWrap/>
        <w:overflowPunct/>
        <w:topLinePunct w:val="0"/>
        <w:autoSpaceDE/>
        <w:autoSpaceDN/>
        <w:bidi w:val="0"/>
        <w:spacing w:line="60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b/>
          <w:bCs/>
          <w:color w:val="000000" w:themeColor="text1"/>
          <w:szCs w:val="32"/>
          <w14:textFill>
            <w14:solidFill>
              <w14:schemeClr w14:val="tx1"/>
            </w14:solidFill>
          </w14:textFill>
        </w:rPr>
        <w:t>第十一条</w:t>
      </w:r>
      <w:r>
        <w:rPr>
          <w:rFonts w:hint="eastAsia" w:ascii="仿宋" w:hAnsi="仿宋" w:eastAsia="仿宋" w:cs="仿宋"/>
          <w:color w:val="000000" w:themeColor="text1"/>
          <w:szCs w:val="32"/>
          <w14:textFill>
            <w14:solidFill>
              <w14:schemeClr w14:val="tx1"/>
            </w14:solidFill>
          </w14:textFill>
        </w:rPr>
        <w:t xml:space="preserve">  申报方式为</w:t>
      </w:r>
      <w:r>
        <w:rPr>
          <w:rFonts w:hint="eastAsia" w:ascii="仿宋" w:hAnsi="仿宋" w:eastAsia="仿宋" w:cs="仿宋"/>
          <w:color w:val="000000" w:themeColor="text1"/>
          <w:szCs w:val="32"/>
          <w:lang w:val="en-US" w:eastAsia="zh-CN"/>
          <w14:textFill>
            <w14:solidFill>
              <w14:schemeClr w14:val="tx1"/>
            </w14:solidFill>
          </w14:textFill>
        </w:rPr>
        <w:t>以企业需求自愿</w:t>
      </w:r>
      <w:r>
        <w:rPr>
          <w:rFonts w:hint="eastAsia" w:ascii="仿宋" w:hAnsi="仿宋" w:eastAsia="仿宋" w:cs="仿宋"/>
          <w:color w:val="000000" w:themeColor="text1"/>
          <w:szCs w:val="32"/>
          <w14:textFill>
            <w14:solidFill>
              <w14:schemeClr w14:val="tx1"/>
            </w14:solidFill>
          </w14:textFill>
        </w:rPr>
        <w:t>申报，如何提交申报材料及附件材料等内容，以发布的申报文件通知为准。</w:t>
      </w:r>
    </w:p>
    <w:p>
      <w:pPr>
        <w:pageBreakBefore w:val="0"/>
        <w:kinsoku/>
        <w:wordWrap/>
        <w:overflowPunct/>
        <w:topLinePunct w:val="0"/>
        <w:autoSpaceDE/>
        <w:autoSpaceDN/>
        <w:bidi w:val="0"/>
        <w:spacing w:line="600" w:lineRule="exact"/>
        <w:ind w:firstLine="640"/>
        <w:textAlignment w:val="auto"/>
        <w:rPr>
          <w:rFonts w:ascii="仿宋" w:hAnsi="仿宋" w:eastAsia="仿宋" w:cs="仿宋"/>
          <w:b w:val="0"/>
          <w:bCs w:val="0"/>
          <w:color w:val="000000" w:themeColor="text1"/>
          <w:szCs w:val="32"/>
          <w14:textFill>
            <w14:solidFill>
              <w14:schemeClr w14:val="tx1"/>
            </w14:solidFill>
          </w14:textFill>
        </w:rPr>
      </w:pPr>
      <w:r>
        <w:rPr>
          <w:rFonts w:hint="eastAsia" w:ascii="仿宋" w:hAnsi="仿宋" w:eastAsia="仿宋" w:cs="仿宋"/>
          <w:b/>
          <w:bCs/>
          <w:color w:val="000000" w:themeColor="text1"/>
          <w:szCs w:val="32"/>
          <w14:textFill>
            <w14:solidFill>
              <w14:schemeClr w14:val="tx1"/>
            </w14:solidFill>
          </w14:textFill>
        </w:rPr>
        <w:t>第十二条</w:t>
      </w:r>
      <w:r>
        <w:rPr>
          <w:rFonts w:hint="eastAsia"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b w:val="0"/>
          <w:bCs w:val="0"/>
          <w:color w:val="000000" w:themeColor="text1"/>
          <w:szCs w:val="32"/>
          <w14:textFill>
            <w14:solidFill>
              <w14:schemeClr w14:val="tx1"/>
            </w14:solidFill>
          </w14:textFill>
        </w:rPr>
        <w:t>各县（市、区）的申报单位，申报材料由各县（市、区）市场监督管理部门（知识产权部门）负责推荐，并出具推荐汇总表报市市场监督管理局（市知识产权局）</w:t>
      </w:r>
      <w:r>
        <w:rPr>
          <w:rFonts w:hint="eastAsia" w:ascii="仿宋" w:hAnsi="仿宋" w:eastAsia="仿宋" w:cs="仿宋"/>
          <w:b w:val="0"/>
          <w:bCs w:val="0"/>
          <w:color w:val="000000" w:themeColor="text1"/>
          <w:szCs w:val="32"/>
          <w:lang w:val="en-US" w:eastAsia="zh-CN"/>
          <w14:textFill>
            <w14:solidFill>
              <w14:schemeClr w14:val="tx1"/>
            </w14:solidFill>
          </w14:textFill>
        </w:rPr>
        <w:t>报备</w:t>
      </w:r>
      <w:r>
        <w:rPr>
          <w:rFonts w:hint="eastAsia" w:ascii="仿宋" w:hAnsi="仿宋" w:eastAsia="仿宋" w:cs="仿宋"/>
          <w:b w:val="0"/>
          <w:bCs w:val="0"/>
          <w:color w:val="000000" w:themeColor="text1"/>
          <w:szCs w:val="32"/>
          <w14:textFill>
            <w14:solidFill>
              <w14:schemeClr w14:val="tx1"/>
            </w14:solidFill>
          </w14:textFill>
        </w:rPr>
        <w:t>；市直申报单位的</w:t>
      </w:r>
      <w:r>
        <w:rPr>
          <w:rFonts w:hint="eastAsia" w:ascii="仿宋" w:hAnsi="仿宋" w:eastAsia="仿宋" w:cs="仿宋"/>
          <w:b/>
          <w:bCs/>
          <w:color w:val="FF0000"/>
          <w:szCs w:val="32"/>
          <w:lang w:val="en-US" w:eastAsia="zh-CN"/>
        </w:rPr>
        <w:t>直接报送申报材料至</w:t>
      </w:r>
      <w:r>
        <w:rPr>
          <w:rFonts w:hint="eastAsia" w:ascii="仿宋" w:hAnsi="仿宋" w:eastAsia="仿宋" w:cs="仿宋"/>
          <w:b w:val="0"/>
          <w:bCs w:val="0"/>
          <w:color w:val="000000" w:themeColor="text1"/>
          <w:szCs w:val="32"/>
          <w14:textFill>
            <w14:solidFill>
              <w14:schemeClr w14:val="tx1"/>
            </w14:solidFill>
          </w14:textFill>
        </w:rPr>
        <w:t>市市场监督管理局（知识产权局）。</w:t>
      </w:r>
    </w:p>
    <w:p>
      <w:pPr>
        <w:pageBreakBefore w:val="0"/>
        <w:widowControl/>
        <w:kinsoku/>
        <w:wordWrap/>
        <w:overflowPunct/>
        <w:topLinePunct w:val="0"/>
        <w:autoSpaceDE/>
        <w:autoSpaceDN/>
        <w:bidi w:val="0"/>
        <w:spacing w:line="600" w:lineRule="exact"/>
        <w:ind w:firstLine="622" w:firstLineChars="200"/>
        <w:jc w:val="left"/>
        <w:textAlignment w:val="auto"/>
        <w:rPr>
          <w:b w:val="0"/>
          <w:bCs/>
          <w:color w:val="000000" w:themeColor="text1"/>
          <w14:textFill>
            <w14:solidFill>
              <w14:schemeClr w14:val="tx1"/>
            </w14:solidFill>
          </w14:textFill>
        </w:rPr>
      </w:pPr>
      <w:r>
        <w:rPr>
          <w:rFonts w:hint="eastAsia" w:ascii="仿宋" w:hAnsi="仿宋" w:eastAsia="仿宋" w:cs="仿宋"/>
          <w:b/>
          <w:color w:val="000000" w:themeColor="text1"/>
          <w:kern w:val="0"/>
          <w:sz w:val="31"/>
          <w:szCs w:val="31"/>
          <w:lang w:bidi="ar"/>
          <w14:textFill>
            <w14:solidFill>
              <w14:schemeClr w14:val="tx1"/>
            </w14:solidFill>
          </w14:textFill>
        </w:rPr>
        <w:t xml:space="preserve">第十三条 </w:t>
      </w:r>
      <w:r>
        <w:rPr>
          <w:rFonts w:hint="eastAsia" w:ascii="仿宋" w:hAnsi="仿宋" w:eastAsia="仿宋" w:cs="仿宋"/>
          <w:b/>
          <w:bCs w:val="0"/>
          <w:color w:val="000000" w:themeColor="text1"/>
          <w:kern w:val="0"/>
          <w:sz w:val="31"/>
          <w:szCs w:val="31"/>
          <w:lang w:bidi="ar"/>
          <w14:textFill>
            <w14:solidFill>
              <w14:schemeClr w14:val="tx1"/>
            </w14:solidFill>
          </w14:textFill>
        </w:rPr>
        <w:t xml:space="preserve"> </w:t>
      </w:r>
      <w:r>
        <w:rPr>
          <w:rFonts w:hint="eastAsia" w:ascii="仿宋" w:hAnsi="仿宋" w:eastAsia="仿宋" w:cs="仿宋"/>
          <w:b w:val="0"/>
          <w:bCs/>
          <w:color w:val="000000" w:themeColor="text1"/>
          <w:kern w:val="0"/>
          <w:sz w:val="31"/>
          <w:szCs w:val="31"/>
          <w:lang w:bidi="ar"/>
          <w14:textFill>
            <w14:solidFill>
              <w14:schemeClr w14:val="tx1"/>
            </w14:solidFill>
          </w14:textFill>
        </w:rPr>
        <w:t>已经</w:t>
      </w:r>
      <w:r>
        <w:rPr>
          <w:rFonts w:hint="eastAsia" w:ascii="仿宋" w:hAnsi="仿宋" w:eastAsia="仿宋" w:cs="仿宋"/>
          <w:b/>
          <w:bCs/>
          <w:color w:val="FF0000"/>
          <w:szCs w:val="32"/>
          <w:lang w:val="en-US" w:eastAsia="zh-CN"/>
        </w:rPr>
        <w:t>提交申报材料的单位</w:t>
      </w:r>
      <w:r>
        <w:rPr>
          <w:rFonts w:hint="eastAsia" w:ascii="仿宋" w:hAnsi="仿宋" w:eastAsia="仿宋" w:cs="仿宋"/>
          <w:b w:val="0"/>
          <w:bCs/>
          <w:color w:val="000000" w:themeColor="text1"/>
          <w:kern w:val="0"/>
          <w:sz w:val="31"/>
          <w:szCs w:val="31"/>
          <w:lang w:bidi="ar"/>
          <w14:textFill>
            <w14:solidFill>
              <w14:schemeClr w14:val="tx1"/>
            </w14:solidFill>
          </w14:textFill>
        </w:rPr>
        <w:t>有下述情况之一的，市市场监督管理局（市知识产权局）有权取消其</w:t>
      </w:r>
      <w:r>
        <w:rPr>
          <w:rFonts w:hint="eastAsia" w:ascii="仿宋" w:hAnsi="仿宋" w:eastAsia="仿宋" w:cs="仿宋"/>
          <w:b/>
          <w:bCs/>
          <w:color w:val="FF0000"/>
          <w:szCs w:val="32"/>
          <w:lang w:val="en-US" w:eastAsia="zh-CN"/>
        </w:rPr>
        <w:t>项目申报</w:t>
      </w:r>
      <w:r>
        <w:rPr>
          <w:rFonts w:hint="eastAsia" w:ascii="仿宋" w:hAnsi="仿宋" w:eastAsia="仿宋" w:cs="仿宋"/>
          <w:b w:val="0"/>
          <w:bCs/>
          <w:color w:val="000000" w:themeColor="text1"/>
          <w:kern w:val="0"/>
          <w:sz w:val="31"/>
          <w:szCs w:val="31"/>
          <w:lang w:bidi="ar"/>
          <w14:textFill>
            <w14:solidFill>
              <w14:schemeClr w14:val="tx1"/>
            </w14:solidFill>
          </w14:textFill>
        </w:rPr>
        <w:t>资格并将处理结果向社会公开</w:t>
      </w:r>
      <w:r>
        <w:rPr>
          <w:rFonts w:hint="eastAsia" w:ascii="仿宋" w:hAnsi="仿宋" w:eastAsia="仿宋" w:cs="仿宋"/>
          <w:b w:val="0"/>
          <w:bCs/>
          <w:color w:val="000000" w:themeColor="text1"/>
          <w:kern w:val="0"/>
          <w:sz w:val="31"/>
          <w:szCs w:val="31"/>
          <w:lang w:eastAsia="zh-CN" w:bidi="ar"/>
          <w14:textFill>
            <w14:solidFill>
              <w14:schemeClr w14:val="tx1"/>
            </w14:solidFill>
          </w14:textFill>
        </w:rPr>
        <w:t>：</w:t>
      </w:r>
    </w:p>
    <w:p>
      <w:pPr>
        <w:pageBreakBefore w:val="0"/>
        <w:widowControl/>
        <w:kinsoku/>
        <w:wordWrap/>
        <w:overflowPunct/>
        <w:topLinePunct w:val="0"/>
        <w:autoSpaceDE/>
        <w:autoSpaceDN/>
        <w:bidi w:val="0"/>
        <w:spacing w:line="600" w:lineRule="exact"/>
        <w:ind w:firstLine="620" w:firstLineChars="200"/>
        <w:jc w:val="left"/>
        <w:textAlignment w:val="auto"/>
        <w:rPr>
          <w:color w:val="000000" w:themeColor="text1"/>
          <w14:textFill>
            <w14:solidFill>
              <w14:schemeClr w14:val="tx1"/>
            </w14:solidFill>
          </w14:textFill>
        </w:rPr>
      </w:pPr>
      <w:r>
        <w:rPr>
          <w:rFonts w:hint="eastAsia" w:ascii="仿宋" w:hAnsi="仿宋" w:eastAsia="仿宋" w:cs="仿宋"/>
          <w:color w:val="000000" w:themeColor="text1"/>
          <w:kern w:val="0"/>
          <w:sz w:val="31"/>
          <w:szCs w:val="31"/>
          <w:lang w:bidi="ar"/>
          <w14:textFill>
            <w14:solidFill>
              <w14:schemeClr w14:val="tx1"/>
            </w14:solidFill>
          </w14:textFill>
        </w:rPr>
        <w:t xml:space="preserve">（一）在申报过程中存在严重弄虚作假的； </w:t>
      </w:r>
    </w:p>
    <w:p>
      <w:pPr>
        <w:pageBreakBefore w:val="0"/>
        <w:widowControl/>
        <w:kinsoku/>
        <w:wordWrap/>
        <w:overflowPunct/>
        <w:topLinePunct w:val="0"/>
        <w:autoSpaceDE/>
        <w:autoSpaceDN/>
        <w:bidi w:val="0"/>
        <w:spacing w:line="600" w:lineRule="exact"/>
        <w:ind w:firstLine="620" w:firstLineChars="200"/>
        <w:jc w:val="left"/>
        <w:textAlignment w:val="auto"/>
        <w:rPr>
          <w:color w:val="000000" w:themeColor="text1"/>
          <w14:textFill>
            <w14:solidFill>
              <w14:schemeClr w14:val="tx1"/>
            </w14:solidFill>
          </w14:textFill>
        </w:rPr>
      </w:pPr>
      <w:r>
        <w:rPr>
          <w:rFonts w:hint="eastAsia" w:ascii="仿宋" w:hAnsi="仿宋" w:eastAsia="仿宋" w:cs="仿宋"/>
          <w:color w:val="000000" w:themeColor="text1"/>
          <w:kern w:val="0"/>
          <w:sz w:val="31"/>
          <w:szCs w:val="31"/>
          <w:lang w:bidi="ar"/>
          <w14:textFill>
            <w14:solidFill>
              <w14:schemeClr w14:val="tx1"/>
            </w14:solidFill>
          </w14:textFill>
        </w:rPr>
        <w:t xml:space="preserve">（二）发生重大安全、重大质量事故或严重环境违法行为的； </w:t>
      </w:r>
    </w:p>
    <w:p>
      <w:pPr>
        <w:pageBreakBefore w:val="0"/>
        <w:widowControl/>
        <w:kinsoku/>
        <w:wordWrap/>
        <w:overflowPunct/>
        <w:topLinePunct w:val="0"/>
        <w:autoSpaceDE/>
        <w:autoSpaceDN/>
        <w:bidi w:val="0"/>
        <w:spacing w:line="600" w:lineRule="exact"/>
        <w:ind w:firstLine="620" w:firstLineChars="200"/>
        <w:jc w:val="left"/>
        <w:textAlignment w:val="auto"/>
        <w:rPr>
          <w:color w:val="000000" w:themeColor="text1"/>
          <w14:textFill>
            <w14:solidFill>
              <w14:schemeClr w14:val="tx1"/>
            </w14:solidFill>
          </w14:textFill>
        </w:rPr>
      </w:pPr>
      <w:r>
        <w:rPr>
          <w:rFonts w:hint="eastAsia" w:ascii="仿宋" w:hAnsi="仿宋" w:eastAsia="仿宋" w:cs="仿宋"/>
          <w:color w:val="000000" w:themeColor="text1"/>
          <w:kern w:val="0"/>
          <w:sz w:val="31"/>
          <w:szCs w:val="31"/>
          <w:lang w:bidi="ar"/>
          <w14:textFill>
            <w14:solidFill>
              <w14:schemeClr w14:val="tx1"/>
            </w14:solidFill>
          </w14:textFill>
        </w:rPr>
        <w:t xml:space="preserve">（三）资金管理和使用存在严重违规行为的； </w:t>
      </w:r>
    </w:p>
    <w:p>
      <w:pPr>
        <w:pageBreakBefore w:val="0"/>
        <w:widowControl/>
        <w:kinsoku/>
        <w:wordWrap/>
        <w:overflowPunct/>
        <w:topLinePunct w:val="0"/>
        <w:autoSpaceDE/>
        <w:autoSpaceDN/>
        <w:bidi w:val="0"/>
        <w:spacing w:line="600" w:lineRule="exact"/>
        <w:ind w:firstLine="620" w:firstLineChars="200"/>
        <w:jc w:val="left"/>
        <w:textAlignment w:val="auto"/>
        <w:rPr>
          <w:color w:val="000000" w:themeColor="text1"/>
          <w14:textFill>
            <w14:solidFill>
              <w14:schemeClr w14:val="tx1"/>
            </w14:solidFill>
          </w14:textFill>
        </w:rPr>
      </w:pPr>
      <w:r>
        <w:rPr>
          <w:rFonts w:hint="eastAsia" w:ascii="仿宋" w:hAnsi="仿宋" w:eastAsia="仿宋" w:cs="仿宋"/>
          <w:color w:val="000000" w:themeColor="text1"/>
          <w:kern w:val="0"/>
          <w:sz w:val="31"/>
          <w:szCs w:val="31"/>
          <w:lang w:bidi="ar"/>
          <w14:textFill>
            <w14:solidFill>
              <w14:schemeClr w14:val="tx1"/>
            </w14:solidFill>
          </w14:textFill>
        </w:rPr>
        <w:t xml:space="preserve">（四）企业近三年存在违反其他行政法规行为记录情况的； </w:t>
      </w:r>
    </w:p>
    <w:p>
      <w:pPr>
        <w:pageBreakBefore w:val="0"/>
        <w:widowControl/>
        <w:kinsoku/>
        <w:wordWrap/>
        <w:overflowPunct/>
        <w:topLinePunct w:val="0"/>
        <w:autoSpaceDE/>
        <w:autoSpaceDN/>
        <w:bidi w:val="0"/>
        <w:spacing w:line="600" w:lineRule="exact"/>
        <w:ind w:firstLine="620" w:firstLineChars="200"/>
        <w:jc w:val="left"/>
        <w:textAlignment w:val="auto"/>
        <w:rPr>
          <w:rFonts w:ascii="仿宋" w:hAnsi="仿宋" w:eastAsia="仿宋" w:cs="仿宋"/>
          <w:color w:val="000000" w:themeColor="text1"/>
          <w:kern w:val="0"/>
          <w:sz w:val="31"/>
          <w:szCs w:val="31"/>
          <w:lang w:bidi="ar"/>
          <w14:textFill>
            <w14:solidFill>
              <w14:schemeClr w14:val="tx1"/>
            </w14:solidFill>
          </w14:textFill>
        </w:rPr>
      </w:pPr>
      <w:r>
        <w:rPr>
          <w:rFonts w:hint="eastAsia" w:ascii="仿宋" w:hAnsi="仿宋" w:eastAsia="仿宋" w:cs="仿宋"/>
          <w:color w:val="000000" w:themeColor="text1"/>
          <w:kern w:val="0"/>
          <w:sz w:val="31"/>
          <w:szCs w:val="31"/>
          <w:lang w:bidi="ar"/>
          <w14:textFill>
            <w14:solidFill>
              <w14:schemeClr w14:val="tx1"/>
            </w14:solidFill>
          </w14:textFill>
        </w:rPr>
        <w:t xml:space="preserve">（五）知识产权工作严重失信行为的；未列入经营异常名录但列入严重违法失信名单的。 </w:t>
      </w:r>
    </w:p>
    <w:p>
      <w:pPr>
        <w:pageBreakBefore w:val="0"/>
        <w:widowControl/>
        <w:kinsoku/>
        <w:wordWrap/>
        <w:overflowPunct/>
        <w:topLinePunct w:val="0"/>
        <w:autoSpaceDE/>
        <w:autoSpaceDN/>
        <w:bidi w:val="0"/>
        <w:spacing w:line="600" w:lineRule="exact"/>
        <w:ind w:firstLine="620" w:firstLineChars="200"/>
        <w:jc w:val="left"/>
        <w:textAlignment w:val="auto"/>
        <w:rPr>
          <w:rFonts w:ascii="仿宋" w:hAnsi="仿宋" w:eastAsia="仿宋" w:cs="仿宋"/>
          <w:color w:val="000000" w:themeColor="text1"/>
          <w:kern w:val="0"/>
          <w:sz w:val="31"/>
          <w:szCs w:val="31"/>
          <w:lang w:bidi="ar"/>
          <w14:textFill>
            <w14:solidFill>
              <w14:schemeClr w14:val="tx1"/>
            </w14:solidFill>
          </w14:textFill>
        </w:rPr>
      </w:pPr>
    </w:p>
    <w:p>
      <w:pPr>
        <w:pageBreakBefore w:val="0"/>
        <w:kinsoku/>
        <w:wordWrap/>
        <w:overflowPunct/>
        <w:topLinePunct w:val="0"/>
        <w:autoSpaceDE/>
        <w:autoSpaceDN/>
        <w:bidi w:val="0"/>
        <w:spacing w:line="600" w:lineRule="exact"/>
        <w:ind w:firstLine="640"/>
        <w:jc w:val="center"/>
        <w:textAlignment w:val="auto"/>
        <w:rPr>
          <w:rFonts w:ascii="黑体" w:hAnsi="黑体" w:eastAsia="黑体" w:cs="黑体"/>
          <w:b/>
          <w:bCs/>
          <w:color w:val="000000" w:themeColor="text1"/>
          <w:szCs w:val="32"/>
          <w14:textFill>
            <w14:solidFill>
              <w14:schemeClr w14:val="tx1"/>
            </w14:solidFill>
          </w14:textFill>
        </w:rPr>
      </w:pPr>
      <w:r>
        <w:rPr>
          <w:rFonts w:hint="eastAsia" w:ascii="黑体" w:hAnsi="黑体" w:eastAsia="黑体" w:cs="黑体"/>
          <w:b/>
          <w:bCs/>
          <w:color w:val="000000" w:themeColor="text1"/>
          <w:szCs w:val="32"/>
          <w14:textFill>
            <w14:solidFill>
              <w14:schemeClr w14:val="tx1"/>
            </w14:solidFill>
          </w14:textFill>
        </w:rPr>
        <w:t>第四章  推荐程序</w:t>
      </w:r>
    </w:p>
    <w:p>
      <w:pPr>
        <w:pageBreakBefore w:val="0"/>
        <w:kinsoku/>
        <w:wordWrap/>
        <w:overflowPunct/>
        <w:topLinePunct w:val="0"/>
        <w:autoSpaceDE/>
        <w:autoSpaceDN/>
        <w:bidi w:val="0"/>
        <w:spacing w:line="60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b/>
          <w:bCs/>
          <w:color w:val="000000" w:themeColor="text1"/>
          <w:szCs w:val="32"/>
          <w14:textFill>
            <w14:solidFill>
              <w14:schemeClr w14:val="tx1"/>
            </w14:solidFill>
          </w14:textFill>
        </w:rPr>
        <w:t>第十四条</w:t>
      </w:r>
      <w:r>
        <w:rPr>
          <w:rFonts w:hint="eastAsia"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b/>
          <w:bCs/>
          <w:color w:val="000000" w:themeColor="text1"/>
          <w:szCs w:val="32"/>
          <w14:textFill>
            <w14:solidFill>
              <w14:schemeClr w14:val="tx1"/>
            </w14:solidFill>
          </w14:textFill>
        </w:rPr>
        <w:t xml:space="preserve"> </w:t>
      </w:r>
      <w:r>
        <w:rPr>
          <w:rFonts w:hint="eastAsia" w:ascii="仿宋" w:hAnsi="仿宋" w:eastAsia="仿宋" w:cs="仿宋"/>
          <w:b w:val="0"/>
          <w:bCs w:val="0"/>
          <w:color w:val="000000" w:themeColor="text1"/>
          <w:szCs w:val="32"/>
          <w14:textFill>
            <w14:solidFill>
              <w14:schemeClr w14:val="tx1"/>
            </w14:solidFill>
          </w14:textFill>
        </w:rPr>
        <w:t>市市场监督管理局（知识产权局）对风险补偿基金申报企业的申报材料进行形式审查与对申报单位实地核查，</w:t>
      </w:r>
      <w:r>
        <w:rPr>
          <w:rFonts w:hint="eastAsia" w:ascii="仿宋" w:hAnsi="仿宋" w:eastAsia="仿宋" w:cs="仿宋"/>
          <w:color w:val="000000" w:themeColor="text1"/>
          <w:szCs w:val="32"/>
          <w14:textFill>
            <w14:solidFill>
              <w14:schemeClr w14:val="tx1"/>
            </w14:solidFill>
          </w14:textFill>
        </w:rPr>
        <w:t>经过审查或核查符合条件的申报事项，由市市场监督管理局（知识产权局）下达清单至资金管理人或合作金融机构，申报企业清单可不定期更新。</w:t>
      </w:r>
    </w:p>
    <w:p>
      <w:pPr>
        <w:pageBreakBefore w:val="0"/>
        <w:kinsoku/>
        <w:wordWrap/>
        <w:overflowPunct/>
        <w:topLinePunct w:val="0"/>
        <w:autoSpaceDE/>
        <w:autoSpaceDN/>
        <w:bidi w:val="0"/>
        <w:spacing w:line="60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b/>
          <w:bCs/>
          <w:color w:val="000000" w:themeColor="text1"/>
          <w:szCs w:val="32"/>
          <w14:textFill>
            <w14:solidFill>
              <w14:schemeClr w14:val="tx1"/>
            </w14:solidFill>
          </w14:textFill>
        </w:rPr>
        <w:t>第十五条</w:t>
      </w:r>
      <w:r>
        <w:rPr>
          <w:rFonts w:hint="eastAsia" w:ascii="仿宋" w:hAnsi="仿宋" w:eastAsia="仿宋" w:cs="仿宋"/>
          <w:color w:val="000000" w:themeColor="text1"/>
          <w:szCs w:val="32"/>
          <w14:textFill>
            <w14:solidFill>
              <w14:schemeClr w14:val="tx1"/>
            </w14:solidFill>
          </w14:textFill>
        </w:rPr>
        <w:t xml:space="preserve">  市市场监督管理局（知识产权局）在本局门户网站公开以下信息：</w:t>
      </w:r>
    </w:p>
    <w:p>
      <w:pPr>
        <w:pageBreakBefore w:val="0"/>
        <w:kinsoku/>
        <w:wordWrap/>
        <w:overflowPunct/>
        <w:topLinePunct w:val="0"/>
        <w:autoSpaceDE/>
        <w:autoSpaceDN/>
        <w:bidi w:val="0"/>
        <w:spacing w:line="600" w:lineRule="exact"/>
        <w:ind w:firstLine="640" w:firstLineChars="200"/>
        <w:textAlignment w:val="auto"/>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（一）知识产权质押融资风险补偿项目企业申报通知。</w:t>
      </w:r>
    </w:p>
    <w:p>
      <w:pPr>
        <w:pageBreakBefore w:val="0"/>
        <w:kinsoku/>
        <w:wordWrap/>
        <w:overflowPunct/>
        <w:topLinePunct w:val="0"/>
        <w:autoSpaceDE/>
        <w:autoSpaceDN/>
        <w:bidi w:val="0"/>
        <w:spacing w:line="600" w:lineRule="exact"/>
        <w:ind w:firstLine="640" w:firstLineChars="200"/>
        <w:textAlignment w:val="auto"/>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二</w:t>
      </w:r>
      <w:r>
        <w:rPr>
          <w:rFonts w:hint="eastAsia"/>
          <w:b w:val="0"/>
          <w:bCs w:val="0"/>
          <w:color w:val="000000" w:themeColor="text1"/>
          <w14:textFill>
            <w14:solidFill>
              <w14:schemeClr w14:val="tx1"/>
            </w14:solidFill>
          </w14:textFill>
        </w:rPr>
        <w:t>）获推荐单位情况，包括单位名称、专利或商标、地理标志质押情况（包括质押项目数、金额、专利或商标件数）等。</w:t>
      </w:r>
    </w:p>
    <w:p>
      <w:pPr>
        <w:pageBreakBefore w:val="0"/>
        <w:kinsoku/>
        <w:wordWrap/>
        <w:overflowPunct/>
        <w:topLinePunct w:val="0"/>
        <w:autoSpaceDE/>
        <w:autoSpaceDN/>
        <w:bidi w:val="0"/>
        <w:spacing w:line="60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w:t>
      </w:r>
      <w:r>
        <w:rPr>
          <w:rFonts w:hint="eastAsia" w:ascii="仿宋" w:hAnsi="仿宋" w:eastAsia="仿宋" w:cs="仿宋"/>
          <w:color w:val="000000" w:themeColor="text1"/>
          <w:szCs w:val="32"/>
          <w:lang w:val="en-US" w:eastAsia="zh-CN"/>
          <w14:textFill>
            <w14:solidFill>
              <w14:schemeClr w14:val="tx1"/>
            </w14:solidFill>
          </w14:textFill>
        </w:rPr>
        <w:t>三</w:t>
      </w:r>
      <w:r>
        <w:rPr>
          <w:rFonts w:hint="eastAsia" w:ascii="仿宋" w:hAnsi="仿宋" w:eastAsia="仿宋" w:cs="仿宋"/>
          <w:color w:val="000000" w:themeColor="text1"/>
          <w:szCs w:val="32"/>
          <w14:textFill>
            <w14:solidFill>
              <w14:schemeClr w14:val="tx1"/>
            </w14:solidFill>
          </w14:textFill>
        </w:rPr>
        <w:t>）受理、处理投诉情况，包括投诉原因、处理情况等。</w:t>
      </w:r>
    </w:p>
    <w:p>
      <w:pPr>
        <w:pageBreakBefore w:val="0"/>
        <w:kinsoku/>
        <w:wordWrap/>
        <w:overflowPunct/>
        <w:topLinePunct w:val="0"/>
        <w:autoSpaceDE/>
        <w:autoSpaceDN/>
        <w:bidi w:val="0"/>
        <w:spacing w:line="60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w:t>
      </w:r>
      <w:r>
        <w:rPr>
          <w:rFonts w:hint="eastAsia" w:ascii="仿宋" w:hAnsi="仿宋" w:eastAsia="仿宋" w:cs="仿宋"/>
          <w:color w:val="000000" w:themeColor="text1"/>
          <w:szCs w:val="32"/>
          <w:lang w:val="en-US" w:eastAsia="zh-CN"/>
          <w14:textFill>
            <w14:solidFill>
              <w14:schemeClr w14:val="tx1"/>
            </w14:solidFill>
          </w14:textFill>
        </w:rPr>
        <w:t>四</w:t>
      </w:r>
      <w:r>
        <w:rPr>
          <w:rFonts w:hint="eastAsia" w:ascii="仿宋" w:hAnsi="仿宋" w:eastAsia="仿宋" w:cs="仿宋"/>
          <w:color w:val="000000" w:themeColor="text1"/>
          <w:szCs w:val="32"/>
          <w14:textFill>
            <w14:solidFill>
              <w14:schemeClr w14:val="tx1"/>
            </w14:solidFill>
          </w14:textFill>
        </w:rPr>
        <w:t>）其他按规定应公开的内容。</w:t>
      </w:r>
    </w:p>
    <w:p>
      <w:pPr>
        <w:pageBreakBefore w:val="0"/>
        <w:kinsoku/>
        <w:wordWrap/>
        <w:overflowPunct/>
        <w:topLinePunct w:val="0"/>
        <w:autoSpaceDE/>
        <w:autoSpaceDN/>
        <w:bidi w:val="0"/>
        <w:spacing w:line="60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b/>
          <w:bCs/>
          <w:color w:val="000000" w:themeColor="text1"/>
          <w:szCs w:val="32"/>
          <w14:textFill>
            <w14:solidFill>
              <w14:schemeClr w14:val="tx1"/>
            </w14:solidFill>
          </w14:textFill>
        </w:rPr>
        <w:t>第十六条</w:t>
      </w:r>
      <w:r>
        <w:rPr>
          <w:rFonts w:hint="eastAsia"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b w:val="0"/>
          <w:bCs w:val="0"/>
          <w:color w:val="000000" w:themeColor="text1"/>
          <w:szCs w:val="32"/>
          <w14:textFill>
            <w14:solidFill>
              <w14:schemeClr w14:val="tx1"/>
            </w14:solidFill>
          </w14:textFill>
        </w:rPr>
        <w:t>市市场监督管理局（知识产权局）可以使用</w:t>
      </w:r>
      <w:r>
        <w:rPr>
          <w:rFonts w:hint="eastAsia" w:ascii="仿宋" w:hAnsi="仿宋" w:eastAsia="仿宋" w:cs="仿宋"/>
          <w:b/>
          <w:bCs/>
          <w:color w:val="FF0000"/>
          <w:szCs w:val="32"/>
          <w:lang w:eastAsia="zh-CN"/>
        </w:rPr>
        <w:t>《</w:t>
      </w:r>
      <w:r>
        <w:rPr>
          <w:rFonts w:hint="eastAsia" w:ascii="仿宋" w:hAnsi="仿宋" w:eastAsia="仿宋" w:cs="仿宋"/>
          <w:b/>
          <w:bCs/>
          <w:color w:val="FF0000"/>
          <w:szCs w:val="32"/>
          <w:lang w:val="en-US" w:eastAsia="zh-CN"/>
        </w:rPr>
        <w:t>汕尾市知识产权质押融资风险补偿项目企业申请表</w:t>
      </w:r>
      <w:r>
        <w:rPr>
          <w:rFonts w:hint="eastAsia" w:ascii="仿宋" w:hAnsi="仿宋" w:eastAsia="仿宋" w:cs="仿宋"/>
          <w:b/>
          <w:bCs/>
          <w:color w:val="FF0000"/>
          <w:szCs w:val="32"/>
          <w:lang w:eastAsia="zh-CN"/>
        </w:rPr>
        <w:t>》</w:t>
      </w:r>
      <w:r>
        <w:rPr>
          <w:rFonts w:hint="eastAsia" w:ascii="仿宋" w:hAnsi="仿宋" w:eastAsia="仿宋" w:cs="仿宋"/>
          <w:b w:val="0"/>
          <w:bCs w:val="0"/>
          <w:color w:val="000000" w:themeColor="text1"/>
          <w:szCs w:val="32"/>
          <w14:textFill>
            <w14:solidFill>
              <w14:schemeClr w14:val="tx1"/>
            </w14:solidFill>
          </w14:textFill>
        </w:rPr>
        <w:t>及提供材料的全部信息，无需另行征得申报单位的同意。</w:t>
      </w:r>
      <w:r>
        <w:rPr>
          <w:rFonts w:hint="eastAsia" w:ascii="仿宋" w:hAnsi="仿宋" w:eastAsia="仿宋" w:cs="仿宋"/>
          <w:color w:val="000000" w:themeColor="text1"/>
          <w:szCs w:val="32"/>
          <w14:textFill>
            <w14:solidFill>
              <w14:schemeClr w14:val="tx1"/>
            </w14:solidFill>
          </w14:textFill>
        </w:rPr>
        <w:t>市市场监督管理局（知识产权局）在法律规定范围内使用申报单位提交的申报材料的情况下，</w:t>
      </w:r>
      <w:r>
        <w:rPr>
          <w:rFonts w:hint="eastAsia" w:ascii="仿宋" w:hAnsi="仿宋" w:eastAsia="仿宋" w:cs="仿宋"/>
          <w:b/>
          <w:bCs/>
          <w:color w:val="FF0000"/>
          <w:szCs w:val="32"/>
          <w:lang w:val="en-US" w:eastAsia="zh-CN"/>
        </w:rPr>
        <w:t>如因申报单位自身原因导致材料发生泄漏</w:t>
      </w:r>
      <w:r>
        <w:rPr>
          <w:rFonts w:hint="eastAsia" w:ascii="仿宋" w:hAnsi="仿宋" w:eastAsia="仿宋" w:cs="仿宋"/>
          <w:b/>
          <w:bCs/>
          <w:color w:val="FF0000"/>
          <w:szCs w:val="32"/>
        </w:rPr>
        <w:t>，</w:t>
      </w:r>
      <w:r>
        <w:rPr>
          <w:rFonts w:hint="eastAsia" w:ascii="仿宋" w:hAnsi="仿宋" w:eastAsia="仿宋" w:cs="仿宋"/>
          <w:color w:val="000000" w:themeColor="text1"/>
          <w:szCs w:val="32"/>
          <w14:textFill>
            <w14:solidFill>
              <w14:schemeClr w14:val="tx1"/>
            </w14:solidFill>
          </w14:textFill>
        </w:rPr>
        <w:t>市市场监督管理局（知识产权局）不承担任何形式的责任。</w:t>
      </w:r>
    </w:p>
    <w:p>
      <w:pPr>
        <w:pageBreakBefore w:val="0"/>
        <w:kinsoku/>
        <w:wordWrap/>
        <w:overflowPunct/>
        <w:topLinePunct w:val="0"/>
        <w:autoSpaceDE/>
        <w:autoSpaceDN/>
        <w:bidi w:val="0"/>
        <w:spacing w:line="600" w:lineRule="exact"/>
        <w:ind w:firstLine="640"/>
        <w:textAlignment w:val="auto"/>
        <w:rPr>
          <w:rFonts w:ascii="仿宋" w:hAnsi="仿宋" w:eastAsia="仿宋" w:cs="仿宋"/>
          <w:b/>
          <w:bCs/>
          <w:color w:val="000000" w:themeColor="text1"/>
          <w:szCs w:val="32"/>
          <w14:textFill>
            <w14:solidFill>
              <w14:schemeClr w14:val="tx1"/>
            </w14:solidFill>
          </w14:textFill>
        </w:rPr>
      </w:pPr>
    </w:p>
    <w:p>
      <w:pPr>
        <w:pageBreakBefore w:val="0"/>
        <w:kinsoku/>
        <w:wordWrap/>
        <w:overflowPunct/>
        <w:topLinePunct w:val="0"/>
        <w:autoSpaceDE/>
        <w:autoSpaceDN/>
        <w:bidi w:val="0"/>
        <w:spacing w:line="600" w:lineRule="exact"/>
        <w:ind w:firstLine="640"/>
        <w:jc w:val="center"/>
        <w:textAlignment w:val="auto"/>
        <w:rPr>
          <w:rFonts w:ascii="黑体" w:hAnsi="黑体" w:eastAsia="黑体" w:cs="黑体"/>
          <w:b/>
          <w:bCs/>
          <w:color w:val="000000" w:themeColor="text1"/>
          <w:szCs w:val="32"/>
          <w14:textFill>
            <w14:solidFill>
              <w14:schemeClr w14:val="tx1"/>
            </w14:solidFill>
          </w14:textFill>
        </w:rPr>
      </w:pPr>
      <w:r>
        <w:rPr>
          <w:rFonts w:hint="eastAsia" w:ascii="黑体" w:hAnsi="黑体" w:eastAsia="黑体" w:cs="黑体"/>
          <w:b/>
          <w:bCs/>
          <w:color w:val="000000" w:themeColor="text1"/>
          <w:szCs w:val="32"/>
          <w14:textFill>
            <w14:solidFill>
              <w14:schemeClr w14:val="tx1"/>
            </w14:solidFill>
          </w14:textFill>
        </w:rPr>
        <w:t>第五章  基金的管理与业务办理</w:t>
      </w:r>
    </w:p>
    <w:p>
      <w:pPr>
        <w:pageBreakBefore w:val="0"/>
        <w:kinsoku/>
        <w:wordWrap/>
        <w:overflowPunct/>
        <w:topLinePunct w:val="0"/>
        <w:autoSpaceDE/>
        <w:autoSpaceDN/>
        <w:bidi w:val="0"/>
        <w:spacing w:line="60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b/>
          <w:bCs/>
          <w:color w:val="000000" w:themeColor="text1"/>
          <w:szCs w:val="32"/>
          <w14:textFill>
            <w14:solidFill>
              <w14:schemeClr w14:val="tx1"/>
            </w14:solidFill>
          </w14:textFill>
        </w:rPr>
        <w:t>第十七条</w:t>
      </w:r>
      <w:r>
        <w:rPr>
          <w:rFonts w:hint="eastAsia" w:ascii="仿宋" w:hAnsi="仿宋" w:eastAsia="仿宋" w:cs="仿宋"/>
          <w:color w:val="000000" w:themeColor="text1"/>
          <w:szCs w:val="32"/>
          <w14:textFill>
            <w14:solidFill>
              <w14:schemeClr w14:val="tx1"/>
            </w14:solidFill>
          </w14:textFill>
        </w:rPr>
        <w:t xml:space="preserve">  风险补偿资金存放于信保基金专户，实行专户管理、专账核算、专项使用，不得用于任何形式的投资、支用、垫付。</w:t>
      </w:r>
    </w:p>
    <w:p>
      <w:pPr>
        <w:pageBreakBefore w:val="0"/>
        <w:kinsoku/>
        <w:wordWrap/>
        <w:overflowPunct/>
        <w:topLinePunct w:val="0"/>
        <w:autoSpaceDE/>
        <w:autoSpaceDN/>
        <w:bidi w:val="0"/>
        <w:spacing w:line="60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b/>
          <w:bCs/>
          <w:color w:val="000000" w:themeColor="text1"/>
          <w:szCs w:val="32"/>
          <w14:textFill>
            <w14:solidFill>
              <w14:schemeClr w14:val="tx1"/>
            </w14:solidFill>
          </w14:textFill>
        </w:rPr>
        <w:t xml:space="preserve">第十八条  </w:t>
      </w:r>
      <w:r>
        <w:rPr>
          <w:rFonts w:hint="eastAsia" w:ascii="仿宋" w:hAnsi="仿宋" w:eastAsia="仿宋" w:cs="仿宋"/>
          <w:color w:val="000000" w:themeColor="text1"/>
          <w:szCs w:val="32"/>
          <w14:textFill>
            <w14:solidFill>
              <w14:schemeClr w14:val="tx1"/>
            </w14:solidFill>
          </w14:textFill>
        </w:rPr>
        <w:t>风险补偿基金合作金融机构的整改。当风险补偿</w:t>
      </w:r>
      <w:r>
        <w:rPr>
          <w:rFonts w:ascii="仿宋" w:hAnsi="仿宋" w:eastAsia="仿宋" w:cs="仿宋"/>
          <w:color w:val="000000" w:themeColor="text1"/>
          <w:szCs w:val="32"/>
          <w14:textFill>
            <w14:solidFill>
              <w14:schemeClr w14:val="tx1"/>
            </w14:solidFill>
          </w14:textFill>
        </w:rPr>
        <w:t>基金</w:t>
      </w:r>
      <w:r>
        <w:rPr>
          <w:rFonts w:hint="eastAsia" w:ascii="仿宋" w:hAnsi="仿宋" w:eastAsia="仿宋" w:cs="仿宋"/>
          <w:color w:val="000000" w:themeColor="text1"/>
          <w:szCs w:val="32"/>
          <w14:textFill>
            <w14:solidFill>
              <w14:schemeClr w14:val="tx1"/>
            </w14:solidFill>
          </w14:textFill>
        </w:rPr>
        <w:t>赔付金额达到总资金的</w:t>
      </w:r>
      <w:r>
        <w:rPr>
          <w:rFonts w:hint="eastAsia" w:ascii="仿宋" w:hAnsi="仿宋" w:eastAsia="仿宋" w:cs="仿宋"/>
          <w:b/>
          <w:bCs/>
          <w:color w:val="000000" w:themeColor="text1"/>
          <w:szCs w:val="32"/>
          <w14:textFill>
            <w14:solidFill>
              <w14:schemeClr w14:val="tx1"/>
            </w14:solidFill>
          </w14:textFill>
        </w:rPr>
        <w:t>50%</w:t>
      </w:r>
      <w:r>
        <w:rPr>
          <w:rFonts w:hint="eastAsia" w:ascii="仿宋" w:hAnsi="仿宋" w:eastAsia="仿宋" w:cs="仿宋"/>
          <w:color w:val="000000" w:themeColor="text1"/>
          <w:szCs w:val="32"/>
          <w14:textFill>
            <w14:solidFill>
              <w14:schemeClr w14:val="tx1"/>
            </w14:solidFill>
          </w14:textFill>
        </w:rPr>
        <w:t>时,信保基金全面暂停审批新的知识产权质押融资业务，合作金融机构进行整改。</w:t>
      </w:r>
    </w:p>
    <w:p>
      <w:pPr>
        <w:pageBreakBefore w:val="0"/>
        <w:kinsoku/>
        <w:wordWrap/>
        <w:overflowPunct/>
        <w:topLinePunct w:val="0"/>
        <w:autoSpaceDE/>
        <w:autoSpaceDN/>
        <w:bidi w:val="0"/>
        <w:spacing w:line="60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b/>
          <w:bCs/>
          <w:color w:val="000000" w:themeColor="text1"/>
          <w:szCs w:val="32"/>
          <w14:textFill>
            <w14:solidFill>
              <w14:schemeClr w14:val="tx1"/>
            </w14:solidFill>
          </w14:textFill>
        </w:rPr>
        <w:t>第十九条</w:t>
      </w:r>
      <w:r>
        <w:rPr>
          <w:rFonts w:hint="eastAsia" w:ascii="仿宋" w:hAnsi="仿宋" w:eastAsia="仿宋" w:cs="仿宋"/>
          <w:color w:val="000000" w:themeColor="text1"/>
          <w:szCs w:val="32"/>
          <w14:textFill>
            <w14:solidFill>
              <w14:schemeClr w14:val="tx1"/>
            </w14:solidFill>
          </w14:textFill>
        </w:rPr>
        <w:t xml:space="preserve">  知识产权质押贷款申办程序：</w:t>
      </w:r>
    </w:p>
    <w:p>
      <w:pPr>
        <w:pageBreakBefore w:val="0"/>
        <w:kinsoku/>
        <w:wordWrap/>
        <w:overflowPunct/>
        <w:topLinePunct w:val="0"/>
        <w:autoSpaceDE/>
        <w:autoSpaceDN/>
        <w:bidi w:val="0"/>
        <w:spacing w:line="600" w:lineRule="exact"/>
        <w:ind w:firstLine="640" w:firstLineChars="200"/>
        <w:textAlignment w:val="auto"/>
        <w:rPr>
          <w:rFonts w:ascii="仿宋" w:hAnsi="仿宋" w:eastAsia="仿宋" w:cs="仿宋"/>
          <w:color w:val="000000" w:themeColor="text1"/>
          <w:szCs w:val="32"/>
          <w14:textFill>
            <w14:solidFill>
              <w14:schemeClr w14:val="tx1"/>
            </w14:solidFill>
          </w14:textFill>
        </w:rPr>
      </w:pPr>
      <w:r>
        <w:rPr>
          <w:rFonts w:hint="eastAsia"/>
          <w:color w:val="000000" w:themeColor="text1"/>
          <w14:textFill>
            <w14:solidFill>
              <w14:schemeClr w14:val="tx1"/>
            </w14:solidFill>
          </w14:textFill>
        </w:rPr>
        <w:t>（一）企业申请。</w:t>
      </w:r>
      <w:r>
        <w:rPr>
          <w:rFonts w:hint="eastAsia"/>
          <w:b w:val="0"/>
          <w:bCs w:val="0"/>
          <w:color w:val="000000" w:themeColor="text1"/>
          <w14:textFill>
            <w14:solidFill>
              <w14:schemeClr w14:val="tx1"/>
            </w14:solidFill>
          </w14:textFill>
        </w:rPr>
        <w:t>市市场监督管理局（知识产权局）</w:t>
      </w:r>
      <w:r>
        <w:rPr>
          <w:rFonts w:hint="eastAsia" w:ascii="仿宋" w:hAnsi="仿宋" w:eastAsia="仿宋" w:cs="仿宋"/>
          <w:b w:val="0"/>
          <w:bCs w:val="0"/>
          <w:color w:val="000000" w:themeColor="text1"/>
          <w:szCs w:val="32"/>
          <w14:textFill>
            <w14:solidFill>
              <w14:schemeClr w14:val="tx1"/>
            </w14:solidFill>
          </w14:textFill>
        </w:rPr>
        <w:t>常年受理企业知识产权质押融资风险补偿项目申请</w:t>
      </w:r>
      <w:r>
        <w:rPr>
          <w:rFonts w:hint="eastAsia" w:ascii="仿宋" w:hAnsi="仿宋" w:eastAsia="仿宋" w:cs="仿宋"/>
          <w:color w:val="000000" w:themeColor="text1"/>
          <w:szCs w:val="32"/>
          <w14:textFill>
            <w14:solidFill>
              <w14:schemeClr w14:val="tx1"/>
            </w14:solidFill>
          </w14:textFill>
        </w:rPr>
        <w:t>，申报单位须与市市场监督管理局（知识产权局）签订承诺书。对提供知识产权质押登记的专利权、商标权、地理标志的真实性、合法性、完整性负责。</w:t>
      </w:r>
    </w:p>
    <w:p>
      <w:pPr>
        <w:pageBreakBefore w:val="0"/>
        <w:kinsoku/>
        <w:wordWrap/>
        <w:overflowPunct/>
        <w:topLinePunct w:val="0"/>
        <w:autoSpaceDE/>
        <w:autoSpaceDN/>
        <w:bidi w:val="0"/>
        <w:spacing w:line="600" w:lineRule="exact"/>
        <w:ind w:firstLine="640" w:firstLineChars="20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（二）</w:t>
      </w:r>
      <w:r>
        <w:rPr>
          <w:rFonts w:hint="eastAsia" w:ascii="仿宋" w:hAnsi="仿宋" w:eastAsia="仿宋" w:cs="仿宋"/>
          <w:b w:val="0"/>
          <w:bCs w:val="0"/>
          <w:color w:val="000000" w:themeColor="text1"/>
          <w:szCs w:val="32"/>
          <w14:textFill>
            <w14:solidFill>
              <w14:schemeClr w14:val="tx1"/>
            </w14:solidFill>
          </w14:textFill>
        </w:rPr>
        <w:t>企业需申请贷款的，应按要求向信保基金合作金融机构或资金管理人提交贷款资料</w:t>
      </w:r>
      <w:r>
        <w:rPr>
          <w:rFonts w:hint="eastAsia" w:ascii="仿宋" w:hAnsi="仿宋" w:eastAsia="仿宋" w:cs="仿宋"/>
          <w:b/>
          <w:bCs/>
          <w:color w:val="000000" w:themeColor="text1"/>
          <w:szCs w:val="32"/>
          <w14:textFill>
            <w14:solidFill>
              <w14:schemeClr w14:val="tx1"/>
            </w14:solidFill>
          </w14:textFill>
        </w:rPr>
        <w:t>。</w:t>
      </w:r>
    </w:p>
    <w:p>
      <w:pPr>
        <w:pageBreakBefore w:val="0"/>
        <w:kinsoku/>
        <w:wordWrap/>
        <w:overflowPunct/>
        <w:topLinePunct w:val="0"/>
        <w:autoSpaceDE/>
        <w:autoSpaceDN/>
        <w:bidi w:val="0"/>
        <w:spacing w:line="600" w:lineRule="exact"/>
        <w:ind w:left="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（三）信保基金合作金融机构或资金管理人对申请企业开</w:t>
      </w:r>
    </w:p>
    <w:p>
      <w:pPr>
        <w:pageBreakBefore w:val="0"/>
        <w:kinsoku/>
        <w:wordWrap/>
        <w:overflowPunct/>
        <w:topLinePunct w:val="0"/>
        <w:autoSpaceDE/>
        <w:autoSpaceDN/>
        <w:bidi w:val="0"/>
        <w:spacing w:line="600" w:lineRule="exact"/>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展尽调，符合贷款条件的，原则上</w:t>
      </w:r>
      <w:r>
        <w:rPr>
          <w:rFonts w:ascii="仿宋" w:hAnsi="仿宋" w:eastAsia="仿宋" w:cs="仿宋"/>
          <w:b/>
          <w:bCs/>
          <w:color w:val="000000" w:themeColor="text1"/>
          <w:szCs w:val="32"/>
          <w14:textFill>
            <w14:solidFill>
              <w14:schemeClr w14:val="tx1"/>
            </w14:solidFill>
          </w14:textFill>
        </w:rPr>
        <w:t>15</w:t>
      </w:r>
      <w:r>
        <w:rPr>
          <w:rFonts w:hint="eastAsia" w:ascii="仿宋" w:hAnsi="仿宋" w:eastAsia="仿宋" w:cs="仿宋"/>
          <w:color w:val="000000" w:themeColor="text1"/>
          <w:szCs w:val="32"/>
          <w14:textFill>
            <w14:solidFill>
              <w14:schemeClr w14:val="tx1"/>
            </w14:solidFill>
          </w14:textFill>
        </w:rPr>
        <w:t>个工作日内完成贷款尽调、贷款审批、贷款发放。</w:t>
      </w:r>
    </w:p>
    <w:p>
      <w:pPr>
        <w:pageBreakBefore w:val="0"/>
        <w:kinsoku/>
        <w:wordWrap/>
        <w:overflowPunct/>
        <w:topLinePunct w:val="0"/>
        <w:autoSpaceDE/>
        <w:autoSpaceDN/>
        <w:bidi w:val="0"/>
        <w:spacing w:line="600" w:lineRule="exact"/>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（四）资金管理人对已获知识产权质押贷款企业材料（包括担保服务协议或贷款合同、专利或商标质押合同、专利权质押登记通知书）等在放款后5个工作日内报备市市场监督管理局（知识产权局）。</w:t>
      </w:r>
    </w:p>
    <w:p>
      <w:pPr>
        <w:pageBreakBefore w:val="0"/>
        <w:kinsoku/>
        <w:wordWrap/>
        <w:overflowPunct/>
        <w:topLinePunct w:val="0"/>
        <w:autoSpaceDE/>
        <w:autoSpaceDN/>
        <w:bidi w:val="0"/>
        <w:spacing w:line="60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b/>
          <w:bCs/>
          <w:color w:val="000000" w:themeColor="text1"/>
          <w:szCs w:val="32"/>
          <w14:textFill>
            <w14:solidFill>
              <w14:schemeClr w14:val="tx1"/>
            </w14:solidFill>
          </w14:textFill>
        </w:rPr>
        <w:t>第二十条</w:t>
      </w:r>
      <w:r>
        <w:rPr>
          <w:rFonts w:hint="eastAsia" w:ascii="仿宋" w:hAnsi="仿宋" w:eastAsia="仿宋" w:cs="仿宋"/>
          <w:color w:val="000000" w:themeColor="text1"/>
          <w:szCs w:val="32"/>
          <w14:textFill>
            <w14:solidFill>
              <w14:schemeClr w14:val="tx1"/>
            </w14:solidFill>
          </w14:textFill>
        </w:rPr>
        <w:t xml:space="preserve">  贷款企业应遵照合同规定，保证贷款使用符合要求，按期还本付息。</w:t>
      </w:r>
    </w:p>
    <w:p>
      <w:pPr>
        <w:pageBreakBefore w:val="0"/>
        <w:kinsoku/>
        <w:wordWrap/>
        <w:overflowPunct/>
        <w:topLinePunct w:val="0"/>
        <w:autoSpaceDE/>
        <w:autoSpaceDN/>
        <w:bidi w:val="0"/>
        <w:spacing w:line="600" w:lineRule="exact"/>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w:t>
      </w:r>
    </w:p>
    <w:p>
      <w:pPr>
        <w:pageBreakBefore w:val="0"/>
        <w:kinsoku/>
        <w:wordWrap/>
        <w:overflowPunct/>
        <w:topLinePunct w:val="0"/>
        <w:autoSpaceDE/>
        <w:autoSpaceDN/>
        <w:bidi w:val="0"/>
        <w:spacing w:line="600" w:lineRule="exact"/>
        <w:ind w:firstLine="640" w:firstLineChars="200"/>
        <w:jc w:val="center"/>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第六章  风险预警、补偿与核销管理</w:t>
      </w:r>
    </w:p>
    <w:p>
      <w:pPr>
        <w:pageBreakBefore w:val="0"/>
        <w:kinsoku/>
        <w:wordWrap/>
        <w:overflowPunct/>
        <w:topLinePunct w:val="0"/>
        <w:autoSpaceDE/>
        <w:autoSpaceDN/>
        <w:bidi w:val="0"/>
        <w:spacing w:line="60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b/>
          <w:bCs/>
          <w:color w:val="000000" w:themeColor="text1"/>
          <w:szCs w:val="32"/>
          <w14:textFill>
            <w14:solidFill>
              <w14:schemeClr w14:val="tx1"/>
            </w14:solidFill>
          </w14:textFill>
        </w:rPr>
        <w:t>第二十</w:t>
      </w:r>
      <w:r>
        <w:rPr>
          <w:rFonts w:ascii="仿宋" w:hAnsi="仿宋" w:eastAsia="仿宋" w:cs="仿宋"/>
          <w:b/>
          <w:bCs/>
          <w:color w:val="000000" w:themeColor="text1"/>
          <w:szCs w:val="32"/>
          <w14:textFill>
            <w14:solidFill>
              <w14:schemeClr w14:val="tx1"/>
            </w14:solidFill>
          </w14:textFill>
        </w:rPr>
        <w:t>一</w:t>
      </w:r>
      <w:r>
        <w:rPr>
          <w:rFonts w:hint="eastAsia" w:ascii="仿宋" w:hAnsi="仿宋" w:eastAsia="仿宋" w:cs="仿宋"/>
          <w:b/>
          <w:bCs/>
          <w:color w:val="000000" w:themeColor="text1"/>
          <w:szCs w:val="32"/>
          <w14:textFill>
            <w14:solidFill>
              <w14:schemeClr w14:val="tx1"/>
            </w14:solidFill>
          </w14:textFill>
        </w:rPr>
        <w:t>条</w:t>
      </w:r>
      <w:r>
        <w:rPr>
          <w:rFonts w:hint="eastAsia" w:ascii="仿宋" w:hAnsi="仿宋" w:eastAsia="仿宋" w:cs="仿宋"/>
          <w:color w:val="000000" w:themeColor="text1"/>
          <w:szCs w:val="32"/>
          <w14:textFill>
            <w14:solidFill>
              <w14:schemeClr w14:val="tx1"/>
            </w14:solidFill>
          </w14:textFill>
        </w:rPr>
        <w:t xml:space="preserve">  若出现企业不能按期还本付息的，或尚未发生实质逾期但出现经营情况严重恶化，或存在其他重大不利影响预计无法到期偿还贷款本息的，合作金融机构应及时通知资金管理人，双方共同核实借款企业还贷能力，采取终止贷款合同、提前收回贷款等处置措施。</w:t>
      </w:r>
    </w:p>
    <w:p>
      <w:pPr>
        <w:pageBreakBefore w:val="0"/>
        <w:kinsoku/>
        <w:wordWrap/>
        <w:overflowPunct/>
        <w:topLinePunct w:val="0"/>
        <w:autoSpaceDE/>
        <w:autoSpaceDN/>
        <w:bidi w:val="0"/>
        <w:spacing w:line="600" w:lineRule="exact"/>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b/>
          <w:bCs/>
          <w:color w:val="000000" w:themeColor="text1"/>
          <w:szCs w:val="32"/>
          <w14:textFill>
            <w14:solidFill>
              <w14:schemeClr w14:val="tx1"/>
            </w14:solidFill>
          </w14:textFill>
        </w:rPr>
        <w:t>第二十二条</w:t>
      </w:r>
      <w:r>
        <w:rPr>
          <w:rFonts w:hint="eastAsia" w:ascii="仿宋" w:hAnsi="仿宋" w:eastAsia="仿宋" w:cs="仿宋"/>
          <w:color w:val="000000" w:themeColor="text1"/>
          <w:szCs w:val="32"/>
          <w14:textFill>
            <w14:solidFill>
              <w14:schemeClr w14:val="tx1"/>
            </w14:solidFill>
          </w14:textFill>
        </w:rPr>
        <w:t xml:space="preserve">  贷款逾期达到</w:t>
      </w:r>
      <w:r>
        <w:rPr>
          <w:rFonts w:hint="eastAsia" w:ascii="仿宋" w:hAnsi="仿宋" w:eastAsia="仿宋" w:cs="仿宋"/>
          <w:b/>
          <w:bCs/>
          <w:color w:val="000000" w:themeColor="text1"/>
          <w:szCs w:val="32"/>
          <w14:textFill>
            <w14:solidFill>
              <w14:schemeClr w14:val="tx1"/>
            </w14:solidFill>
          </w14:textFill>
        </w:rPr>
        <w:t>30</w:t>
      </w:r>
      <w:r>
        <w:rPr>
          <w:rFonts w:hint="eastAsia" w:ascii="仿宋" w:hAnsi="仿宋" w:eastAsia="仿宋" w:cs="仿宋"/>
          <w:color w:val="000000" w:themeColor="text1"/>
          <w:szCs w:val="32"/>
          <w14:textFill>
            <w14:solidFill>
              <w14:schemeClr w14:val="tx1"/>
            </w14:solidFill>
          </w14:textFill>
        </w:rPr>
        <w:t>天的，合作金融机构根据合作协议向资金管理人发出代偿申请，信保基金按风险分担比例承担的代偿赔付金额，需经信保基金项目审核委员会审核，并由资金管理人报送信保基金管理委员会或其授权机构审批后，由资金管理人从信保基金专用账户支付给合作金融机构。代偿赔付后，资金管理人及合作金融机构分别对代偿项目进行追偿，追偿回收款在扣除合理追偿费用后，按代偿比例分配。</w:t>
      </w:r>
    </w:p>
    <w:p>
      <w:pPr>
        <w:pageBreakBefore w:val="0"/>
        <w:kinsoku/>
        <w:wordWrap/>
        <w:overflowPunct/>
        <w:topLinePunct w:val="0"/>
        <w:autoSpaceDE/>
        <w:autoSpaceDN/>
        <w:bidi w:val="0"/>
        <w:spacing w:line="60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b/>
          <w:color w:val="000000" w:themeColor="text1"/>
          <w:szCs w:val="32"/>
          <w14:textFill>
            <w14:solidFill>
              <w14:schemeClr w14:val="tx1"/>
            </w14:solidFill>
          </w14:textFill>
        </w:rPr>
        <w:t>第二十三条</w:t>
      </w:r>
      <w:r>
        <w:rPr>
          <w:rFonts w:hint="eastAsia" w:ascii="仿宋" w:hAnsi="仿宋" w:eastAsia="仿宋" w:cs="仿宋"/>
          <w:color w:val="000000" w:themeColor="text1"/>
          <w:szCs w:val="32"/>
          <w14:textFill>
            <w14:solidFill>
              <w14:schemeClr w14:val="tx1"/>
            </w14:solidFill>
          </w14:textFill>
        </w:rPr>
        <w:t xml:space="preserve">  由资金管理人负责制定信保基金代偿追偿管理办法并报信保基金管理委员会或其授权机构同意后，风险补偿基金</w:t>
      </w:r>
      <w:r>
        <w:rPr>
          <w:rFonts w:hint="eastAsia" w:ascii="仿宋" w:hAnsi="仿宋" w:eastAsia="仿宋" w:cs="仿宋"/>
          <w:color w:val="000000" w:themeColor="text1"/>
          <w:szCs w:val="32"/>
          <w:lang w:val="en-US" w:eastAsia="zh-CN"/>
          <w14:textFill>
            <w14:solidFill>
              <w14:schemeClr w14:val="tx1"/>
            </w14:solidFill>
          </w14:textFill>
        </w:rPr>
        <w:t>分</w:t>
      </w:r>
      <w:r>
        <w:rPr>
          <w:rFonts w:hint="eastAsia" w:ascii="仿宋" w:hAnsi="仿宋" w:eastAsia="仿宋" w:cs="仿宋"/>
          <w:color w:val="000000" w:themeColor="text1"/>
          <w:szCs w:val="32"/>
          <w14:textFill>
            <w14:solidFill>
              <w14:schemeClr w14:val="tx1"/>
            </w14:solidFill>
          </w14:textFill>
        </w:rPr>
        <w:t>险的代偿金额损失处理按照相关规定执行。</w:t>
      </w:r>
    </w:p>
    <w:p>
      <w:pPr>
        <w:pageBreakBefore w:val="0"/>
        <w:kinsoku/>
        <w:wordWrap/>
        <w:overflowPunct/>
        <w:topLinePunct w:val="0"/>
        <w:autoSpaceDE/>
        <w:autoSpaceDN/>
        <w:bidi w:val="0"/>
        <w:adjustRightInd w:val="0"/>
        <w:snapToGrid w:val="0"/>
        <w:spacing w:line="600" w:lineRule="exact"/>
        <w:ind w:firstLine="660"/>
        <w:textAlignment w:val="auto"/>
        <w:rPr>
          <w:rFonts w:ascii="仿宋" w:hAnsi="仿宋" w:eastAsia="仿宋" w:cs="仿宋"/>
          <w:color w:val="000000" w:themeColor="text1"/>
          <w:szCs w:val="32"/>
          <w14:textFill>
            <w14:solidFill>
              <w14:schemeClr w14:val="tx1"/>
            </w14:solidFill>
          </w14:textFill>
        </w:rPr>
      </w:pPr>
    </w:p>
    <w:p>
      <w:pPr>
        <w:pageBreakBefore w:val="0"/>
        <w:kinsoku/>
        <w:wordWrap/>
        <w:overflowPunct/>
        <w:topLinePunct w:val="0"/>
        <w:autoSpaceDE/>
        <w:autoSpaceDN/>
        <w:bidi w:val="0"/>
        <w:adjustRightInd w:val="0"/>
        <w:snapToGrid w:val="0"/>
        <w:spacing w:line="600" w:lineRule="exact"/>
        <w:ind w:left="640"/>
        <w:jc w:val="center"/>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第七章  监督管理</w:t>
      </w:r>
    </w:p>
    <w:p>
      <w:pPr>
        <w:pageBreakBefore w:val="0"/>
        <w:kinsoku/>
        <w:wordWrap/>
        <w:overflowPunct/>
        <w:topLinePunct w:val="0"/>
        <w:autoSpaceDE/>
        <w:autoSpaceDN/>
        <w:bidi w:val="0"/>
        <w:adjustRightInd w:val="0"/>
        <w:snapToGrid w:val="0"/>
        <w:spacing w:line="60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b/>
          <w:bCs/>
          <w:color w:val="000000" w:themeColor="text1"/>
          <w:szCs w:val="32"/>
          <w14:textFill>
            <w14:solidFill>
              <w14:schemeClr w14:val="tx1"/>
            </w14:solidFill>
          </w14:textFill>
        </w:rPr>
        <w:t>第二十四条</w:t>
      </w:r>
      <w:r>
        <w:rPr>
          <w:rFonts w:hint="eastAsia" w:ascii="仿宋" w:hAnsi="仿宋" w:eastAsia="仿宋" w:cs="仿宋"/>
          <w:color w:val="000000" w:themeColor="text1"/>
          <w:szCs w:val="32"/>
          <w14:textFill>
            <w14:solidFill>
              <w14:schemeClr w14:val="tx1"/>
            </w14:solidFill>
          </w14:textFill>
        </w:rPr>
        <w:t xml:space="preserve">  风险补偿基金必须专款专用，禁止任何部门和单位截留、挪用。信保基金管理委员会可以委托会计师事务所或其他第三方机构对风险补偿基金使用进行审查。</w:t>
      </w:r>
    </w:p>
    <w:p>
      <w:pPr>
        <w:pageBreakBefore w:val="0"/>
        <w:kinsoku/>
        <w:wordWrap/>
        <w:overflowPunct/>
        <w:topLinePunct w:val="0"/>
        <w:autoSpaceDE/>
        <w:autoSpaceDN/>
        <w:bidi w:val="0"/>
        <w:adjustRightInd w:val="0"/>
        <w:snapToGrid w:val="0"/>
        <w:spacing w:line="60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如发现资金管理人有擅自挪用基金的情况，有权取消其基金管理机构资格并追责，并且要求资金管理人赔偿相关的经济损失。构成犯罪的，依法移交司法机关处理。</w:t>
      </w:r>
    </w:p>
    <w:p>
      <w:pPr>
        <w:pageBreakBefore w:val="0"/>
        <w:kinsoku/>
        <w:wordWrap/>
        <w:overflowPunct/>
        <w:topLinePunct w:val="0"/>
        <w:autoSpaceDE/>
        <w:autoSpaceDN/>
        <w:bidi w:val="0"/>
        <w:adjustRightInd w:val="0"/>
        <w:snapToGrid w:val="0"/>
        <w:spacing w:line="60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b/>
          <w:bCs/>
          <w:color w:val="000000" w:themeColor="text1"/>
          <w:szCs w:val="32"/>
          <w14:textFill>
            <w14:solidFill>
              <w14:schemeClr w14:val="tx1"/>
            </w14:solidFill>
          </w14:textFill>
        </w:rPr>
        <w:t xml:space="preserve">第二十五条  </w:t>
      </w:r>
      <w:r>
        <w:rPr>
          <w:rFonts w:hint="eastAsia" w:ascii="仿宋" w:hAnsi="仿宋" w:eastAsia="仿宋" w:cs="仿宋"/>
          <w:color w:val="000000" w:themeColor="text1"/>
          <w:szCs w:val="32"/>
          <w14:textFill>
            <w14:solidFill>
              <w14:schemeClr w14:val="tx1"/>
            </w14:solidFill>
          </w14:textFill>
        </w:rPr>
        <w:t>资金管理人、合作金融机构等各单位应建立信息沟通机制。资金管理人每年度以书面形式向汕尾市市场监督管理局（知识产权局）报送知识产权质押融资贷款业务开展情况。当合作任何一方获知贷款企业出现可能违约等异常情况时，应尽快互相告知，并采取制止、挽救措施以控制风险。</w:t>
      </w:r>
    </w:p>
    <w:p>
      <w:pPr>
        <w:pageBreakBefore w:val="0"/>
        <w:kinsoku/>
        <w:wordWrap/>
        <w:overflowPunct/>
        <w:topLinePunct w:val="0"/>
        <w:autoSpaceDE/>
        <w:autoSpaceDN/>
        <w:bidi w:val="0"/>
        <w:adjustRightInd w:val="0"/>
        <w:snapToGrid w:val="0"/>
        <w:spacing w:line="60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b/>
          <w:bCs/>
          <w:color w:val="000000" w:themeColor="text1"/>
          <w:szCs w:val="32"/>
          <w14:textFill>
            <w14:solidFill>
              <w14:schemeClr w14:val="tx1"/>
            </w14:solidFill>
          </w14:textFill>
        </w:rPr>
        <w:t xml:space="preserve">第二十六条  </w:t>
      </w:r>
      <w:r>
        <w:rPr>
          <w:rFonts w:hint="eastAsia" w:ascii="仿宋" w:hAnsi="仿宋" w:eastAsia="仿宋" w:cs="仿宋"/>
          <w:color w:val="000000" w:themeColor="text1"/>
          <w:szCs w:val="32"/>
          <w14:textFill>
            <w14:solidFill>
              <w14:schemeClr w14:val="tx1"/>
            </w14:solidFill>
          </w14:textFill>
        </w:rPr>
        <w:t>资金管理人和合作金融机构负责完善知识产权质押融资贷款的贷前审核和贷后管理制度。对恶意逃废债务导致贷款损失和风险补偿基金损失的贷款企业，资金管理人根据实际情况通报市市场监督管理局（知识产权局）；涉嫌犯罪的，依法追究法律责任。</w:t>
      </w:r>
    </w:p>
    <w:p>
      <w:pPr>
        <w:pageBreakBefore w:val="0"/>
        <w:kinsoku/>
        <w:wordWrap/>
        <w:overflowPunct/>
        <w:topLinePunct w:val="0"/>
        <w:autoSpaceDE/>
        <w:autoSpaceDN/>
        <w:bidi w:val="0"/>
        <w:adjustRightInd w:val="0"/>
        <w:snapToGrid w:val="0"/>
        <w:spacing w:line="600" w:lineRule="exact"/>
        <w:ind w:firstLine="64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b/>
          <w:bCs/>
          <w:color w:val="000000" w:themeColor="text1"/>
          <w:szCs w:val="32"/>
          <w14:textFill>
            <w14:solidFill>
              <w14:schemeClr w14:val="tx1"/>
            </w14:solidFill>
          </w14:textFill>
        </w:rPr>
        <w:t>第二十七条</w:t>
      </w:r>
      <w:r>
        <w:rPr>
          <w:rFonts w:hint="eastAsia"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b/>
          <w:bCs/>
          <w:color w:val="FF0000"/>
          <w:szCs w:val="32"/>
        </w:rPr>
        <w:t>发生代偿贷款</w:t>
      </w:r>
      <w:r>
        <w:rPr>
          <w:rFonts w:hint="eastAsia" w:ascii="仿宋" w:hAnsi="仿宋" w:eastAsia="仿宋" w:cs="仿宋"/>
          <w:b/>
          <w:bCs/>
          <w:color w:val="FF0000"/>
          <w:szCs w:val="32"/>
          <w:lang w:val="en-US" w:eastAsia="zh-CN"/>
        </w:rPr>
        <w:t>或恶意拖欠贷款的企业5年内不能申请各级各类知识产权项目</w:t>
      </w:r>
      <w:r>
        <w:rPr>
          <w:rFonts w:hint="eastAsia" w:ascii="仿宋" w:hAnsi="仿宋" w:eastAsia="仿宋" w:cs="仿宋"/>
          <w:b/>
          <w:bCs/>
          <w:color w:val="FF0000"/>
          <w:szCs w:val="32"/>
        </w:rPr>
        <w:t>。</w:t>
      </w:r>
      <w:r>
        <w:rPr>
          <w:rFonts w:hint="eastAsia" w:ascii="仿宋" w:hAnsi="仿宋" w:eastAsia="仿宋" w:cs="仿宋"/>
          <w:color w:val="000000" w:themeColor="text1"/>
          <w:szCs w:val="32"/>
          <w14:textFill>
            <w14:solidFill>
              <w14:schemeClr w14:val="tx1"/>
            </w14:solidFill>
          </w14:textFill>
        </w:rPr>
        <w:t>合作金融机构根据有关规定报送相关主体的征信信息，并按合同约定进行法律诉讼。</w:t>
      </w:r>
    </w:p>
    <w:p>
      <w:pPr>
        <w:pageBreakBefore w:val="0"/>
        <w:kinsoku/>
        <w:wordWrap/>
        <w:overflowPunct/>
        <w:topLinePunct w:val="0"/>
        <w:autoSpaceDE/>
        <w:autoSpaceDN/>
        <w:bidi w:val="0"/>
        <w:adjustRightInd w:val="0"/>
        <w:snapToGrid w:val="0"/>
        <w:spacing w:line="600" w:lineRule="exact"/>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b/>
          <w:bCs/>
          <w:color w:val="000000" w:themeColor="text1"/>
          <w:szCs w:val="32"/>
          <w14:textFill>
            <w14:solidFill>
              <w14:schemeClr w14:val="tx1"/>
            </w14:solidFill>
          </w14:textFill>
        </w:rPr>
        <w:t>第二十八条</w:t>
      </w:r>
      <w:r>
        <w:rPr>
          <w:rFonts w:hint="eastAsia" w:ascii="仿宋" w:hAnsi="仿宋" w:eastAsia="仿宋" w:cs="仿宋"/>
          <w:color w:val="000000" w:themeColor="text1"/>
          <w:szCs w:val="32"/>
          <w14:textFill>
            <w14:solidFill>
              <w14:schemeClr w14:val="tx1"/>
            </w14:solidFill>
          </w14:textFill>
        </w:rPr>
        <w:t xml:space="preserve">  建立宣传推广机制。各合作单位</w:t>
      </w:r>
      <w:r>
        <w:rPr>
          <w:rFonts w:ascii="仿宋" w:hAnsi="仿宋" w:eastAsia="仿宋" w:cs="仿宋"/>
          <w:color w:val="000000" w:themeColor="text1"/>
          <w:szCs w:val="32"/>
          <w14:textFill>
            <w14:solidFill>
              <w14:schemeClr w14:val="tx1"/>
            </w14:solidFill>
          </w14:textFill>
        </w:rPr>
        <w:t>须</w:t>
      </w:r>
      <w:r>
        <w:rPr>
          <w:rFonts w:hint="eastAsia" w:ascii="仿宋" w:hAnsi="仿宋" w:eastAsia="仿宋" w:cs="仿宋"/>
          <w:color w:val="000000" w:themeColor="text1"/>
          <w:szCs w:val="32"/>
          <w14:textFill>
            <w14:solidFill>
              <w14:schemeClr w14:val="tx1"/>
            </w14:solidFill>
          </w14:textFill>
        </w:rPr>
        <w:t>充分利用各种宣传渠道，积极做好宣传推广工作，扩大政策惠及面。</w:t>
      </w:r>
    </w:p>
    <w:p>
      <w:pPr>
        <w:pageBreakBefore w:val="0"/>
        <w:widowControl/>
        <w:kinsoku/>
        <w:wordWrap/>
        <w:overflowPunct/>
        <w:topLinePunct w:val="0"/>
        <w:autoSpaceDE/>
        <w:autoSpaceDN/>
        <w:bidi w:val="0"/>
        <w:spacing w:line="600" w:lineRule="exact"/>
        <w:ind w:firstLine="622" w:firstLineChars="200"/>
        <w:jc w:val="left"/>
        <w:textAlignment w:val="auto"/>
        <w:rPr>
          <w:rFonts w:ascii="仿宋" w:hAnsi="仿宋" w:eastAsia="仿宋" w:cs="仿宋"/>
          <w:b/>
          <w:color w:val="000000" w:themeColor="text1"/>
          <w:kern w:val="0"/>
          <w:sz w:val="31"/>
          <w:szCs w:val="31"/>
          <w:lang w:bidi="ar"/>
          <w14:textFill>
            <w14:solidFill>
              <w14:schemeClr w14:val="tx1"/>
            </w14:solidFill>
          </w14:textFill>
        </w:rPr>
      </w:pPr>
    </w:p>
    <w:p>
      <w:pPr>
        <w:pageBreakBefore w:val="0"/>
        <w:kinsoku/>
        <w:wordWrap/>
        <w:overflowPunct/>
        <w:topLinePunct w:val="0"/>
        <w:autoSpaceDE/>
        <w:autoSpaceDN/>
        <w:bidi w:val="0"/>
        <w:adjustRightInd w:val="0"/>
        <w:snapToGrid w:val="0"/>
        <w:spacing w:line="600" w:lineRule="exact"/>
        <w:jc w:val="center"/>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第八章  附则</w:t>
      </w:r>
    </w:p>
    <w:p>
      <w:pPr>
        <w:pageBreakBefore w:val="0"/>
        <w:kinsoku/>
        <w:wordWrap/>
        <w:overflowPunct/>
        <w:topLinePunct w:val="0"/>
        <w:autoSpaceDE/>
        <w:autoSpaceDN/>
        <w:bidi w:val="0"/>
        <w:adjustRightInd w:val="0"/>
        <w:snapToGrid w:val="0"/>
        <w:spacing w:line="600" w:lineRule="exact"/>
        <w:ind w:firstLine="643"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 xml:space="preserve">第二十九条  </w:t>
      </w:r>
      <w:r>
        <w:rPr>
          <w:rFonts w:hint="eastAsia" w:ascii="仿宋_GB2312" w:hAnsi="仿宋_GB2312" w:cs="仿宋_GB2312"/>
          <w:color w:val="000000" w:themeColor="text1"/>
          <w:szCs w:val="32"/>
          <w14:textFill>
            <w14:solidFill>
              <w14:schemeClr w14:val="tx1"/>
            </w14:solidFill>
          </w14:textFill>
        </w:rPr>
        <w:t>本细则由市市场监督管理局（知识产权局)负责制定及解释。</w:t>
      </w:r>
    </w:p>
    <w:p>
      <w:pPr>
        <w:keepNext w:val="0"/>
        <w:keepLines w:val="0"/>
        <w:pageBreakBefore w:val="0"/>
        <w:widowControl w:val="0"/>
        <w:numPr>
          <w:numId w:val="0"/>
        </w:numPr>
        <w:kinsoku/>
        <w:wordWrap/>
        <w:overflowPunct/>
        <w:topLinePunct w:val="0"/>
        <w:autoSpaceDE/>
        <w:autoSpaceDN/>
        <w:bidi w:val="0"/>
        <w:adjustRightInd/>
        <w:snapToGrid/>
        <w:spacing w:line="600" w:lineRule="exact"/>
        <w:ind w:right="-480" w:rightChars="-150" w:firstLine="643" w:firstLineChars="200"/>
        <w:jc w:val="both"/>
        <w:textAlignment w:val="auto"/>
        <w:outlineLvl w:val="9"/>
        <w:rPr>
          <w:rFonts w:hint="default" w:ascii="仿宋_GB2312" w:hAnsi="仿宋_GB2312" w:eastAsia="仿宋_GB2312" w:cs="仿宋_GB2312"/>
          <w:b w:val="0"/>
          <w:bCs w:val="0"/>
          <w:color w:val="FF0000"/>
          <w:sz w:val="32"/>
          <w:szCs w:val="32"/>
          <w:lang w:val="en-US" w:eastAsia="zh-CN"/>
        </w:rPr>
      </w:pPr>
      <w:r>
        <w:rPr>
          <w:rFonts w:hint="eastAsia" w:ascii="仿宋_GB2312" w:hAnsi="仿宋_GB2312" w:cs="仿宋_GB2312"/>
          <w:b/>
          <w:bCs/>
          <w:color w:val="000000" w:themeColor="text1"/>
          <w:szCs w:val="32"/>
          <w14:textFill>
            <w14:solidFill>
              <w14:schemeClr w14:val="tx1"/>
            </w14:solidFill>
          </w14:textFill>
        </w:rPr>
        <w:t xml:space="preserve">第三十条  </w:t>
      </w:r>
      <w:r>
        <w:rPr>
          <w:rFonts w:hint="eastAsia" w:ascii="仿宋_GB2312" w:hAnsi="仿宋_GB2312" w:cs="仿宋_GB2312"/>
          <w:color w:val="000000" w:themeColor="text1"/>
          <w:szCs w:val="32"/>
          <w14:textFill>
            <w14:solidFill>
              <w14:schemeClr w14:val="tx1"/>
            </w14:solidFill>
          </w14:textFill>
        </w:rPr>
        <w:t>本细则自印发之日起施行</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有效期3年。</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cs="仿宋_GB2312"/>
          <w:color w:val="000000" w:themeColor="text1"/>
          <w:szCs w:val="32"/>
          <w14:textFill>
            <w14:solidFill>
              <w14:schemeClr w14:val="tx1"/>
            </w14:solidFill>
          </w14:textFill>
        </w:rPr>
      </w:pPr>
    </w:p>
    <w:p>
      <w:pPr>
        <w:pageBreakBefore w:val="0"/>
        <w:kinsoku/>
        <w:wordWrap/>
        <w:overflowPunct/>
        <w:topLinePunct w:val="0"/>
        <w:autoSpaceDE/>
        <w:autoSpaceDN/>
        <w:bidi w:val="0"/>
        <w:spacing w:line="600" w:lineRule="exact"/>
        <w:ind w:firstLine="643" w:firstLineChars="200"/>
        <w:textAlignment w:val="auto"/>
        <w:rPr>
          <w:rFonts w:ascii="仿宋_GB2312" w:hAnsi="仿宋_GB2312" w:cs="仿宋_GB2312"/>
          <w:b/>
          <w:bCs/>
          <w:color w:val="FF0000"/>
          <w:szCs w:val="32"/>
        </w:rPr>
      </w:pPr>
      <w:r>
        <w:rPr>
          <w:rFonts w:hint="eastAsia" w:ascii="仿宋_GB2312" w:hAnsi="仿宋_GB2312" w:cs="仿宋_GB2312"/>
          <w:b/>
          <w:bCs/>
          <w:color w:val="FF0000"/>
          <w:szCs w:val="32"/>
        </w:rPr>
        <w:t>附件：汕尾市知识产权质押融资</w:t>
      </w:r>
      <w:r>
        <w:rPr>
          <w:rFonts w:hint="eastAsia" w:ascii="仿宋_GB2312" w:hAnsi="仿宋_GB2312" w:cs="仿宋_GB2312"/>
          <w:b/>
          <w:bCs/>
          <w:color w:val="FF0000"/>
          <w:szCs w:val="32"/>
          <w:lang w:val="en-US" w:eastAsia="zh-CN"/>
        </w:rPr>
        <w:t>风险补偿</w:t>
      </w:r>
      <w:r>
        <w:rPr>
          <w:rFonts w:hint="eastAsia" w:ascii="仿宋_GB2312" w:hAnsi="仿宋_GB2312" w:cs="仿宋_GB2312"/>
          <w:b/>
          <w:bCs/>
          <w:color w:val="FF0000"/>
          <w:szCs w:val="32"/>
        </w:rPr>
        <w:t>项目企业申请表</w:t>
      </w:r>
    </w:p>
    <w:p>
      <w:pPr>
        <w:pageBreakBefore w:val="0"/>
        <w:kinsoku/>
        <w:wordWrap/>
        <w:overflowPunct/>
        <w:topLinePunct w:val="0"/>
        <w:autoSpaceDE/>
        <w:autoSpaceDN/>
        <w:bidi w:val="0"/>
        <w:spacing w:line="60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p>
    <w:p>
      <w:pPr>
        <w:pageBreakBefore w:val="0"/>
        <w:kinsoku/>
        <w:wordWrap/>
        <w:overflowPunct/>
        <w:topLinePunct w:val="0"/>
        <w:autoSpaceDE/>
        <w:autoSpaceDN/>
        <w:bidi w:val="0"/>
        <w:spacing w:line="60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p>
    <w:p>
      <w:pPr>
        <w:pageBreakBefore w:val="0"/>
        <w:widowControl/>
        <w:kinsoku/>
        <w:wordWrap/>
        <w:overflowPunct/>
        <w:topLinePunct w:val="0"/>
        <w:autoSpaceDE/>
        <w:autoSpaceDN/>
        <w:bidi w:val="0"/>
        <w:spacing w:line="600" w:lineRule="exact"/>
        <w:jc w:val="left"/>
        <w:textAlignment w:val="auto"/>
        <w:rPr>
          <w:rFonts w:ascii="仿宋_GB2312" w:hAnsi="仿宋_GB2312" w:cs="仿宋_GB2312"/>
          <w:color w:val="000000" w:themeColor="text1"/>
          <w:szCs w:val="32"/>
          <w14:textFill>
            <w14:solidFill>
              <w14:schemeClr w14:val="tx1"/>
            </w14:solidFill>
          </w14:textFill>
        </w:rPr>
      </w:pPr>
      <w:r>
        <w:rPr>
          <w:rFonts w:ascii="仿宋_GB2312" w:hAnsi="仿宋_GB2312" w:cs="仿宋_GB2312"/>
          <w:color w:val="000000" w:themeColor="text1"/>
          <w:szCs w:val="32"/>
          <w14:textFill>
            <w14:solidFill>
              <w14:schemeClr w14:val="tx1"/>
            </w14:solidFill>
          </w14:textFill>
        </w:rPr>
        <w:br w:type="page"/>
      </w:r>
    </w:p>
    <w:p>
      <w:pPr>
        <w:pStyle w:val="3"/>
        <w:pageBreakBefore w:val="0"/>
        <w:kinsoku/>
        <w:wordWrap/>
        <w:overflowPunct/>
        <w:topLinePunct w:val="0"/>
        <w:autoSpaceDE/>
        <w:autoSpaceDN/>
        <w:bidi w:val="0"/>
        <w:spacing w:line="600" w:lineRule="exact"/>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p>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r>
        <w:rPr>
          <w:rFonts w:hint="eastAsia" w:ascii="宋体" w:hAnsi="宋体" w:eastAsia="宋体" w:cs="宋体"/>
          <w:b/>
          <w:bCs/>
          <w:color w:val="000000" w:themeColor="text1"/>
          <w:kern w:val="0"/>
          <w:sz w:val="44"/>
          <w:szCs w:val="44"/>
          <w14:textFill>
            <w14:solidFill>
              <w14:schemeClr w14:val="tx1"/>
            </w14:solidFill>
          </w14:textFill>
        </w:rPr>
        <w:t>汕尾市知识产权质押融资风险补偿项目</w:t>
      </w:r>
    </w:p>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kern w:val="0"/>
          <w:sz w:val="44"/>
          <w:szCs w:val="44"/>
          <w14:textFill>
            <w14:solidFill>
              <w14:schemeClr w14:val="tx1"/>
            </w14:solidFill>
          </w14:textFill>
        </w:rPr>
        <w:t>企业申请表</w:t>
      </w:r>
    </w:p>
    <w:tbl>
      <w:tblPr>
        <w:tblStyle w:val="5"/>
        <w:tblpPr w:leftFromText="180" w:rightFromText="180" w:vertAnchor="text" w:horzAnchor="margin" w:tblpXSpec="center" w:tblpY="156"/>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563"/>
        <w:gridCol w:w="29"/>
        <w:gridCol w:w="350"/>
        <w:gridCol w:w="211"/>
        <w:gridCol w:w="564"/>
        <w:gridCol w:w="236"/>
        <w:gridCol w:w="734"/>
        <w:gridCol w:w="57"/>
        <w:gridCol w:w="104"/>
        <w:gridCol w:w="136"/>
        <w:gridCol w:w="175"/>
        <w:gridCol w:w="786"/>
        <w:gridCol w:w="507"/>
        <w:gridCol w:w="229"/>
        <w:gridCol w:w="273"/>
        <w:gridCol w:w="84"/>
        <w:gridCol w:w="712"/>
        <w:gridCol w:w="49"/>
        <w:gridCol w:w="416"/>
        <w:gridCol w:w="193"/>
        <w:gridCol w:w="92"/>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80" w:type="dxa"/>
            <w:gridSpan w:val="23"/>
            <w:vAlign w:val="center"/>
          </w:tcPr>
          <w:p>
            <w:pPr>
              <w:pageBreakBefore w:val="0"/>
              <w:kinsoku/>
              <w:wordWrap/>
              <w:overflowPunct/>
              <w:topLinePunct w:val="0"/>
              <w:autoSpaceDE/>
              <w:autoSpaceDN/>
              <w:bidi w:val="0"/>
              <w:spacing w:line="600" w:lineRule="exact"/>
              <w:textAlignment w:val="auto"/>
              <w:rPr>
                <w:rFonts w:ascii="仿宋_GB2312" w:hAnsi="仿宋" w:cs="仿宋"/>
                <w:b/>
                <w:bCs/>
                <w:color w:val="000000" w:themeColor="text1"/>
                <w:sz w:val="22"/>
                <w14:textFill>
                  <w14:solidFill>
                    <w14:schemeClr w14:val="tx1"/>
                  </w14:solidFill>
                </w14:textFill>
              </w:rPr>
            </w:pPr>
            <w:r>
              <w:rPr>
                <w:rFonts w:hint="eastAsia" w:ascii="仿宋_GB2312" w:hAnsi="仿宋" w:cs="仿宋"/>
                <w:b/>
                <w:bCs/>
                <w:color w:val="000000" w:themeColor="text1"/>
                <w:sz w:val="22"/>
                <w14:textFill>
                  <w14:solidFill>
                    <w14:schemeClr w14:val="tx1"/>
                  </w14:solidFill>
                </w14:textFill>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6" w:type="dxa"/>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企业名称</w:t>
            </w:r>
          </w:p>
        </w:tc>
        <w:tc>
          <w:tcPr>
            <w:tcW w:w="4452" w:type="dxa"/>
            <w:gridSpan w:val="13"/>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c>
          <w:tcPr>
            <w:tcW w:w="1763" w:type="dxa"/>
            <w:gridSpan w:val="6"/>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成立时间</w:t>
            </w:r>
          </w:p>
        </w:tc>
        <w:tc>
          <w:tcPr>
            <w:tcW w:w="2219" w:type="dxa"/>
            <w:gridSpan w:val="3"/>
            <w:vAlign w:val="center"/>
          </w:tcPr>
          <w:p>
            <w:pPr>
              <w:pageBreakBefore w:val="0"/>
              <w:kinsoku/>
              <w:wordWrap/>
              <w:overflowPunct/>
              <w:topLinePunct w:val="0"/>
              <w:autoSpaceDE/>
              <w:autoSpaceDN/>
              <w:bidi w:val="0"/>
              <w:spacing w:line="600" w:lineRule="exact"/>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6" w:type="dxa"/>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所属县区</w:t>
            </w:r>
          </w:p>
        </w:tc>
        <w:tc>
          <w:tcPr>
            <w:tcW w:w="4452" w:type="dxa"/>
            <w:gridSpan w:val="13"/>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kern w:val="0"/>
                <w:sz w:val="22"/>
                <w14:textFill>
                  <w14:solidFill>
                    <w14:schemeClr w14:val="tx1"/>
                  </w14:solidFill>
                </w14:textFill>
              </w:rPr>
              <w:t>县(市、区)      镇（街道）</w:t>
            </w:r>
          </w:p>
        </w:tc>
        <w:tc>
          <w:tcPr>
            <w:tcW w:w="1763" w:type="dxa"/>
            <w:gridSpan w:val="6"/>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注册资本</w:t>
            </w:r>
          </w:p>
        </w:tc>
        <w:tc>
          <w:tcPr>
            <w:tcW w:w="2219" w:type="dxa"/>
            <w:gridSpan w:val="3"/>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6" w:type="dxa"/>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地  址</w:t>
            </w:r>
          </w:p>
        </w:tc>
        <w:tc>
          <w:tcPr>
            <w:tcW w:w="8434" w:type="dxa"/>
            <w:gridSpan w:val="22"/>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6" w:type="dxa"/>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法定代表人</w:t>
            </w:r>
          </w:p>
        </w:tc>
        <w:tc>
          <w:tcPr>
            <w:tcW w:w="1153" w:type="dxa"/>
            <w:gridSpan w:val="4"/>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c>
          <w:tcPr>
            <w:tcW w:w="800" w:type="dxa"/>
            <w:gridSpan w:val="2"/>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职务</w:t>
            </w:r>
          </w:p>
        </w:tc>
        <w:tc>
          <w:tcPr>
            <w:tcW w:w="1206" w:type="dxa"/>
            <w:gridSpan w:val="5"/>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c>
          <w:tcPr>
            <w:tcW w:w="1293" w:type="dxa"/>
            <w:gridSpan w:val="2"/>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联系电话</w:t>
            </w:r>
          </w:p>
        </w:tc>
        <w:tc>
          <w:tcPr>
            <w:tcW w:w="1298" w:type="dxa"/>
            <w:gridSpan w:val="4"/>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c>
          <w:tcPr>
            <w:tcW w:w="750" w:type="dxa"/>
            <w:gridSpan w:val="4"/>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邮箱</w:t>
            </w:r>
          </w:p>
        </w:tc>
        <w:tc>
          <w:tcPr>
            <w:tcW w:w="1934" w:type="dxa"/>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6" w:type="dxa"/>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联系人</w:t>
            </w:r>
          </w:p>
        </w:tc>
        <w:tc>
          <w:tcPr>
            <w:tcW w:w="1153" w:type="dxa"/>
            <w:gridSpan w:val="4"/>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c>
          <w:tcPr>
            <w:tcW w:w="800" w:type="dxa"/>
            <w:gridSpan w:val="2"/>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职务</w:t>
            </w:r>
          </w:p>
        </w:tc>
        <w:tc>
          <w:tcPr>
            <w:tcW w:w="1206" w:type="dxa"/>
            <w:gridSpan w:val="5"/>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c>
          <w:tcPr>
            <w:tcW w:w="1293" w:type="dxa"/>
            <w:gridSpan w:val="2"/>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联系电话</w:t>
            </w:r>
          </w:p>
        </w:tc>
        <w:tc>
          <w:tcPr>
            <w:tcW w:w="1298" w:type="dxa"/>
            <w:gridSpan w:val="4"/>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c>
          <w:tcPr>
            <w:tcW w:w="750" w:type="dxa"/>
            <w:gridSpan w:val="4"/>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邮箱</w:t>
            </w:r>
          </w:p>
        </w:tc>
        <w:tc>
          <w:tcPr>
            <w:tcW w:w="1934" w:type="dxa"/>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6" w:type="dxa"/>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所属行业</w:t>
            </w:r>
          </w:p>
        </w:tc>
        <w:tc>
          <w:tcPr>
            <w:tcW w:w="2984" w:type="dxa"/>
            <w:gridSpan w:val="10"/>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c>
          <w:tcPr>
            <w:tcW w:w="1970" w:type="dxa"/>
            <w:gridSpan w:val="5"/>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主营业务或产品</w:t>
            </w:r>
          </w:p>
        </w:tc>
        <w:tc>
          <w:tcPr>
            <w:tcW w:w="3480" w:type="dxa"/>
            <w:gridSpan w:val="7"/>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6" w:type="dxa"/>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_GB2312" w:cs="仿宋_GB2312"/>
                <w:color w:val="000000" w:themeColor="text1"/>
                <w:spacing w:val="-17"/>
                <w:sz w:val="22"/>
                <w14:textFill>
                  <w14:solidFill>
                    <w14:schemeClr w14:val="tx1"/>
                  </w14:solidFill>
                </w14:textFill>
              </w:rPr>
              <w:t>企业类型</w:t>
            </w:r>
          </w:p>
        </w:tc>
        <w:tc>
          <w:tcPr>
            <w:tcW w:w="8434" w:type="dxa"/>
            <w:gridSpan w:val="22"/>
            <w:vAlign w:val="center"/>
          </w:tcPr>
          <w:p>
            <w:pPr>
              <w:pageBreakBefore w:val="0"/>
              <w:kinsoku/>
              <w:wordWrap/>
              <w:overflowPunct/>
              <w:topLinePunct w:val="0"/>
              <w:autoSpaceDE/>
              <w:autoSpaceDN/>
              <w:bidi w:val="0"/>
              <w:spacing w:line="600" w:lineRule="exact"/>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□知识产权示范企业          □知识产权优势企业        □中国驰名商标企业</w:t>
            </w:r>
          </w:p>
          <w:p>
            <w:pPr>
              <w:pageBreakBefore w:val="0"/>
              <w:kinsoku/>
              <w:wordWrap/>
              <w:overflowPunct/>
              <w:topLinePunct w:val="0"/>
              <w:autoSpaceDE/>
              <w:autoSpaceDN/>
              <w:bidi w:val="0"/>
              <w:spacing w:line="600" w:lineRule="exact"/>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lang w:eastAsia="zh-CN"/>
                <w14:textFill>
                  <w14:solidFill>
                    <w14:schemeClr w14:val="tx1"/>
                  </w14:solidFill>
                </w14:textFill>
              </w:rPr>
              <w:t>□</w:t>
            </w:r>
            <w:r>
              <w:rPr>
                <w:rFonts w:hint="eastAsia" w:ascii="仿宋_GB2312" w:hAnsi="仿宋" w:cs="仿宋"/>
                <w:color w:val="000000" w:themeColor="text1"/>
                <w:sz w:val="22"/>
                <w14:textFill>
                  <w14:solidFill>
                    <w14:schemeClr w14:val="tx1"/>
                  </w14:solidFill>
                </w14:textFill>
              </w:rPr>
              <w:t>高新技术企业              □高新技术后备企业        □</w:t>
            </w:r>
            <w:r>
              <w:rPr>
                <w:rFonts w:hint="eastAsia" w:ascii="仿宋" w:hAnsi="仿宋" w:eastAsia="仿宋" w:cs="仿宋"/>
                <w:color w:val="000000" w:themeColor="text1"/>
                <w:sz w:val="22"/>
                <w14:textFill>
                  <w14:solidFill>
                    <w14:schemeClr w14:val="tx1"/>
                  </w14:solidFill>
                </w14:textFill>
              </w:rPr>
              <w:t>省工程技术研究中心</w:t>
            </w:r>
          </w:p>
          <w:p>
            <w:pPr>
              <w:pageBreakBefore w:val="0"/>
              <w:kinsoku/>
              <w:wordWrap/>
              <w:overflowPunct/>
              <w:topLinePunct w:val="0"/>
              <w:autoSpaceDE/>
              <w:autoSpaceDN/>
              <w:bidi w:val="0"/>
              <w:spacing w:line="600" w:lineRule="exact"/>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 xml:space="preserve">市企业研究开发中心        </w:t>
            </w:r>
            <w:r>
              <w:rPr>
                <w:rFonts w:hint="eastAsia" w:ascii="仿宋_GB2312" w:hAnsi="仿宋" w:cs="仿宋"/>
                <w:color w:val="000000" w:themeColor="text1"/>
                <w:sz w:val="22"/>
                <w14:textFill>
                  <w14:solidFill>
                    <w14:schemeClr w14:val="tx1"/>
                  </w14:solidFill>
                </w14:textFill>
              </w:rPr>
              <w:t xml:space="preserve">□孵化器内在孵企业        □科技型中小企业           </w:t>
            </w:r>
          </w:p>
          <w:p>
            <w:pPr>
              <w:pageBreakBefore w:val="0"/>
              <w:kinsoku/>
              <w:wordWrap/>
              <w:overflowPunct/>
              <w:topLinePunct w:val="0"/>
              <w:autoSpaceDE/>
              <w:autoSpaceDN/>
              <w:bidi w:val="0"/>
              <w:spacing w:line="600" w:lineRule="exact"/>
              <w:jc w:val="left"/>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80" w:type="dxa"/>
            <w:gridSpan w:val="23"/>
            <w:vAlign w:val="center"/>
          </w:tcPr>
          <w:p>
            <w:pPr>
              <w:pageBreakBefore w:val="0"/>
              <w:kinsoku/>
              <w:wordWrap/>
              <w:overflowPunct/>
              <w:topLinePunct w:val="0"/>
              <w:autoSpaceDE/>
              <w:autoSpaceDN/>
              <w:bidi w:val="0"/>
              <w:spacing w:line="600" w:lineRule="exact"/>
              <w:jc w:val="left"/>
              <w:textAlignment w:val="auto"/>
              <w:rPr>
                <w:rFonts w:ascii="仿宋_GB2312" w:hAnsi="仿宋"/>
                <w:b/>
                <w:bCs/>
                <w:color w:val="000000" w:themeColor="text1"/>
                <w:sz w:val="22"/>
                <w14:textFill>
                  <w14:solidFill>
                    <w14:schemeClr w14:val="tx1"/>
                  </w14:solidFill>
                </w14:textFill>
              </w:rPr>
            </w:pPr>
            <w:r>
              <w:rPr>
                <w:rFonts w:hint="eastAsia" w:ascii="仿宋_GB2312" w:hAnsi="仿宋"/>
                <w:b/>
                <w:bCs/>
                <w:color w:val="000000" w:themeColor="text1"/>
                <w:sz w:val="22"/>
                <w14:textFill>
                  <w14:solidFill>
                    <w14:schemeClr w14:val="tx1"/>
                  </w14:solidFill>
                </w14:textFill>
              </w:rPr>
              <w:t>二、企业经营情况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8" w:type="dxa"/>
            <w:gridSpan w:val="4"/>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主要财务指标</w:t>
            </w:r>
          </w:p>
        </w:tc>
        <w:tc>
          <w:tcPr>
            <w:tcW w:w="1802" w:type="dxa"/>
            <w:gridSpan w:val="5"/>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总资产</w:t>
            </w:r>
          </w:p>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（万元）</w:t>
            </w:r>
          </w:p>
        </w:tc>
        <w:tc>
          <w:tcPr>
            <w:tcW w:w="1937" w:type="dxa"/>
            <w:gridSpan w:val="6"/>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营业收入</w:t>
            </w:r>
          </w:p>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（万元）</w:t>
            </w:r>
          </w:p>
        </w:tc>
        <w:tc>
          <w:tcPr>
            <w:tcW w:w="1727" w:type="dxa"/>
            <w:gridSpan w:val="6"/>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净利润</w:t>
            </w:r>
          </w:p>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（万元）</w:t>
            </w:r>
          </w:p>
        </w:tc>
        <w:tc>
          <w:tcPr>
            <w:tcW w:w="2026" w:type="dxa"/>
            <w:gridSpan w:val="2"/>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纳税额</w:t>
            </w:r>
          </w:p>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8" w:type="dxa"/>
            <w:gridSpan w:val="4"/>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上一年度</w:t>
            </w:r>
          </w:p>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w:t>
            </w:r>
            <w:r>
              <w:rPr>
                <w:rFonts w:hint="eastAsia" w:ascii="仿宋_GB2312" w:hAnsi="仿宋" w:cs="仿宋"/>
                <w:color w:val="000000" w:themeColor="text1"/>
                <w:sz w:val="22"/>
                <w:u w:val="single"/>
                <w14:textFill>
                  <w14:solidFill>
                    <w14:schemeClr w14:val="tx1"/>
                  </w14:solidFill>
                </w14:textFill>
              </w:rPr>
              <w:t xml:space="preserve"> </w:t>
            </w:r>
            <w:r>
              <w:rPr>
                <w:rFonts w:ascii="仿宋_GB2312" w:hAnsi="仿宋" w:cs="仿宋"/>
                <w:color w:val="000000" w:themeColor="text1"/>
                <w:sz w:val="22"/>
                <w:u w:val="single"/>
                <w14:textFill>
                  <w14:solidFill>
                    <w14:schemeClr w14:val="tx1"/>
                  </w14:solidFill>
                </w14:textFill>
              </w:rPr>
              <w:t xml:space="preserve">   </w:t>
            </w:r>
            <w:r>
              <w:rPr>
                <w:rFonts w:hint="eastAsia" w:ascii="仿宋_GB2312" w:hAnsi="仿宋" w:cs="仿宋"/>
                <w:color w:val="000000" w:themeColor="text1"/>
                <w:sz w:val="22"/>
                <w14:textFill>
                  <w14:solidFill>
                    <w14:schemeClr w14:val="tx1"/>
                  </w14:solidFill>
                </w14:textFill>
              </w:rPr>
              <w:t>年度）</w:t>
            </w:r>
          </w:p>
        </w:tc>
        <w:tc>
          <w:tcPr>
            <w:tcW w:w="1802" w:type="dxa"/>
            <w:gridSpan w:val="5"/>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c>
          <w:tcPr>
            <w:tcW w:w="1937" w:type="dxa"/>
            <w:gridSpan w:val="6"/>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c>
          <w:tcPr>
            <w:tcW w:w="1727" w:type="dxa"/>
            <w:gridSpan w:val="6"/>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c>
          <w:tcPr>
            <w:tcW w:w="2026" w:type="dxa"/>
            <w:gridSpan w:val="2"/>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8" w:type="dxa"/>
            <w:gridSpan w:val="4"/>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本年度最近一个月</w:t>
            </w:r>
          </w:p>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w:t>
            </w:r>
            <w:r>
              <w:rPr>
                <w:rFonts w:hint="eastAsia" w:ascii="仿宋_GB2312" w:hAnsi="仿宋" w:cs="仿宋"/>
                <w:color w:val="000000" w:themeColor="text1"/>
                <w:sz w:val="22"/>
                <w:u w:val="single"/>
                <w14:textFill>
                  <w14:solidFill>
                    <w14:schemeClr w14:val="tx1"/>
                  </w14:solidFill>
                </w14:textFill>
              </w:rPr>
              <w:t xml:space="preserve"> </w:t>
            </w:r>
            <w:r>
              <w:rPr>
                <w:rFonts w:ascii="仿宋_GB2312" w:hAnsi="仿宋" w:cs="仿宋"/>
                <w:color w:val="000000" w:themeColor="text1"/>
                <w:sz w:val="22"/>
                <w:u w:val="single"/>
                <w14:textFill>
                  <w14:solidFill>
                    <w14:schemeClr w14:val="tx1"/>
                  </w14:solidFill>
                </w14:textFill>
              </w:rPr>
              <w:t xml:space="preserve">   </w:t>
            </w:r>
            <w:r>
              <w:rPr>
                <w:rFonts w:hint="eastAsia" w:ascii="仿宋_GB2312" w:hAnsi="仿宋" w:cs="仿宋"/>
                <w:color w:val="000000" w:themeColor="text1"/>
                <w:sz w:val="22"/>
                <w14:textFill>
                  <w14:solidFill>
                    <w14:schemeClr w14:val="tx1"/>
                  </w14:solidFill>
                </w14:textFill>
              </w:rPr>
              <w:t>年</w:t>
            </w:r>
            <w:r>
              <w:rPr>
                <w:rFonts w:ascii="仿宋_GB2312" w:hAnsi="仿宋" w:cs="仿宋"/>
                <w:color w:val="000000" w:themeColor="text1"/>
                <w:sz w:val="22"/>
                <w:u w:val="single"/>
                <w14:textFill>
                  <w14:solidFill>
                    <w14:schemeClr w14:val="tx1"/>
                  </w14:solidFill>
                </w14:textFill>
              </w:rPr>
              <w:t xml:space="preserve"> </w:t>
            </w:r>
            <w:r>
              <w:rPr>
                <w:rFonts w:hint="eastAsia" w:ascii="仿宋_GB2312" w:hAnsi="仿宋" w:cs="仿宋"/>
                <w:color w:val="000000" w:themeColor="text1"/>
                <w:sz w:val="22"/>
                <w:u w:val="single"/>
                <w14:textFill>
                  <w14:solidFill>
                    <w14:schemeClr w14:val="tx1"/>
                  </w14:solidFill>
                </w14:textFill>
              </w:rPr>
              <w:t xml:space="preserve">  </w:t>
            </w:r>
            <w:r>
              <w:rPr>
                <w:rFonts w:hint="eastAsia" w:ascii="仿宋_GB2312" w:hAnsi="仿宋" w:cs="仿宋"/>
                <w:color w:val="000000" w:themeColor="text1"/>
                <w:sz w:val="22"/>
                <w14:textFill>
                  <w14:solidFill>
                    <w14:schemeClr w14:val="tx1"/>
                  </w14:solidFill>
                </w14:textFill>
              </w:rPr>
              <w:t>月）</w:t>
            </w:r>
          </w:p>
        </w:tc>
        <w:tc>
          <w:tcPr>
            <w:tcW w:w="1802" w:type="dxa"/>
            <w:gridSpan w:val="5"/>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c>
          <w:tcPr>
            <w:tcW w:w="1937" w:type="dxa"/>
            <w:gridSpan w:val="6"/>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c>
          <w:tcPr>
            <w:tcW w:w="1727" w:type="dxa"/>
            <w:gridSpan w:val="6"/>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c>
          <w:tcPr>
            <w:tcW w:w="2026" w:type="dxa"/>
            <w:gridSpan w:val="2"/>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8" w:type="dxa"/>
            <w:gridSpan w:val="4"/>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企业存量融资情况</w:t>
            </w:r>
          </w:p>
        </w:tc>
        <w:tc>
          <w:tcPr>
            <w:tcW w:w="7492" w:type="dxa"/>
            <w:gridSpan w:val="19"/>
            <w:vAlign w:val="center"/>
          </w:tcPr>
          <w:p>
            <w:pPr>
              <w:pageBreakBefore w:val="0"/>
              <w:kinsoku/>
              <w:wordWrap/>
              <w:overflowPunct/>
              <w:topLinePunct w:val="0"/>
              <w:autoSpaceDE/>
              <w:autoSpaceDN/>
              <w:bidi w:val="0"/>
              <w:spacing w:line="600" w:lineRule="exact"/>
              <w:ind w:firstLine="220" w:firstLineChars="100"/>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olor w:val="000000" w:themeColor="text1"/>
                <w:sz w:val="22"/>
                <w14:textFill>
                  <w14:solidFill>
                    <w14:schemeClr w14:val="tx1"/>
                  </w14:solidFill>
                </w14:textFill>
              </w:rPr>
              <w:t>□无</w:t>
            </w:r>
            <w:r>
              <w:rPr>
                <w:rFonts w:hint="eastAsia" w:ascii="仿宋_GB2312" w:hAnsi="仿宋" w:cs="仿宋"/>
                <w:color w:val="000000" w:themeColor="text1"/>
                <w:sz w:val="22"/>
                <w14:textFill>
                  <w14:solidFill>
                    <w14:schemeClr w14:val="tx1"/>
                  </w14:solidFill>
                </w14:textFill>
              </w:rPr>
              <w:t xml:space="preserve">    </w:t>
            </w:r>
            <w:r>
              <w:rPr>
                <w:rFonts w:hint="eastAsia" w:ascii="仿宋_GB2312" w:hAnsi="仿宋"/>
                <w:color w:val="000000" w:themeColor="text1"/>
                <w:sz w:val="22"/>
                <w14:textFill>
                  <w14:solidFill>
                    <w14:schemeClr w14:val="tx1"/>
                  </w14:solidFill>
                </w14:textFill>
              </w:rPr>
              <w:t>□有，金额</w:t>
            </w:r>
            <w:r>
              <w:rPr>
                <w:rFonts w:hint="eastAsia" w:ascii="仿宋_GB2312" w:hAnsi="仿宋"/>
                <w:color w:val="000000" w:themeColor="text1"/>
                <w:sz w:val="22"/>
                <w:u w:val="single"/>
                <w14:textFill>
                  <w14:solidFill>
                    <w14:schemeClr w14:val="tx1"/>
                  </w14:solidFill>
                </w14:textFill>
              </w:rPr>
              <w:t xml:space="preserve">         </w:t>
            </w:r>
            <w:r>
              <w:rPr>
                <w:rFonts w:hint="eastAsia" w:ascii="仿宋_GB2312" w:hAnsi="仿宋"/>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6" w:type="dxa"/>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员工人数</w:t>
            </w:r>
          </w:p>
        </w:tc>
        <w:tc>
          <w:tcPr>
            <w:tcW w:w="2848" w:type="dxa"/>
            <w:gridSpan w:val="9"/>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人</w:t>
            </w:r>
          </w:p>
        </w:tc>
        <w:tc>
          <w:tcPr>
            <w:tcW w:w="2190" w:type="dxa"/>
            <w:gridSpan w:val="7"/>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研发人员数量</w:t>
            </w:r>
          </w:p>
        </w:tc>
        <w:tc>
          <w:tcPr>
            <w:tcW w:w="3396" w:type="dxa"/>
            <w:gridSpan w:val="6"/>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80" w:type="dxa"/>
            <w:gridSpan w:val="23"/>
            <w:vAlign w:val="center"/>
          </w:tcPr>
          <w:p>
            <w:pPr>
              <w:pageBreakBefore w:val="0"/>
              <w:kinsoku/>
              <w:wordWrap/>
              <w:overflowPunct/>
              <w:topLinePunct w:val="0"/>
              <w:autoSpaceDE/>
              <w:autoSpaceDN/>
              <w:bidi w:val="0"/>
              <w:spacing w:line="600" w:lineRule="exact"/>
              <w:textAlignment w:val="auto"/>
              <w:rPr>
                <w:rFonts w:ascii="仿宋_GB2312" w:hAnsi="仿宋" w:cs="仿宋"/>
                <w:b/>
                <w:bCs/>
                <w:color w:val="000000" w:themeColor="text1"/>
                <w:sz w:val="22"/>
                <w14:textFill>
                  <w14:solidFill>
                    <w14:schemeClr w14:val="tx1"/>
                  </w14:solidFill>
                </w14:textFill>
              </w:rPr>
            </w:pPr>
            <w:r>
              <w:rPr>
                <w:rFonts w:hint="eastAsia" w:ascii="仿宋_GB2312" w:hAnsi="仿宋" w:cs="仿宋"/>
                <w:b/>
                <w:bCs/>
                <w:color w:val="000000" w:themeColor="text1"/>
                <w:sz w:val="22"/>
                <w14:textFill>
                  <w14:solidFill>
                    <w14:schemeClr w14:val="tx1"/>
                  </w14:solidFill>
                </w14:textFill>
              </w:rPr>
              <w:t>三、企业知识产权情况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6" w:type="dxa"/>
            <w:vMerge w:val="restart"/>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企业知识</w:t>
            </w:r>
          </w:p>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产权情况</w:t>
            </w:r>
          </w:p>
        </w:tc>
        <w:tc>
          <w:tcPr>
            <w:tcW w:w="1717" w:type="dxa"/>
            <w:gridSpan w:val="5"/>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发明专利</w:t>
            </w:r>
          </w:p>
        </w:tc>
        <w:tc>
          <w:tcPr>
            <w:tcW w:w="2228" w:type="dxa"/>
            <w:gridSpan w:val="7"/>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件</w:t>
            </w:r>
          </w:p>
        </w:tc>
        <w:tc>
          <w:tcPr>
            <w:tcW w:w="1854" w:type="dxa"/>
            <w:gridSpan w:val="6"/>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实用新型专利</w:t>
            </w:r>
          </w:p>
        </w:tc>
        <w:tc>
          <w:tcPr>
            <w:tcW w:w="2635" w:type="dxa"/>
            <w:gridSpan w:val="4"/>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6" w:type="dxa"/>
            <w:vMerge w:val="continue"/>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c>
          <w:tcPr>
            <w:tcW w:w="1717" w:type="dxa"/>
            <w:gridSpan w:val="5"/>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注册商标</w:t>
            </w:r>
          </w:p>
        </w:tc>
        <w:tc>
          <w:tcPr>
            <w:tcW w:w="2228" w:type="dxa"/>
            <w:gridSpan w:val="7"/>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件</w:t>
            </w:r>
          </w:p>
        </w:tc>
        <w:tc>
          <w:tcPr>
            <w:tcW w:w="1854" w:type="dxa"/>
            <w:gridSpan w:val="6"/>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著作权</w:t>
            </w:r>
          </w:p>
        </w:tc>
        <w:tc>
          <w:tcPr>
            <w:tcW w:w="2635" w:type="dxa"/>
            <w:gridSpan w:val="4"/>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6" w:type="dxa"/>
            <w:vMerge w:val="continue"/>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c>
          <w:tcPr>
            <w:tcW w:w="1717" w:type="dxa"/>
            <w:gridSpan w:val="5"/>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其他</w:t>
            </w:r>
          </w:p>
        </w:tc>
        <w:tc>
          <w:tcPr>
            <w:tcW w:w="6717" w:type="dxa"/>
            <w:gridSpan w:val="17"/>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80" w:type="dxa"/>
            <w:gridSpan w:val="23"/>
            <w:vAlign w:val="center"/>
          </w:tcPr>
          <w:p>
            <w:pPr>
              <w:pageBreakBefore w:val="0"/>
              <w:kinsoku/>
              <w:wordWrap/>
              <w:overflowPunct/>
              <w:topLinePunct w:val="0"/>
              <w:autoSpaceDE/>
              <w:autoSpaceDN/>
              <w:bidi w:val="0"/>
              <w:spacing w:line="600" w:lineRule="exact"/>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b/>
                <w:bCs/>
                <w:color w:val="000000" w:themeColor="text1"/>
                <w:sz w:val="22"/>
                <w14:textFill>
                  <w14:solidFill>
                    <w14:schemeClr w14:val="tx1"/>
                  </w14:solidFill>
                </w14:textFill>
              </w:rPr>
              <w:t>四、企业融资需求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8" w:type="dxa"/>
            <w:gridSpan w:val="3"/>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知识产权融资</w:t>
            </w:r>
          </w:p>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意向合作机构</w:t>
            </w:r>
          </w:p>
        </w:tc>
        <w:tc>
          <w:tcPr>
            <w:tcW w:w="7842" w:type="dxa"/>
            <w:gridSpan w:val="20"/>
            <w:vAlign w:val="center"/>
          </w:tcPr>
          <w:p>
            <w:pPr>
              <w:pageBreakBefore w:val="0"/>
              <w:kinsoku/>
              <w:wordWrap/>
              <w:overflowPunct/>
              <w:topLinePunct w:val="0"/>
              <w:autoSpaceDE/>
              <w:autoSpaceDN/>
              <w:bidi w:val="0"/>
              <w:spacing w:line="600" w:lineRule="exact"/>
              <w:textAlignment w:val="auto"/>
              <w:rPr>
                <w:rFonts w:ascii="仿宋_GB2312" w:hAnsi="仿宋"/>
                <w:color w:val="000000" w:themeColor="text1"/>
                <w:sz w:val="22"/>
                <w14:textFill>
                  <w14:solidFill>
                    <w14:schemeClr w14:val="tx1"/>
                  </w14:solidFill>
                </w14:textFill>
              </w:rPr>
            </w:pPr>
            <w:r>
              <w:rPr>
                <w:rFonts w:hint="eastAsia" w:ascii="仿宋_GB2312" w:hAnsi="仿宋"/>
                <w:color w:val="000000" w:themeColor="text1"/>
                <w:sz w:val="22"/>
                <w14:textFill>
                  <w14:solidFill>
                    <w14:schemeClr w14:val="tx1"/>
                  </w14:solidFill>
                </w14:textFill>
              </w:rPr>
              <w:t>□</w:t>
            </w:r>
            <w:r>
              <w:rPr>
                <w:rFonts w:hint="eastAsia" w:ascii="仿宋_GB2312" w:hAnsi="仿宋" w:cs="仿宋"/>
                <w:color w:val="000000" w:themeColor="text1"/>
                <w:sz w:val="22"/>
                <w14:textFill>
                  <w14:solidFill>
                    <w14:schemeClr w14:val="tx1"/>
                  </w14:solidFill>
                </w14:textFill>
              </w:rPr>
              <w:t>银行：</w:t>
            </w:r>
            <w:r>
              <w:rPr>
                <w:rFonts w:hint="eastAsia" w:ascii="仿宋_GB2312" w:hAnsi="仿宋"/>
                <w:color w:val="000000" w:themeColor="text1"/>
                <w:sz w:val="22"/>
                <w:u w:val="single"/>
                <w14:textFill>
                  <w14:solidFill>
                    <w14:schemeClr w14:val="tx1"/>
                  </w14:solidFill>
                </w14:textFill>
              </w:rPr>
              <w:t xml:space="preserve">                     </w:t>
            </w:r>
            <w:r>
              <w:rPr>
                <w:rFonts w:hint="eastAsia" w:ascii="仿宋_GB2312" w:hAnsi="仿宋"/>
                <w:color w:val="000000" w:themeColor="text1"/>
                <w:sz w:val="22"/>
                <w14:textFill>
                  <w14:solidFill>
                    <w14:schemeClr w14:val="tx1"/>
                  </w14:solidFill>
                </w14:textFill>
              </w:rPr>
              <w:t>银行  □其他：</w:t>
            </w:r>
            <w:r>
              <w:rPr>
                <w:rFonts w:hint="eastAsia" w:ascii="仿宋_GB2312" w:hAnsi="仿宋"/>
                <w:color w:val="000000" w:themeColor="text1"/>
                <w:sz w:val="22"/>
                <w:u w:val="single"/>
                <w14:textFill>
                  <w14:solidFill>
                    <w14:schemeClr w14:val="tx1"/>
                  </w14:solidFill>
                </w14:textFill>
              </w:rPr>
              <w:t xml:space="preserve">                       </w:t>
            </w:r>
            <w:r>
              <w:rPr>
                <w:rFonts w:hint="eastAsia" w:ascii="仿宋_GB2312" w:hAnsi="仿宋"/>
                <w:color w:val="000000" w:themeColor="text1"/>
                <w:sz w:val="22"/>
                <w14:textFill>
                  <w14:solidFill>
                    <w14:schemeClr w14:val="tx1"/>
                  </w14:solidFill>
                </w14:textFill>
              </w:rPr>
              <w:t xml:space="preserve">  </w:t>
            </w:r>
          </w:p>
          <w:p>
            <w:pPr>
              <w:pageBreakBefore w:val="0"/>
              <w:kinsoku/>
              <w:wordWrap/>
              <w:overflowPunct/>
              <w:topLinePunct w:val="0"/>
              <w:autoSpaceDE/>
              <w:autoSpaceDN/>
              <w:bidi w:val="0"/>
              <w:spacing w:line="600" w:lineRule="exact"/>
              <w:textAlignment w:val="auto"/>
              <w:rPr>
                <w:rFonts w:ascii="仿宋_GB2312" w:hAnsi="仿宋" w:cs="仿宋"/>
                <w:color w:val="000000" w:themeColor="text1"/>
                <w:sz w:val="22"/>
                <w14:textFill>
                  <w14:solidFill>
                    <w14:schemeClr w14:val="tx1"/>
                  </w14:solidFill>
                </w14:textFill>
              </w:rPr>
            </w:pPr>
            <w:r>
              <w:rPr>
                <w:rFonts w:hint="eastAsia" w:ascii="仿宋_GB2312" w:hAnsi="仿宋"/>
                <w:color w:val="000000" w:themeColor="text1"/>
                <w:sz w:val="22"/>
                <w14:textFill>
                  <w14:solidFill>
                    <w14:schemeClr w14:val="tx1"/>
                  </w14:solidFill>
                </w14:textFill>
              </w:rPr>
              <w:t>□暂时没有，需要推荐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909" w:type="dxa"/>
            <w:gridSpan w:val="2"/>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融资金额需求</w:t>
            </w:r>
          </w:p>
        </w:tc>
        <w:tc>
          <w:tcPr>
            <w:tcW w:w="2124" w:type="dxa"/>
            <w:gridSpan w:val="6"/>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 xml:space="preserve">          万元</w:t>
            </w:r>
          </w:p>
        </w:tc>
        <w:tc>
          <w:tcPr>
            <w:tcW w:w="3112" w:type="dxa"/>
            <w:gridSpan w:val="11"/>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kern w:val="0"/>
                <w:sz w:val="22"/>
                <w14:textFill>
                  <w14:solidFill>
                    <w14:schemeClr w14:val="tx1"/>
                  </w14:solidFill>
                </w14:textFill>
              </w:rPr>
              <w:t>可接受的综合融资成本</w:t>
            </w:r>
          </w:p>
        </w:tc>
        <w:tc>
          <w:tcPr>
            <w:tcW w:w="2635" w:type="dxa"/>
            <w:gridSpan w:val="4"/>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9" w:type="dxa"/>
            <w:gridSpan w:val="2"/>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融资用途</w:t>
            </w:r>
          </w:p>
        </w:tc>
        <w:tc>
          <w:tcPr>
            <w:tcW w:w="7871" w:type="dxa"/>
            <w:gridSpan w:val="21"/>
            <w:vAlign w:val="center"/>
          </w:tcPr>
          <w:p>
            <w:pPr>
              <w:pageBreakBefore w:val="0"/>
              <w:kinsoku/>
              <w:wordWrap/>
              <w:overflowPunct/>
              <w:topLinePunct w:val="0"/>
              <w:autoSpaceDE/>
              <w:autoSpaceDN/>
              <w:bidi w:val="0"/>
              <w:spacing w:line="600" w:lineRule="exact"/>
              <w:jc w:val="center"/>
              <w:textAlignment w:val="auto"/>
              <w:rPr>
                <w:rFonts w:ascii="仿宋_GB2312" w:hAnsi="仿宋" w:cs="仿宋"/>
                <w:color w:val="000000" w:themeColor="text1"/>
                <w:sz w:val="22"/>
                <w14:textFill>
                  <w14:solidFill>
                    <w14:schemeClr w14:val="tx1"/>
                  </w14:solidFill>
                </w14:textFill>
              </w:rPr>
            </w:pPr>
            <w:r>
              <w:rPr>
                <w:rFonts w:hint="eastAsia" w:ascii="仿宋_GB2312" w:hAnsi="仿宋" w:cs="仿宋"/>
                <w:color w:val="000000" w:themeColor="text1"/>
                <w:sz w:val="22"/>
                <w14:textFill>
                  <w14:solidFill>
                    <w14:schemeClr w14:val="tx1"/>
                  </w14:solidFill>
                </w14:textFill>
              </w:rPr>
              <w:t>（说明融资主要的投向及资金需求合理性）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jc w:val="center"/>
        </w:trPr>
        <w:tc>
          <w:tcPr>
            <w:tcW w:w="9780" w:type="dxa"/>
            <w:gridSpan w:val="23"/>
            <w:vAlign w:val="center"/>
          </w:tcPr>
          <w:p>
            <w:pPr>
              <w:pageBreakBefore w:val="0"/>
              <w:kinsoku/>
              <w:wordWrap/>
              <w:overflowPunct/>
              <w:topLinePunct w:val="0"/>
              <w:autoSpaceDE/>
              <w:autoSpaceDN/>
              <w:bidi w:val="0"/>
              <w:spacing w:line="600" w:lineRule="exact"/>
              <w:ind w:firstLine="221" w:firstLineChars="100"/>
              <w:jc w:val="left"/>
              <w:textAlignment w:val="auto"/>
              <w:rPr>
                <w:b/>
                <w:bCs/>
                <w:color w:val="FF0000"/>
              </w:rPr>
            </w:pPr>
            <w:r>
              <w:rPr>
                <w:rFonts w:hint="eastAsia" w:ascii="仿宋_GB2312" w:hAnsi="仿宋" w:cs="仿宋"/>
                <w:b/>
                <w:bCs/>
                <w:color w:val="FF0000"/>
                <w:sz w:val="22"/>
                <w:lang w:val="en-US" w:eastAsia="zh-CN"/>
              </w:rPr>
              <w:t>本公司自愿申请汕尾市知识产权质押融资风险补偿项目，</w:t>
            </w:r>
            <w:r>
              <w:rPr>
                <w:rFonts w:hint="eastAsia" w:ascii="仿宋_GB2312" w:hAnsi="仿宋" w:cs="仿宋"/>
                <w:b/>
                <w:bCs/>
                <w:color w:val="FF0000"/>
                <w:sz w:val="22"/>
              </w:rPr>
              <w:t>获取融资支持企业发展，上述信息为本公司真实情况，愿意与相关机构进行对接沟通。</w:t>
            </w:r>
          </w:p>
          <w:p>
            <w:pPr>
              <w:pageBreakBefore w:val="0"/>
              <w:kinsoku/>
              <w:wordWrap/>
              <w:overflowPunct/>
              <w:topLinePunct w:val="0"/>
              <w:autoSpaceDE/>
              <w:autoSpaceDN/>
              <w:bidi w:val="0"/>
              <w:spacing w:line="600" w:lineRule="exact"/>
              <w:ind w:firstLine="5280" w:firstLineChars="2400"/>
              <w:textAlignment w:val="auto"/>
              <w:rPr>
                <w:rFonts w:hint="eastAsia" w:ascii="仿宋_GB2312" w:hAnsi="仿宋" w:cs="宋体"/>
                <w:color w:val="000000" w:themeColor="text1"/>
                <w:sz w:val="22"/>
                <w14:textFill>
                  <w14:solidFill>
                    <w14:schemeClr w14:val="tx1"/>
                  </w14:solidFill>
                </w14:textFill>
              </w:rPr>
            </w:pPr>
          </w:p>
          <w:p>
            <w:pPr>
              <w:pageBreakBefore w:val="0"/>
              <w:kinsoku/>
              <w:wordWrap/>
              <w:overflowPunct/>
              <w:topLinePunct w:val="0"/>
              <w:autoSpaceDE/>
              <w:autoSpaceDN/>
              <w:bidi w:val="0"/>
              <w:spacing w:line="600" w:lineRule="exact"/>
              <w:ind w:firstLine="5280" w:firstLineChars="2400"/>
              <w:textAlignment w:val="auto"/>
              <w:rPr>
                <w:rFonts w:ascii="仿宋_GB2312" w:hAnsi="仿宋" w:cs="宋体"/>
                <w:color w:val="000000" w:themeColor="text1"/>
                <w:sz w:val="22"/>
                <w14:textFill>
                  <w14:solidFill>
                    <w14:schemeClr w14:val="tx1"/>
                  </w14:solidFill>
                </w14:textFill>
              </w:rPr>
            </w:pPr>
            <w:r>
              <w:rPr>
                <w:rFonts w:hint="eastAsia" w:ascii="仿宋_GB2312" w:hAnsi="仿宋" w:cs="宋体"/>
                <w:color w:val="000000" w:themeColor="text1"/>
                <w:sz w:val="22"/>
                <w14:textFill>
                  <w14:solidFill>
                    <w14:schemeClr w14:val="tx1"/>
                  </w14:solidFill>
                </w14:textFill>
              </w:rPr>
              <w:t>单位（公章）：</w:t>
            </w:r>
          </w:p>
          <w:p>
            <w:pPr>
              <w:pageBreakBefore w:val="0"/>
              <w:kinsoku/>
              <w:wordWrap/>
              <w:overflowPunct/>
              <w:topLinePunct w:val="0"/>
              <w:autoSpaceDE/>
              <w:autoSpaceDN/>
              <w:bidi w:val="0"/>
              <w:spacing w:line="600" w:lineRule="exact"/>
              <w:ind w:firstLine="3520" w:firstLineChars="1600"/>
              <w:jc w:val="center"/>
              <w:textAlignment w:val="auto"/>
              <w:rPr>
                <w:rFonts w:ascii="仿宋_GB2312" w:hAnsi="仿宋" w:cs="宋体"/>
                <w:color w:val="000000" w:themeColor="text1"/>
                <w:sz w:val="22"/>
                <w14:textFill>
                  <w14:solidFill>
                    <w14:schemeClr w14:val="tx1"/>
                  </w14:solidFill>
                </w14:textFill>
              </w:rPr>
            </w:pPr>
          </w:p>
          <w:p>
            <w:pPr>
              <w:pageBreakBefore w:val="0"/>
              <w:kinsoku/>
              <w:wordWrap/>
              <w:overflowPunct/>
              <w:topLinePunct w:val="0"/>
              <w:autoSpaceDE/>
              <w:autoSpaceDN/>
              <w:bidi w:val="0"/>
              <w:spacing w:line="600" w:lineRule="exact"/>
              <w:ind w:firstLine="3520" w:firstLineChars="1600"/>
              <w:jc w:val="center"/>
              <w:textAlignment w:val="auto"/>
              <w:rPr>
                <w:rFonts w:ascii="仿宋_GB2312" w:hAnsi="仿宋" w:cs="宋体"/>
                <w:color w:val="000000" w:themeColor="text1"/>
                <w:sz w:val="22"/>
                <w14:textFill>
                  <w14:solidFill>
                    <w14:schemeClr w14:val="tx1"/>
                  </w14:solidFill>
                </w14:textFill>
              </w:rPr>
            </w:pPr>
            <w:r>
              <w:rPr>
                <w:rFonts w:hint="eastAsia" w:ascii="仿宋_GB2312" w:hAnsi="仿宋" w:cs="宋体"/>
                <w:color w:val="000000" w:themeColor="text1"/>
                <w:sz w:val="22"/>
                <w14:textFill>
                  <w14:solidFill>
                    <w14:schemeClr w14:val="tx1"/>
                  </w14:solidFill>
                </w14:textFill>
              </w:rPr>
              <w:t xml:space="preserve">     填表日期：</w:t>
            </w:r>
            <w:r>
              <w:rPr>
                <w:rFonts w:hint="eastAsia" w:ascii="仿宋_GB2312" w:hAnsi="仿宋" w:cs="宋体"/>
                <w:color w:val="000000" w:themeColor="text1"/>
                <w:sz w:val="22"/>
                <w:u w:val="single"/>
                <w14:textFill>
                  <w14:solidFill>
                    <w14:schemeClr w14:val="tx1"/>
                  </w14:solidFill>
                </w14:textFill>
              </w:rPr>
              <w:t xml:space="preserve">     </w:t>
            </w:r>
            <w:r>
              <w:rPr>
                <w:rFonts w:hint="eastAsia" w:ascii="仿宋_GB2312" w:hAnsi="仿宋" w:cs="宋体"/>
                <w:color w:val="000000" w:themeColor="text1"/>
                <w:sz w:val="22"/>
                <w14:textFill>
                  <w14:solidFill>
                    <w14:schemeClr w14:val="tx1"/>
                  </w14:solidFill>
                </w14:textFill>
              </w:rPr>
              <w:t>年</w:t>
            </w:r>
            <w:r>
              <w:rPr>
                <w:rFonts w:hint="eastAsia" w:ascii="仿宋_GB2312" w:hAnsi="仿宋" w:cs="宋体"/>
                <w:color w:val="000000" w:themeColor="text1"/>
                <w:sz w:val="22"/>
                <w:u w:val="single"/>
                <w14:textFill>
                  <w14:solidFill>
                    <w14:schemeClr w14:val="tx1"/>
                  </w14:solidFill>
                </w14:textFill>
              </w:rPr>
              <w:t xml:space="preserve">    </w:t>
            </w:r>
            <w:r>
              <w:rPr>
                <w:rFonts w:hint="eastAsia" w:ascii="仿宋_GB2312" w:hAnsi="仿宋" w:cs="宋体"/>
                <w:color w:val="000000" w:themeColor="text1"/>
                <w:sz w:val="22"/>
                <w14:textFill>
                  <w14:solidFill>
                    <w14:schemeClr w14:val="tx1"/>
                  </w14:solidFill>
                </w14:textFill>
              </w:rPr>
              <w:t>月</w:t>
            </w:r>
            <w:r>
              <w:rPr>
                <w:rFonts w:hint="eastAsia" w:ascii="仿宋_GB2312" w:hAnsi="仿宋" w:cs="宋体"/>
                <w:color w:val="000000" w:themeColor="text1"/>
                <w:sz w:val="22"/>
                <w:u w:val="single"/>
                <w14:textFill>
                  <w14:solidFill>
                    <w14:schemeClr w14:val="tx1"/>
                  </w14:solidFill>
                </w14:textFill>
              </w:rPr>
              <w:t xml:space="preserve">    </w:t>
            </w:r>
            <w:r>
              <w:rPr>
                <w:rFonts w:hint="eastAsia" w:ascii="仿宋_GB2312" w:hAnsi="仿宋" w:cs="宋体"/>
                <w:color w:val="000000" w:themeColor="text1"/>
                <w:sz w:val="22"/>
                <w14:textFill>
                  <w14:solidFill>
                    <w14:schemeClr w14:val="tx1"/>
                  </w14:solidFill>
                </w14:textFill>
              </w:rPr>
              <w:t>日</w:t>
            </w:r>
          </w:p>
          <w:p>
            <w:pPr>
              <w:pageBreakBefore w:val="0"/>
              <w:kinsoku/>
              <w:wordWrap/>
              <w:overflowPunct/>
              <w:topLinePunct w:val="0"/>
              <w:autoSpaceDE/>
              <w:autoSpaceDN/>
              <w:bidi w:val="0"/>
              <w:spacing w:line="600" w:lineRule="exact"/>
              <w:textAlignment w:val="auto"/>
              <w:rPr>
                <w:rFonts w:ascii="仿宋_GB2312" w:hAnsi="仿宋" w:cs="仿宋"/>
                <w:color w:val="000000" w:themeColor="text1"/>
                <w:sz w:val="22"/>
                <w14:textFill>
                  <w14:solidFill>
                    <w14:schemeClr w14:val="tx1"/>
                  </w14:solidFill>
                </w14:textFill>
              </w:rPr>
            </w:pPr>
          </w:p>
        </w:tc>
      </w:tr>
    </w:tbl>
    <w:p>
      <w:pPr>
        <w:pStyle w:val="3"/>
        <w:pageBreakBefore w:val="0"/>
        <w:kinsoku/>
        <w:wordWrap/>
        <w:overflowPunct/>
        <w:topLinePunct w:val="0"/>
        <w:autoSpaceDE/>
        <w:autoSpaceDN/>
        <w:bidi w:val="0"/>
        <w:spacing w:line="600" w:lineRule="exact"/>
        <w:jc w:val="both"/>
        <w:textAlignment w:val="auto"/>
        <w:rPr>
          <w:rFonts w:hint="eastAsia" w:ascii="仿宋_GB2312" w:hAnsi="仿宋_GB2312" w:cs="仿宋_GB2312"/>
          <w:color w:val="000000" w:themeColor="text1"/>
          <w:sz w:val="32"/>
          <w:szCs w:val="32"/>
          <w14:textFill>
            <w14:solidFill>
              <w14:schemeClr w14:val="tx1"/>
            </w14:solidFill>
          </w14:textFill>
        </w:rPr>
      </w:pPr>
    </w:p>
    <w:p>
      <w:pPr>
        <w:pStyle w:val="3"/>
        <w:pageBreakBefore w:val="0"/>
        <w:kinsoku/>
        <w:wordWrap/>
        <w:overflowPunct/>
        <w:topLinePunct w:val="0"/>
        <w:autoSpaceDE/>
        <w:autoSpaceDN/>
        <w:bidi w:val="0"/>
        <w:spacing w:line="600" w:lineRule="exact"/>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附件1-1：</w:t>
      </w:r>
    </w:p>
    <w:p>
      <w:pPr>
        <w:pageBreakBefore w:val="0"/>
        <w:kinsoku/>
        <w:wordWrap/>
        <w:overflowPunct/>
        <w:topLinePunct w:val="0"/>
        <w:autoSpaceDE/>
        <w:autoSpaceDN/>
        <w:bidi w:val="0"/>
        <w:spacing w:line="600" w:lineRule="exact"/>
        <w:textAlignment w:val="auto"/>
        <w:rPr>
          <w:rFonts w:ascii="仿宋_GB2312" w:hAnsi="仿宋_GB2312" w:cs="仿宋_GB2312"/>
          <w:color w:val="000000" w:themeColor="text1"/>
          <w14:textFill>
            <w14:solidFill>
              <w14:schemeClr w14:val="tx1"/>
            </w14:solidFill>
          </w14:textFill>
        </w:rPr>
      </w:pPr>
    </w:p>
    <w:p>
      <w:pPr>
        <w:pageBreakBefore w:val="0"/>
        <w:kinsoku/>
        <w:wordWrap/>
        <w:overflowPunct/>
        <w:topLinePunct w:val="0"/>
        <w:autoSpaceDE/>
        <w:autoSpaceDN/>
        <w:bidi w:val="0"/>
        <w:spacing w:line="600" w:lineRule="exact"/>
        <w:ind w:firstLine="320" w:firstLineChars="100"/>
        <w:textAlignment w:val="auto"/>
        <w:rPr>
          <w:rFonts w:ascii="仿宋_GB2312" w:hAnsi="仿宋_GB2312" w:cs="仿宋_GB2312"/>
          <w:color w:val="000000" w:themeColor="text1"/>
          <w14:textFill>
            <w14:solidFill>
              <w14:schemeClr w14:val="tx1"/>
            </w14:solidFill>
          </w14:textFill>
        </w:rPr>
      </w:pPr>
    </w:p>
    <w:p>
      <w:pPr>
        <w:pStyle w:val="3"/>
        <w:pageBreakBefore w:val="0"/>
        <w:kinsoku/>
        <w:wordWrap/>
        <w:overflowPunct/>
        <w:topLinePunct w:val="0"/>
        <w:autoSpaceDE/>
        <w:autoSpaceDN/>
        <w:bidi w:val="0"/>
        <w:spacing w:line="60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汕尾市知识产权质押融资风险补偿项目</w:t>
      </w:r>
    </w:p>
    <w:p>
      <w:pPr>
        <w:pStyle w:val="3"/>
        <w:pageBreakBefore w:val="0"/>
        <w:kinsoku/>
        <w:wordWrap/>
        <w:overflowPunct/>
        <w:topLinePunct w:val="0"/>
        <w:autoSpaceDE/>
        <w:autoSpaceDN/>
        <w:bidi w:val="0"/>
        <w:spacing w:line="60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企业申请表——附件资料清单</w:t>
      </w:r>
      <w:bookmarkStart w:id="0" w:name="_GoBack"/>
      <w:bookmarkEnd w:id="0"/>
    </w:p>
    <w:p>
      <w:pPr>
        <w:pageBreakBefore w:val="0"/>
        <w:kinsoku/>
        <w:wordWrap/>
        <w:overflowPunct/>
        <w:topLinePunct w:val="0"/>
        <w:autoSpaceDE/>
        <w:autoSpaceDN/>
        <w:bidi w:val="0"/>
        <w:spacing w:line="600" w:lineRule="exact"/>
        <w:textAlignment w:val="auto"/>
        <w:rPr>
          <w:color w:val="000000" w:themeColor="text1"/>
          <w14:textFill>
            <w14:solidFill>
              <w14:schemeClr w14:val="tx1"/>
            </w14:solidFill>
          </w14:textFill>
        </w:rPr>
      </w:pPr>
    </w:p>
    <w:p>
      <w:pPr>
        <w:pageBreakBefore w:val="0"/>
        <w:kinsoku/>
        <w:wordWrap/>
        <w:overflowPunct/>
        <w:topLinePunct w:val="0"/>
        <w:autoSpaceDE/>
        <w:autoSpaceDN/>
        <w:bidi w:val="0"/>
        <w:spacing w:line="600" w:lineRule="exact"/>
        <w:textAlignment w:val="auto"/>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申请人需提供资料清单：</w:t>
      </w:r>
    </w:p>
    <w:tbl>
      <w:tblPr>
        <w:tblStyle w:val="5"/>
        <w:tblW w:w="9498"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3"/>
        <w:gridCol w:w="7218"/>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863" w:type="dxa"/>
            <w:vAlign w:val="center"/>
          </w:tcPr>
          <w:p>
            <w:pPr>
              <w:pageBreakBefore w:val="0"/>
              <w:kinsoku/>
              <w:wordWrap/>
              <w:overflowPunct/>
              <w:topLinePunct w:val="0"/>
              <w:autoSpaceDE/>
              <w:autoSpaceDN/>
              <w:bidi w:val="0"/>
              <w:spacing w:line="600" w:lineRule="exact"/>
              <w:jc w:val="center"/>
              <w:textAlignment w:val="auto"/>
              <w:rPr>
                <w:rFonts w:ascii="仿宋_GB2312" w:hAnsi="仿宋_GB2312" w:cs="仿宋_GB2312"/>
                <w:b/>
                <w:color w:val="000000" w:themeColor="text1"/>
                <w:szCs w:val="28"/>
                <w14:textFill>
                  <w14:solidFill>
                    <w14:schemeClr w14:val="tx1"/>
                  </w14:solidFill>
                </w14:textFill>
              </w:rPr>
            </w:pPr>
            <w:r>
              <w:rPr>
                <w:rFonts w:hint="eastAsia" w:ascii="仿宋_GB2312" w:hAnsi="仿宋_GB2312" w:cs="仿宋_GB2312"/>
                <w:b/>
                <w:color w:val="000000" w:themeColor="text1"/>
                <w:szCs w:val="28"/>
                <w14:textFill>
                  <w14:solidFill>
                    <w14:schemeClr w14:val="tx1"/>
                  </w14:solidFill>
                </w14:textFill>
              </w:rPr>
              <w:t>序号</w:t>
            </w:r>
          </w:p>
        </w:tc>
        <w:tc>
          <w:tcPr>
            <w:tcW w:w="7218" w:type="dxa"/>
            <w:vAlign w:val="center"/>
          </w:tcPr>
          <w:p>
            <w:pPr>
              <w:pageBreakBefore w:val="0"/>
              <w:kinsoku/>
              <w:wordWrap/>
              <w:overflowPunct/>
              <w:topLinePunct w:val="0"/>
              <w:autoSpaceDE/>
              <w:autoSpaceDN/>
              <w:bidi w:val="0"/>
              <w:spacing w:line="600" w:lineRule="exact"/>
              <w:jc w:val="center"/>
              <w:textAlignment w:val="auto"/>
              <w:rPr>
                <w:rFonts w:ascii="仿宋_GB2312" w:hAnsi="仿宋_GB2312" w:cs="仿宋_GB2312"/>
                <w:b/>
                <w:color w:val="000000" w:themeColor="text1"/>
                <w:szCs w:val="28"/>
                <w14:textFill>
                  <w14:solidFill>
                    <w14:schemeClr w14:val="tx1"/>
                  </w14:solidFill>
                </w14:textFill>
              </w:rPr>
            </w:pPr>
            <w:r>
              <w:rPr>
                <w:rFonts w:hint="eastAsia" w:ascii="仿宋_GB2312" w:hAnsi="仿宋_GB2312" w:cs="仿宋_GB2312"/>
                <w:b/>
                <w:color w:val="000000" w:themeColor="text1"/>
                <w:szCs w:val="28"/>
                <w14:textFill>
                  <w14:solidFill>
                    <w14:schemeClr w14:val="tx1"/>
                  </w14:solidFill>
                </w14:textFill>
              </w:rPr>
              <w:t>资料名称</w:t>
            </w:r>
          </w:p>
        </w:tc>
        <w:tc>
          <w:tcPr>
            <w:tcW w:w="1417" w:type="dxa"/>
            <w:vAlign w:val="center"/>
          </w:tcPr>
          <w:p>
            <w:pPr>
              <w:pageBreakBefore w:val="0"/>
              <w:kinsoku/>
              <w:wordWrap/>
              <w:overflowPunct/>
              <w:topLinePunct w:val="0"/>
              <w:autoSpaceDE/>
              <w:autoSpaceDN/>
              <w:bidi w:val="0"/>
              <w:spacing w:line="600" w:lineRule="exact"/>
              <w:jc w:val="center"/>
              <w:textAlignment w:val="auto"/>
              <w:rPr>
                <w:rFonts w:ascii="仿宋_GB2312" w:hAnsi="仿宋_GB2312" w:cs="仿宋_GB2312"/>
                <w:b/>
                <w:color w:val="000000" w:themeColor="text1"/>
                <w:szCs w:val="28"/>
                <w14:textFill>
                  <w14:solidFill>
                    <w14:schemeClr w14:val="tx1"/>
                  </w14:solidFill>
                </w14:textFill>
              </w:rPr>
            </w:pPr>
            <w:r>
              <w:rPr>
                <w:rFonts w:hint="eastAsia" w:ascii="仿宋_GB2312" w:hAnsi="仿宋_GB2312" w:cs="仿宋_GB2312"/>
                <w:b/>
                <w:color w:val="000000" w:themeColor="text1"/>
                <w:szCs w:val="28"/>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vAlign w:val="center"/>
          </w:tcPr>
          <w:p>
            <w:pPr>
              <w:pageBreakBefore w:val="0"/>
              <w:kinsoku/>
              <w:wordWrap/>
              <w:overflowPunct/>
              <w:topLinePunct w:val="0"/>
              <w:autoSpaceDE/>
              <w:autoSpaceDN/>
              <w:bidi w:val="0"/>
              <w:spacing w:line="600" w:lineRule="exact"/>
              <w:jc w:val="center"/>
              <w:textAlignment w:val="auto"/>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1</w:t>
            </w:r>
          </w:p>
        </w:tc>
        <w:tc>
          <w:tcPr>
            <w:tcW w:w="7218" w:type="dxa"/>
            <w:vAlign w:val="center"/>
          </w:tcPr>
          <w:p>
            <w:pPr>
              <w:pageBreakBefore w:val="0"/>
              <w:kinsoku/>
              <w:wordWrap/>
              <w:overflowPunct/>
              <w:topLinePunct w:val="0"/>
              <w:autoSpaceDE/>
              <w:autoSpaceDN/>
              <w:bidi w:val="0"/>
              <w:spacing w:line="600" w:lineRule="exact"/>
              <w:jc w:val="left"/>
              <w:textAlignment w:val="auto"/>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《汕尾市知识产权质押融资风险补偿项目企业申请表》</w:t>
            </w:r>
          </w:p>
        </w:tc>
        <w:tc>
          <w:tcPr>
            <w:tcW w:w="1417" w:type="dxa"/>
            <w:vAlign w:val="center"/>
          </w:tcPr>
          <w:p>
            <w:pPr>
              <w:pageBreakBefore w:val="0"/>
              <w:kinsoku/>
              <w:wordWrap/>
              <w:overflowPunct/>
              <w:topLinePunct w:val="0"/>
              <w:autoSpaceDE/>
              <w:autoSpaceDN/>
              <w:bidi w:val="0"/>
              <w:spacing w:line="600" w:lineRule="exact"/>
              <w:jc w:val="center"/>
              <w:textAlignment w:val="auto"/>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1式</w:t>
            </w: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vAlign w:val="center"/>
          </w:tcPr>
          <w:p>
            <w:pPr>
              <w:pageBreakBefore w:val="0"/>
              <w:kinsoku/>
              <w:wordWrap/>
              <w:overflowPunct/>
              <w:topLinePunct w:val="0"/>
              <w:autoSpaceDE/>
              <w:autoSpaceDN/>
              <w:bidi w:val="0"/>
              <w:spacing w:line="600" w:lineRule="exact"/>
              <w:jc w:val="center"/>
              <w:textAlignment w:val="auto"/>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2</w:t>
            </w:r>
          </w:p>
        </w:tc>
        <w:tc>
          <w:tcPr>
            <w:tcW w:w="7218" w:type="dxa"/>
            <w:vAlign w:val="center"/>
          </w:tcPr>
          <w:p>
            <w:pPr>
              <w:pageBreakBefore w:val="0"/>
              <w:kinsoku/>
              <w:wordWrap/>
              <w:overflowPunct/>
              <w:topLinePunct w:val="0"/>
              <w:autoSpaceDE/>
              <w:autoSpaceDN/>
              <w:bidi w:val="0"/>
              <w:spacing w:line="600" w:lineRule="exact"/>
              <w:jc w:val="left"/>
              <w:textAlignment w:val="auto"/>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企业营业执照复印件</w:t>
            </w:r>
          </w:p>
        </w:tc>
        <w:tc>
          <w:tcPr>
            <w:tcW w:w="1417" w:type="dxa"/>
            <w:vAlign w:val="center"/>
          </w:tcPr>
          <w:p>
            <w:pPr>
              <w:pageBreakBefore w:val="0"/>
              <w:kinsoku/>
              <w:wordWrap/>
              <w:overflowPunct/>
              <w:topLinePunct w:val="0"/>
              <w:autoSpaceDE/>
              <w:autoSpaceDN/>
              <w:bidi w:val="0"/>
              <w:spacing w:line="600" w:lineRule="exact"/>
              <w:jc w:val="center"/>
              <w:textAlignment w:val="auto"/>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1式</w:t>
            </w: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vAlign w:val="center"/>
          </w:tcPr>
          <w:p>
            <w:pPr>
              <w:pageBreakBefore w:val="0"/>
              <w:kinsoku/>
              <w:wordWrap/>
              <w:overflowPunct/>
              <w:topLinePunct w:val="0"/>
              <w:autoSpaceDE/>
              <w:autoSpaceDN/>
              <w:bidi w:val="0"/>
              <w:spacing w:line="600" w:lineRule="exact"/>
              <w:jc w:val="center"/>
              <w:textAlignment w:val="auto"/>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3</w:t>
            </w:r>
          </w:p>
        </w:tc>
        <w:tc>
          <w:tcPr>
            <w:tcW w:w="7218" w:type="dxa"/>
            <w:vAlign w:val="center"/>
          </w:tcPr>
          <w:p>
            <w:pPr>
              <w:pageBreakBefore w:val="0"/>
              <w:kinsoku/>
              <w:wordWrap/>
              <w:overflowPunct/>
              <w:topLinePunct w:val="0"/>
              <w:autoSpaceDE/>
              <w:autoSpaceDN/>
              <w:bidi w:val="0"/>
              <w:spacing w:line="600" w:lineRule="exact"/>
              <w:jc w:val="left"/>
              <w:textAlignment w:val="auto"/>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企业法</w:t>
            </w:r>
            <w:r>
              <w:rPr>
                <w:rFonts w:ascii="仿宋_GB2312" w:hAnsi="仿宋_GB2312" w:cs="仿宋_GB2312"/>
                <w:color w:val="000000" w:themeColor="text1"/>
                <w:szCs w:val="28"/>
                <w14:textFill>
                  <w14:solidFill>
                    <w14:schemeClr w14:val="tx1"/>
                  </w14:solidFill>
                </w14:textFill>
              </w:rPr>
              <w:t>定</w:t>
            </w:r>
            <w:r>
              <w:rPr>
                <w:rFonts w:hint="eastAsia" w:ascii="仿宋_GB2312" w:hAnsi="仿宋_GB2312" w:cs="仿宋_GB2312"/>
                <w:color w:val="000000" w:themeColor="text1"/>
                <w:szCs w:val="28"/>
                <w14:textFill>
                  <w14:solidFill>
                    <w14:schemeClr w14:val="tx1"/>
                  </w14:solidFill>
                </w14:textFill>
              </w:rPr>
              <w:t>代表人及实际控制人身份证复印件</w:t>
            </w:r>
          </w:p>
        </w:tc>
        <w:tc>
          <w:tcPr>
            <w:tcW w:w="1417" w:type="dxa"/>
            <w:vAlign w:val="center"/>
          </w:tcPr>
          <w:p>
            <w:pPr>
              <w:pageBreakBefore w:val="0"/>
              <w:kinsoku/>
              <w:wordWrap/>
              <w:overflowPunct/>
              <w:topLinePunct w:val="0"/>
              <w:autoSpaceDE/>
              <w:autoSpaceDN/>
              <w:bidi w:val="0"/>
              <w:spacing w:line="600" w:lineRule="exact"/>
              <w:jc w:val="center"/>
              <w:textAlignment w:val="auto"/>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1式</w:t>
            </w: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vAlign w:val="center"/>
          </w:tcPr>
          <w:p>
            <w:pPr>
              <w:pageBreakBefore w:val="0"/>
              <w:kinsoku/>
              <w:wordWrap/>
              <w:overflowPunct/>
              <w:topLinePunct w:val="0"/>
              <w:autoSpaceDE/>
              <w:autoSpaceDN/>
              <w:bidi w:val="0"/>
              <w:spacing w:line="600" w:lineRule="exact"/>
              <w:jc w:val="center"/>
              <w:textAlignment w:val="auto"/>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4</w:t>
            </w:r>
          </w:p>
        </w:tc>
        <w:tc>
          <w:tcPr>
            <w:tcW w:w="7218" w:type="dxa"/>
            <w:vAlign w:val="center"/>
          </w:tcPr>
          <w:p>
            <w:pPr>
              <w:pageBreakBefore w:val="0"/>
              <w:kinsoku/>
              <w:wordWrap/>
              <w:overflowPunct/>
              <w:topLinePunct w:val="0"/>
              <w:autoSpaceDE/>
              <w:autoSpaceDN/>
              <w:bidi w:val="0"/>
              <w:spacing w:line="600" w:lineRule="exact"/>
              <w:jc w:val="left"/>
              <w:textAlignment w:val="auto"/>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36"/>
                <w14:textFill>
                  <w14:solidFill>
                    <w14:schemeClr w14:val="tx1"/>
                  </w14:solidFill>
                </w14:textFill>
              </w:rPr>
              <w:t>企业知识产权、发明专利等证书复印件</w:t>
            </w:r>
          </w:p>
        </w:tc>
        <w:tc>
          <w:tcPr>
            <w:tcW w:w="1417" w:type="dxa"/>
            <w:vAlign w:val="center"/>
          </w:tcPr>
          <w:p>
            <w:pPr>
              <w:pageBreakBefore w:val="0"/>
              <w:kinsoku/>
              <w:wordWrap/>
              <w:overflowPunct/>
              <w:topLinePunct w:val="0"/>
              <w:autoSpaceDE/>
              <w:autoSpaceDN/>
              <w:bidi w:val="0"/>
              <w:spacing w:line="600" w:lineRule="exact"/>
              <w:jc w:val="center"/>
              <w:textAlignment w:val="auto"/>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1式</w:t>
            </w: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vAlign w:val="center"/>
          </w:tcPr>
          <w:p>
            <w:pPr>
              <w:pageBreakBefore w:val="0"/>
              <w:kinsoku/>
              <w:wordWrap/>
              <w:overflowPunct/>
              <w:topLinePunct w:val="0"/>
              <w:autoSpaceDE/>
              <w:autoSpaceDN/>
              <w:bidi w:val="0"/>
              <w:spacing w:line="600" w:lineRule="exact"/>
              <w:jc w:val="center"/>
              <w:textAlignment w:val="auto"/>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5</w:t>
            </w:r>
          </w:p>
        </w:tc>
        <w:tc>
          <w:tcPr>
            <w:tcW w:w="7218" w:type="dxa"/>
            <w:vAlign w:val="center"/>
          </w:tcPr>
          <w:p>
            <w:pPr>
              <w:pageBreakBefore w:val="0"/>
              <w:kinsoku/>
              <w:wordWrap/>
              <w:overflowPunct/>
              <w:topLinePunct w:val="0"/>
              <w:autoSpaceDE/>
              <w:autoSpaceDN/>
              <w:bidi w:val="0"/>
              <w:spacing w:line="600" w:lineRule="exact"/>
              <w:jc w:val="left"/>
              <w:textAlignment w:val="auto"/>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企业上两个年度的财务报表</w:t>
            </w:r>
          </w:p>
        </w:tc>
        <w:tc>
          <w:tcPr>
            <w:tcW w:w="1417" w:type="dxa"/>
            <w:vAlign w:val="center"/>
          </w:tcPr>
          <w:p>
            <w:pPr>
              <w:pageBreakBefore w:val="0"/>
              <w:kinsoku/>
              <w:wordWrap/>
              <w:overflowPunct/>
              <w:topLinePunct w:val="0"/>
              <w:autoSpaceDE/>
              <w:autoSpaceDN/>
              <w:bidi w:val="0"/>
              <w:spacing w:line="600" w:lineRule="exact"/>
              <w:jc w:val="center"/>
              <w:textAlignment w:val="auto"/>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1式</w:t>
            </w: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vAlign w:val="center"/>
          </w:tcPr>
          <w:p>
            <w:pPr>
              <w:pageBreakBefore w:val="0"/>
              <w:kinsoku/>
              <w:wordWrap/>
              <w:overflowPunct/>
              <w:topLinePunct w:val="0"/>
              <w:autoSpaceDE/>
              <w:autoSpaceDN/>
              <w:bidi w:val="0"/>
              <w:spacing w:line="600" w:lineRule="exact"/>
              <w:jc w:val="center"/>
              <w:textAlignment w:val="auto"/>
              <w:rPr>
                <w:rFonts w:ascii="仿宋_GB2312" w:hAnsi="仿宋_GB2312" w:cs="仿宋_GB2312"/>
                <w:color w:val="000000" w:themeColor="text1"/>
                <w:szCs w:val="28"/>
                <w14:textFill>
                  <w14:solidFill>
                    <w14:schemeClr w14:val="tx1"/>
                  </w14:solidFill>
                </w14:textFill>
              </w:rPr>
            </w:pPr>
            <w:r>
              <w:rPr>
                <w:rFonts w:ascii="仿宋_GB2312" w:hAnsi="仿宋_GB2312" w:cs="仿宋_GB2312"/>
                <w:color w:val="000000" w:themeColor="text1"/>
                <w:szCs w:val="28"/>
                <w14:textFill>
                  <w14:solidFill>
                    <w14:schemeClr w14:val="tx1"/>
                  </w14:solidFill>
                </w14:textFill>
              </w:rPr>
              <w:t>6</w:t>
            </w:r>
          </w:p>
        </w:tc>
        <w:tc>
          <w:tcPr>
            <w:tcW w:w="7218" w:type="dxa"/>
            <w:vAlign w:val="center"/>
          </w:tcPr>
          <w:p>
            <w:pPr>
              <w:pageBreakBefore w:val="0"/>
              <w:kinsoku/>
              <w:wordWrap/>
              <w:overflowPunct/>
              <w:topLinePunct w:val="0"/>
              <w:autoSpaceDE/>
              <w:autoSpaceDN/>
              <w:bidi w:val="0"/>
              <w:spacing w:line="600" w:lineRule="exact"/>
              <w:jc w:val="left"/>
              <w:textAlignment w:val="auto"/>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36"/>
                <w14:textFill>
                  <w14:solidFill>
                    <w14:schemeClr w14:val="tx1"/>
                  </w14:solidFill>
                </w14:textFill>
              </w:rPr>
              <w:t>其他申报通知规定相关佐证资料及说明</w:t>
            </w:r>
          </w:p>
        </w:tc>
        <w:tc>
          <w:tcPr>
            <w:tcW w:w="1417" w:type="dxa"/>
            <w:vAlign w:val="center"/>
          </w:tcPr>
          <w:p>
            <w:pPr>
              <w:pageBreakBefore w:val="0"/>
              <w:kinsoku/>
              <w:wordWrap/>
              <w:overflowPunct/>
              <w:topLinePunct w:val="0"/>
              <w:autoSpaceDE/>
              <w:autoSpaceDN/>
              <w:bidi w:val="0"/>
              <w:spacing w:line="600" w:lineRule="exact"/>
              <w:jc w:val="center"/>
              <w:textAlignment w:val="auto"/>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1式</w:t>
            </w: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份</w:t>
            </w:r>
          </w:p>
        </w:tc>
      </w:tr>
    </w:tbl>
    <w:p>
      <w:pPr>
        <w:pageBreakBefore w:val="0"/>
        <w:kinsoku/>
        <w:wordWrap/>
        <w:overflowPunct/>
        <w:topLinePunct w:val="0"/>
        <w:autoSpaceDE/>
        <w:autoSpaceDN/>
        <w:bidi w:val="0"/>
        <w:spacing w:line="600" w:lineRule="exact"/>
        <w:textAlignment w:val="auto"/>
        <w:rPr>
          <w:color w:val="000000" w:themeColor="text1"/>
          <w14:textFill>
            <w14:solidFill>
              <w14:schemeClr w14:val="tx1"/>
            </w14:solidFill>
          </w14:textFill>
        </w:rPr>
      </w:pPr>
    </w:p>
    <w:p>
      <w:pPr>
        <w:pageBreakBefore w:val="0"/>
        <w:kinsoku/>
        <w:wordWrap/>
        <w:overflowPunct/>
        <w:topLinePunct w:val="0"/>
        <w:autoSpaceDE/>
        <w:autoSpaceDN/>
        <w:bidi w:val="0"/>
        <w:spacing w:line="600" w:lineRule="exact"/>
        <w:textAlignment w:val="auto"/>
        <w:rPr>
          <w:color w:val="000000" w:themeColor="text1"/>
          <w14:textFill>
            <w14:solidFill>
              <w14:schemeClr w14:val="tx1"/>
            </w14:solidFill>
          </w14:textFill>
        </w:rPr>
      </w:pPr>
    </w:p>
    <w:p>
      <w:pPr>
        <w:pageBreakBefore w:val="0"/>
        <w:kinsoku/>
        <w:wordWrap/>
        <w:overflowPunct/>
        <w:topLinePunct w:val="0"/>
        <w:autoSpaceDE/>
        <w:autoSpaceDN/>
        <w:bidi w:val="0"/>
        <w:spacing w:line="600" w:lineRule="exact"/>
        <w:textAlignment w:val="auto"/>
        <w:rPr>
          <w:color w:val="000000" w:themeColor="text1"/>
          <w14:textFill>
            <w14:solidFill>
              <w14:schemeClr w14:val="tx1"/>
            </w14:solidFill>
          </w14:textFill>
        </w:rPr>
      </w:pPr>
    </w:p>
    <w:p>
      <w:pPr>
        <w:pageBreakBefore w:val="0"/>
        <w:kinsoku/>
        <w:wordWrap/>
        <w:overflowPunct/>
        <w:topLinePunct w:val="0"/>
        <w:autoSpaceDE/>
        <w:autoSpaceDN/>
        <w:bidi w:val="0"/>
        <w:spacing w:line="600" w:lineRule="exact"/>
        <w:textAlignment w:val="auto"/>
        <w:rPr>
          <w:color w:val="000000" w:themeColor="text1"/>
          <w14:textFill>
            <w14:solidFill>
              <w14:schemeClr w14:val="tx1"/>
            </w14:solidFill>
          </w14:textFill>
        </w:rPr>
      </w:pPr>
    </w:p>
    <w:p>
      <w:pPr>
        <w:pageBreakBefore w:val="0"/>
        <w:kinsoku/>
        <w:wordWrap/>
        <w:overflowPunct/>
        <w:topLinePunct w:val="0"/>
        <w:autoSpaceDE/>
        <w:autoSpaceDN/>
        <w:bidi w:val="0"/>
        <w:spacing w:line="600" w:lineRule="exact"/>
        <w:textAlignment w:val="auto"/>
        <w:rPr>
          <w:color w:val="000000" w:themeColor="text1"/>
          <w14:textFill>
            <w14:solidFill>
              <w14:schemeClr w14:val="tx1"/>
            </w14:solidFill>
          </w14:textFill>
        </w:rPr>
      </w:pPr>
    </w:p>
    <w:p>
      <w:pPr>
        <w:pageBreakBefore w:val="0"/>
        <w:kinsoku/>
        <w:wordWrap/>
        <w:overflowPunct/>
        <w:topLinePunct w:val="0"/>
        <w:autoSpaceDE/>
        <w:autoSpaceDN/>
        <w:bidi w:val="0"/>
        <w:spacing w:line="600" w:lineRule="exact"/>
        <w:textAlignment w:val="auto"/>
        <w:rPr>
          <w:rFonts w:ascii="仿宋" w:hAnsi="仿宋" w:eastAsia="仿宋" w:cs="仿宋"/>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 xml:space="preserve"> </w:t>
      </w:r>
      <w:r>
        <w:rPr>
          <w:rFonts w:hint="eastAsia" w:ascii="仿宋" w:hAnsi="仿宋" w:eastAsia="仿宋" w:cs="仿宋"/>
          <w:color w:val="000000" w:themeColor="text1"/>
          <w:szCs w:val="32"/>
          <w14:textFill>
            <w14:solidFill>
              <w14:schemeClr w14:val="tx1"/>
            </w14:solidFill>
          </w14:textFill>
        </w:rPr>
        <w:t>附件1-2：</w:t>
      </w:r>
    </w:p>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承诺书</w:t>
      </w:r>
    </w:p>
    <w:p>
      <w:pPr>
        <w:pageBreakBefore w:val="0"/>
        <w:kinsoku/>
        <w:wordWrap/>
        <w:overflowPunct/>
        <w:topLinePunct w:val="0"/>
        <w:autoSpaceDE/>
        <w:autoSpaceDN/>
        <w:bidi w:val="0"/>
        <w:spacing w:line="600" w:lineRule="exact"/>
        <w:jc w:val="center"/>
        <w:textAlignment w:val="auto"/>
        <w:rPr>
          <w:rFonts w:ascii="宋体" w:hAnsi="宋体" w:eastAsia="宋体" w:cs="宋体"/>
          <w:color w:val="000000" w:themeColor="text1"/>
          <w:sz w:val="44"/>
          <w:szCs w:val="44"/>
          <w14:textFill>
            <w14:solidFill>
              <w14:schemeClr w14:val="tx1"/>
            </w14:solidFill>
          </w14:textFill>
        </w:rPr>
      </w:pPr>
    </w:p>
    <w:p>
      <w:pPr>
        <w:pageBreakBefore w:val="0"/>
        <w:kinsoku/>
        <w:wordWrap/>
        <w:overflowPunct/>
        <w:topLinePunct w:val="0"/>
        <w:autoSpaceDE/>
        <w:autoSpaceDN/>
        <w:bidi w:val="0"/>
        <w:spacing w:line="600" w:lineRule="exact"/>
        <w:ind w:firstLine="640" w:firstLineChars="20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为保证项目申报的公平公正，本企业郑重承诺:</w:t>
      </w:r>
    </w:p>
    <w:p>
      <w:pPr>
        <w:pageBreakBefore w:val="0"/>
        <w:kinsoku/>
        <w:wordWrap/>
        <w:overflowPunct/>
        <w:topLinePunct w:val="0"/>
        <w:autoSpaceDE/>
        <w:autoSpaceDN/>
        <w:bidi w:val="0"/>
        <w:spacing w:line="600" w:lineRule="exact"/>
        <w:ind w:firstLine="640" w:firstLineChars="20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一、项目申报书填报的全部内容真实、合法、有效；</w:t>
      </w:r>
    </w:p>
    <w:p>
      <w:pPr>
        <w:pageBreakBefore w:val="0"/>
        <w:kinsoku/>
        <w:wordWrap/>
        <w:overflowPunct/>
        <w:topLinePunct w:val="0"/>
        <w:autoSpaceDE/>
        <w:autoSpaceDN/>
        <w:bidi w:val="0"/>
        <w:spacing w:line="600" w:lineRule="exact"/>
        <w:ind w:firstLine="640" w:firstLineChars="20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二、本企业提供的所有项目申报所需的材料真实、合法、有效，提供的复印资料与原件一致。</w:t>
      </w:r>
    </w:p>
    <w:p>
      <w:pPr>
        <w:pageBreakBefore w:val="0"/>
        <w:kinsoku/>
        <w:wordWrap/>
        <w:overflowPunct/>
        <w:topLinePunct w:val="0"/>
        <w:autoSpaceDE/>
        <w:autoSpaceDN/>
        <w:bidi w:val="0"/>
        <w:spacing w:line="600" w:lineRule="exact"/>
        <w:ind w:firstLine="640" w:firstLineChars="20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我们将严格遵守本承诺，如有违反，愿意承担相应的法律责任。</w:t>
      </w:r>
    </w:p>
    <w:p>
      <w:pPr>
        <w:pageBreakBefore w:val="0"/>
        <w:kinsoku/>
        <w:wordWrap/>
        <w:overflowPunct/>
        <w:topLinePunct w:val="0"/>
        <w:autoSpaceDE/>
        <w:autoSpaceDN/>
        <w:bidi w:val="0"/>
        <w:spacing w:line="600" w:lineRule="exact"/>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w:t>
      </w:r>
    </w:p>
    <w:p>
      <w:pPr>
        <w:pageBreakBefore w:val="0"/>
        <w:kinsoku/>
        <w:wordWrap/>
        <w:overflowPunct/>
        <w:topLinePunct w:val="0"/>
        <w:autoSpaceDE/>
        <w:autoSpaceDN/>
        <w:bidi w:val="0"/>
        <w:spacing w:line="600" w:lineRule="exact"/>
        <w:textAlignment w:val="auto"/>
        <w:rPr>
          <w:rFonts w:ascii="仿宋" w:hAnsi="仿宋" w:eastAsia="仿宋" w:cs="仿宋"/>
          <w:color w:val="000000" w:themeColor="text1"/>
          <w:szCs w:val="32"/>
          <w14:textFill>
            <w14:solidFill>
              <w14:schemeClr w14:val="tx1"/>
            </w14:solidFill>
          </w14:textFill>
        </w:rPr>
      </w:pPr>
    </w:p>
    <w:p>
      <w:pPr>
        <w:pageBreakBefore w:val="0"/>
        <w:kinsoku/>
        <w:wordWrap/>
        <w:overflowPunct/>
        <w:topLinePunct w:val="0"/>
        <w:autoSpaceDE/>
        <w:autoSpaceDN/>
        <w:bidi w:val="0"/>
        <w:spacing w:line="600" w:lineRule="exact"/>
        <w:ind w:firstLine="4160" w:firstLineChars="130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承诺单位（盖章）：</w:t>
      </w:r>
    </w:p>
    <w:p>
      <w:pPr>
        <w:pageBreakBefore w:val="0"/>
        <w:kinsoku/>
        <w:wordWrap/>
        <w:overflowPunct/>
        <w:topLinePunct w:val="0"/>
        <w:autoSpaceDE/>
        <w:autoSpaceDN/>
        <w:bidi w:val="0"/>
        <w:spacing w:line="600" w:lineRule="exact"/>
        <w:ind w:firstLine="4160" w:firstLineChars="130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法定代表人（或实际控制人）：</w:t>
      </w:r>
    </w:p>
    <w:p>
      <w:pPr>
        <w:pageBreakBefore w:val="0"/>
        <w:kinsoku/>
        <w:wordWrap/>
        <w:overflowPunct/>
        <w:topLinePunct w:val="0"/>
        <w:autoSpaceDE/>
        <w:autoSpaceDN/>
        <w:bidi w:val="0"/>
        <w:spacing w:line="600" w:lineRule="exact"/>
        <w:ind w:firstLine="6080" w:firstLineChars="1900"/>
        <w:textAlignment w:val="auto"/>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年  月  日</w:t>
      </w:r>
    </w:p>
    <w:p>
      <w:pPr>
        <w:pageBreakBefore w:val="0"/>
        <w:kinsoku/>
        <w:wordWrap/>
        <w:overflowPunct/>
        <w:topLinePunct w:val="0"/>
        <w:autoSpaceDE/>
        <w:autoSpaceDN/>
        <w:bidi w:val="0"/>
        <w:spacing w:line="600" w:lineRule="exact"/>
        <w:jc w:val="center"/>
        <w:textAlignment w:val="auto"/>
        <w:rPr>
          <w:rFonts w:ascii="宋体" w:hAnsi="宋体" w:eastAsia="宋体" w:cs="宋体"/>
          <w:color w:val="000000" w:themeColor="text1"/>
          <w:szCs w:val="32"/>
          <w14:textFill>
            <w14:solidFill>
              <w14:schemeClr w14:val="tx1"/>
            </w14:solidFill>
          </w14:textFill>
        </w:rPr>
      </w:pPr>
    </w:p>
    <w:p>
      <w:pPr>
        <w:pageBreakBefore w:val="0"/>
        <w:kinsoku/>
        <w:wordWrap/>
        <w:overflowPunct/>
        <w:topLinePunct w:val="0"/>
        <w:autoSpaceDE/>
        <w:autoSpaceDN/>
        <w:bidi w:val="0"/>
        <w:spacing w:line="600" w:lineRule="exact"/>
        <w:jc w:val="center"/>
        <w:textAlignment w:val="auto"/>
        <w:rPr>
          <w:rFonts w:ascii="宋体" w:hAnsi="宋体" w:eastAsia="宋体" w:cs="宋体"/>
          <w:color w:val="000000" w:themeColor="text1"/>
          <w:szCs w:val="32"/>
          <w14:textFill>
            <w14:solidFill>
              <w14:schemeClr w14:val="tx1"/>
            </w14:solidFill>
          </w14:textFill>
        </w:rPr>
      </w:pPr>
    </w:p>
    <w:p>
      <w:pPr>
        <w:pageBreakBefore w:val="0"/>
        <w:kinsoku/>
        <w:wordWrap/>
        <w:overflowPunct/>
        <w:topLinePunct w:val="0"/>
        <w:autoSpaceDE/>
        <w:autoSpaceDN/>
        <w:bidi w:val="0"/>
        <w:spacing w:line="600" w:lineRule="exact"/>
        <w:jc w:val="center"/>
        <w:textAlignment w:val="auto"/>
        <w:rPr>
          <w:rFonts w:ascii="宋体" w:hAnsi="宋体" w:eastAsia="宋体" w:cs="宋体"/>
          <w:color w:val="000000" w:themeColor="text1"/>
          <w:szCs w:val="32"/>
          <w14:textFill>
            <w14:solidFill>
              <w14:schemeClr w14:val="tx1"/>
            </w14:solidFill>
          </w14:textFill>
        </w:rPr>
      </w:pPr>
    </w:p>
    <w:p>
      <w:pPr>
        <w:pageBreakBefore w:val="0"/>
        <w:kinsoku/>
        <w:wordWrap/>
        <w:overflowPunct/>
        <w:topLinePunct w:val="0"/>
        <w:autoSpaceDE/>
        <w:autoSpaceDN/>
        <w:bidi w:val="0"/>
        <w:spacing w:line="600" w:lineRule="exact"/>
        <w:jc w:val="center"/>
        <w:textAlignment w:val="auto"/>
        <w:rPr>
          <w:rFonts w:ascii="宋体" w:hAnsi="宋体" w:eastAsia="宋体" w:cs="宋体"/>
          <w:color w:val="000000" w:themeColor="text1"/>
          <w:szCs w:val="32"/>
          <w14:textFill>
            <w14:solidFill>
              <w14:schemeClr w14:val="tx1"/>
            </w14:solidFill>
          </w14:textFill>
        </w:rPr>
      </w:pPr>
    </w:p>
    <w:p>
      <w:pPr>
        <w:pageBreakBefore w:val="0"/>
        <w:kinsoku/>
        <w:wordWrap/>
        <w:overflowPunct/>
        <w:topLinePunct w:val="0"/>
        <w:autoSpaceDE/>
        <w:autoSpaceDN/>
        <w:bidi w:val="0"/>
        <w:spacing w:line="600" w:lineRule="exact"/>
        <w:jc w:val="center"/>
        <w:textAlignment w:val="auto"/>
        <w:rPr>
          <w:rFonts w:ascii="宋体" w:hAnsi="宋体" w:eastAsia="宋体" w:cs="宋体"/>
          <w:color w:val="000000" w:themeColor="text1"/>
          <w:szCs w:val="32"/>
          <w14:textFill>
            <w14:solidFill>
              <w14:schemeClr w14:val="tx1"/>
            </w14:solidFill>
          </w14:textFill>
        </w:rPr>
      </w:pPr>
    </w:p>
    <w:p>
      <w:pPr>
        <w:pageBreakBefore w:val="0"/>
        <w:kinsoku/>
        <w:wordWrap/>
        <w:overflowPunct/>
        <w:topLinePunct w:val="0"/>
        <w:autoSpaceDE/>
        <w:autoSpaceDN/>
        <w:bidi w:val="0"/>
        <w:spacing w:line="600" w:lineRule="exact"/>
        <w:jc w:val="center"/>
        <w:textAlignment w:val="auto"/>
        <w:rPr>
          <w:rFonts w:ascii="宋体" w:hAnsi="宋体" w:eastAsia="宋体" w:cs="宋体"/>
          <w:color w:val="000000" w:themeColor="text1"/>
          <w:szCs w:val="32"/>
          <w14:textFill>
            <w14:solidFill>
              <w14:schemeClr w14:val="tx1"/>
            </w14:solidFill>
          </w14:textFill>
        </w:rPr>
      </w:pPr>
    </w:p>
    <w:p>
      <w:pPr>
        <w:pageBreakBefore w:val="0"/>
        <w:kinsoku/>
        <w:wordWrap/>
        <w:overflowPunct/>
        <w:topLinePunct w:val="0"/>
        <w:autoSpaceDE/>
        <w:autoSpaceDN/>
        <w:bidi w:val="0"/>
        <w:spacing w:line="600" w:lineRule="exact"/>
        <w:textAlignment w:val="auto"/>
        <w:rPr>
          <w:rFonts w:hint="eastAsia" w:ascii="仿宋" w:hAnsi="仿宋" w:eastAsia="仿宋" w:cs="仿宋"/>
          <w:color w:val="000000" w:themeColor="text1"/>
          <w:szCs w:val="32"/>
          <w14:textFill>
            <w14:solidFill>
              <w14:schemeClr w14:val="tx1"/>
            </w14:solidFill>
          </w14:textFill>
        </w:rPr>
      </w:pPr>
    </w:p>
    <w:p>
      <w:pPr>
        <w:pageBreakBefore w:val="0"/>
        <w:kinsoku/>
        <w:wordWrap/>
        <w:overflowPunct/>
        <w:topLinePunct w:val="0"/>
        <w:autoSpaceDE/>
        <w:autoSpaceDN/>
        <w:bidi w:val="0"/>
        <w:spacing w:line="600" w:lineRule="exact"/>
        <w:textAlignment w:val="auto"/>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附件1-3：</w:t>
      </w:r>
    </w:p>
    <w:p>
      <w:pPr>
        <w:pStyle w:val="2"/>
        <w:pageBreakBefore w:val="0"/>
        <w:kinsoku/>
        <w:wordWrap/>
        <w:overflowPunct/>
        <w:topLinePunct w:val="0"/>
        <w:autoSpaceDE/>
        <w:autoSpaceDN/>
        <w:bidi w:val="0"/>
        <w:spacing w:line="600" w:lineRule="exact"/>
        <w:textAlignment w:val="auto"/>
      </w:pPr>
    </w:p>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r>
        <w:rPr>
          <w:rFonts w:hint="eastAsia" w:ascii="宋体" w:hAnsi="宋体" w:eastAsia="宋体" w:cs="宋体"/>
          <w:b/>
          <w:bCs/>
          <w:color w:val="000000" w:themeColor="text1"/>
          <w:kern w:val="0"/>
          <w:sz w:val="44"/>
          <w:szCs w:val="44"/>
          <w14:textFill>
            <w14:solidFill>
              <w14:schemeClr w14:val="tx1"/>
            </w14:solidFill>
          </w14:textFill>
        </w:rPr>
        <w:t>汕尾市知识产权质押融资风险补偿项目</w:t>
      </w:r>
    </w:p>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r>
        <w:rPr>
          <w:rFonts w:hint="eastAsia" w:ascii="宋体" w:hAnsi="宋体" w:eastAsia="宋体" w:cs="宋体"/>
          <w:b/>
          <w:bCs/>
          <w:color w:val="000000" w:themeColor="text1"/>
          <w:kern w:val="0"/>
          <w:sz w:val="44"/>
          <w:szCs w:val="44"/>
          <w14:textFill>
            <w14:solidFill>
              <w14:schemeClr w14:val="tx1"/>
            </w14:solidFill>
          </w14:textFill>
        </w:rPr>
        <w:t>企业汇总表</w:t>
      </w:r>
    </w:p>
    <w:p>
      <w:pPr>
        <w:pageBreakBefore w:val="0"/>
        <w:kinsoku/>
        <w:wordWrap/>
        <w:overflowPunct/>
        <w:topLinePunct w:val="0"/>
        <w:autoSpaceDE/>
        <w:autoSpaceDN/>
        <w:bidi w:val="0"/>
        <w:spacing w:line="600" w:lineRule="exact"/>
        <w:textAlignment w:val="auto"/>
        <w:rPr>
          <w:rFonts w:ascii="宋体" w:hAnsi="宋体" w:eastAsia="宋体" w:cs="宋体"/>
          <w:b/>
          <w:bCs/>
          <w:color w:val="000000" w:themeColor="text1"/>
          <w:kern w:val="0"/>
          <w:sz w:val="44"/>
          <w:szCs w:val="44"/>
          <w14:textFill>
            <w14:solidFill>
              <w14:schemeClr w14:val="tx1"/>
            </w14:solidFill>
          </w14:textFill>
        </w:rPr>
      </w:pPr>
    </w:p>
    <w:p>
      <w:pPr>
        <w:pageBreakBefore w:val="0"/>
        <w:kinsoku/>
        <w:wordWrap/>
        <w:overflowPunct/>
        <w:topLinePunct w:val="0"/>
        <w:autoSpaceDE/>
        <w:autoSpaceDN/>
        <w:bidi w:val="0"/>
        <w:spacing w:line="600" w:lineRule="exact"/>
        <w:textAlignment w:val="auto"/>
        <w:rPr>
          <w:rFonts w:ascii="仿宋" w:hAnsi="仿宋" w:eastAsia="仿宋" w:cs="仿宋"/>
          <w:b/>
          <w:bCs/>
          <w:color w:val="000000" w:themeColor="text1"/>
          <w:kern w:val="0"/>
          <w:szCs w:val="32"/>
          <w14:textFill>
            <w14:solidFill>
              <w14:schemeClr w14:val="tx1"/>
            </w14:solidFill>
          </w14:textFill>
        </w:rPr>
      </w:pPr>
      <w:r>
        <w:rPr>
          <w:rFonts w:hint="eastAsia" w:ascii="仿宋" w:hAnsi="仿宋" w:eastAsia="仿宋" w:cs="仿宋"/>
          <w:b/>
          <w:bCs/>
          <w:color w:val="000000" w:themeColor="text1"/>
          <w:kern w:val="0"/>
          <w:szCs w:val="32"/>
          <w14:textFill>
            <w14:solidFill>
              <w14:schemeClr w14:val="tx1"/>
            </w14:solidFill>
          </w14:textFill>
        </w:rPr>
        <w:t>推荐单位：                           日期：   年  月  日</w:t>
      </w:r>
    </w:p>
    <w:tbl>
      <w:tblPr>
        <w:tblStyle w:val="6"/>
        <w:tblW w:w="10068"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3192"/>
        <w:gridCol w:w="2856"/>
        <w:gridCol w:w="1416"/>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ageBreakBefore w:val="0"/>
              <w:kinsoku/>
              <w:wordWrap/>
              <w:overflowPunct/>
              <w:topLinePunct w:val="0"/>
              <w:autoSpaceDE/>
              <w:autoSpaceDN/>
              <w:bidi w:val="0"/>
              <w:spacing w:line="600" w:lineRule="exact"/>
              <w:jc w:val="center"/>
              <w:textAlignment w:val="auto"/>
              <w:rPr>
                <w:rFonts w:ascii="仿宋" w:hAnsi="仿宋" w:eastAsia="仿宋" w:cs="仿宋"/>
                <w:b/>
                <w:bCs/>
                <w:color w:val="000000" w:themeColor="text1"/>
                <w:kern w:val="0"/>
                <w:szCs w:val="32"/>
                <w14:textFill>
                  <w14:solidFill>
                    <w14:schemeClr w14:val="tx1"/>
                  </w14:solidFill>
                </w14:textFill>
              </w:rPr>
            </w:pPr>
            <w:r>
              <w:rPr>
                <w:rFonts w:hint="eastAsia" w:ascii="仿宋" w:hAnsi="仿宋" w:eastAsia="仿宋" w:cs="仿宋"/>
                <w:b/>
                <w:bCs/>
                <w:color w:val="000000" w:themeColor="text1"/>
                <w:kern w:val="0"/>
                <w:szCs w:val="32"/>
                <w14:textFill>
                  <w14:solidFill>
                    <w14:schemeClr w14:val="tx1"/>
                  </w14:solidFill>
                </w14:textFill>
              </w:rPr>
              <w:t>序号</w:t>
            </w:r>
          </w:p>
        </w:tc>
        <w:tc>
          <w:tcPr>
            <w:tcW w:w="3192" w:type="dxa"/>
          </w:tcPr>
          <w:p>
            <w:pPr>
              <w:pageBreakBefore w:val="0"/>
              <w:kinsoku/>
              <w:wordWrap/>
              <w:overflowPunct/>
              <w:topLinePunct w:val="0"/>
              <w:autoSpaceDE/>
              <w:autoSpaceDN/>
              <w:bidi w:val="0"/>
              <w:spacing w:line="600" w:lineRule="exact"/>
              <w:jc w:val="center"/>
              <w:textAlignment w:val="auto"/>
              <w:rPr>
                <w:rFonts w:ascii="仿宋" w:hAnsi="仿宋" w:eastAsia="仿宋" w:cs="仿宋"/>
                <w:b/>
                <w:bCs/>
                <w:color w:val="000000" w:themeColor="text1"/>
                <w:kern w:val="0"/>
                <w:szCs w:val="32"/>
                <w14:textFill>
                  <w14:solidFill>
                    <w14:schemeClr w14:val="tx1"/>
                  </w14:solidFill>
                </w14:textFill>
              </w:rPr>
            </w:pPr>
            <w:r>
              <w:rPr>
                <w:rFonts w:hint="eastAsia" w:ascii="仿宋" w:hAnsi="仿宋" w:eastAsia="仿宋" w:cs="仿宋"/>
                <w:b/>
                <w:bCs/>
                <w:color w:val="000000" w:themeColor="text1"/>
                <w:kern w:val="0"/>
                <w:szCs w:val="32"/>
                <w14:textFill>
                  <w14:solidFill>
                    <w14:schemeClr w14:val="tx1"/>
                  </w14:solidFill>
                </w14:textFill>
              </w:rPr>
              <w:t>企业名称</w:t>
            </w:r>
          </w:p>
        </w:tc>
        <w:tc>
          <w:tcPr>
            <w:tcW w:w="2856" w:type="dxa"/>
          </w:tcPr>
          <w:p>
            <w:pPr>
              <w:pageBreakBefore w:val="0"/>
              <w:kinsoku/>
              <w:wordWrap/>
              <w:overflowPunct/>
              <w:topLinePunct w:val="0"/>
              <w:autoSpaceDE/>
              <w:autoSpaceDN/>
              <w:bidi w:val="0"/>
              <w:spacing w:line="600" w:lineRule="exact"/>
              <w:jc w:val="center"/>
              <w:textAlignment w:val="auto"/>
              <w:rPr>
                <w:rFonts w:ascii="仿宋" w:hAnsi="仿宋" w:eastAsia="仿宋" w:cs="仿宋"/>
                <w:b/>
                <w:bCs/>
                <w:color w:val="000000" w:themeColor="text1"/>
                <w:kern w:val="0"/>
                <w:szCs w:val="32"/>
                <w14:textFill>
                  <w14:solidFill>
                    <w14:schemeClr w14:val="tx1"/>
                  </w14:solidFill>
                </w14:textFill>
              </w:rPr>
            </w:pPr>
            <w:r>
              <w:rPr>
                <w:rFonts w:hint="eastAsia" w:ascii="仿宋" w:hAnsi="仿宋" w:eastAsia="仿宋" w:cs="仿宋"/>
                <w:b/>
                <w:bCs/>
                <w:color w:val="000000" w:themeColor="text1"/>
                <w:kern w:val="0"/>
                <w:szCs w:val="32"/>
                <w14:textFill>
                  <w14:solidFill>
                    <w14:schemeClr w14:val="tx1"/>
                  </w14:solidFill>
                </w14:textFill>
              </w:rPr>
              <w:t>是否同意推荐</w:t>
            </w:r>
          </w:p>
        </w:tc>
        <w:tc>
          <w:tcPr>
            <w:tcW w:w="1416" w:type="dxa"/>
          </w:tcPr>
          <w:p>
            <w:pPr>
              <w:pageBreakBefore w:val="0"/>
              <w:kinsoku/>
              <w:wordWrap/>
              <w:overflowPunct/>
              <w:topLinePunct w:val="0"/>
              <w:autoSpaceDE/>
              <w:autoSpaceDN/>
              <w:bidi w:val="0"/>
              <w:spacing w:line="600" w:lineRule="exact"/>
              <w:jc w:val="center"/>
              <w:textAlignment w:val="auto"/>
              <w:rPr>
                <w:rFonts w:ascii="仿宋" w:hAnsi="仿宋" w:eastAsia="仿宋" w:cs="仿宋"/>
                <w:b/>
                <w:bCs/>
                <w:color w:val="000000" w:themeColor="text1"/>
                <w:kern w:val="0"/>
                <w:szCs w:val="32"/>
                <w14:textFill>
                  <w14:solidFill>
                    <w14:schemeClr w14:val="tx1"/>
                  </w14:solidFill>
                </w14:textFill>
              </w:rPr>
            </w:pPr>
            <w:r>
              <w:rPr>
                <w:rFonts w:hint="eastAsia" w:ascii="仿宋" w:hAnsi="仿宋" w:eastAsia="仿宋" w:cs="仿宋"/>
                <w:b/>
                <w:bCs/>
                <w:color w:val="000000" w:themeColor="text1"/>
                <w:kern w:val="0"/>
                <w:szCs w:val="32"/>
                <w14:textFill>
                  <w14:solidFill>
                    <w14:schemeClr w14:val="tx1"/>
                  </w14:solidFill>
                </w14:textFill>
              </w:rPr>
              <w:t>联系人</w:t>
            </w:r>
          </w:p>
        </w:tc>
        <w:tc>
          <w:tcPr>
            <w:tcW w:w="1692" w:type="dxa"/>
          </w:tcPr>
          <w:p>
            <w:pPr>
              <w:pageBreakBefore w:val="0"/>
              <w:kinsoku/>
              <w:wordWrap/>
              <w:overflowPunct/>
              <w:topLinePunct w:val="0"/>
              <w:autoSpaceDE/>
              <w:autoSpaceDN/>
              <w:bidi w:val="0"/>
              <w:spacing w:line="600" w:lineRule="exact"/>
              <w:jc w:val="center"/>
              <w:textAlignment w:val="auto"/>
              <w:rPr>
                <w:rFonts w:ascii="仿宋" w:hAnsi="仿宋" w:eastAsia="仿宋" w:cs="仿宋"/>
                <w:b/>
                <w:bCs/>
                <w:color w:val="000000" w:themeColor="text1"/>
                <w:kern w:val="0"/>
                <w:szCs w:val="32"/>
                <w14:textFill>
                  <w14:solidFill>
                    <w14:schemeClr w14:val="tx1"/>
                  </w14:solidFill>
                </w14:textFill>
              </w:rPr>
            </w:pPr>
            <w:r>
              <w:rPr>
                <w:rFonts w:hint="eastAsia" w:ascii="仿宋" w:hAnsi="仿宋" w:eastAsia="仿宋" w:cs="仿宋"/>
                <w:b/>
                <w:bCs/>
                <w:color w:val="000000" w:themeColor="text1"/>
                <w:kern w:val="0"/>
                <w:szCs w:val="32"/>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31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285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41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6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31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285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41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6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31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285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41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6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31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285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41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6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31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285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41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6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31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285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41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6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31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285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41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6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31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285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41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6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31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285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41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6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31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285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41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6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31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285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41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6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31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285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41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6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31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285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416"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c>
          <w:tcPr>
            <w:tcW w:w="1692" w:type="dxa"/>
          </w:tcPr>
          <w:p>
            <w:pPr>
              <w:pageBreakBefore w:val="0"/>
              <w:kinsoku/>
              <w:wordWrap/>
              <w:overflowPunct/>
              <w:topLinePunct w:val="0"/>
              <w:autoSpaceDE/>
              <w:autoSpaceDN/>
              <w:bidi w:val="0"/>
              <w:spacing w:line="600" w:lineRule="exact"/>
              <w:jc w:val="center"/>
              <w:textAlignment w:val="auto"/>
              <w:rPr>
                <w:rFonts w:ascii="宋体" w:hAnsi="宋体" w:eastAsia="宋体" w:cs="宋体"/>
                <w:b/>
                <w:bCs/>
                <w:color w:val="000000" w:themeColor="text1"/>
                <w:kern w:val="0"/>
                <w:sz w:val="44"/>
                <w:szCs w:val="44"/>
                <w14:textFill>
                  <w14:solidFill>
                    <w14:schemeClr w14:val="tx1"/>
                  </w14:solidFill>
                </w14:textFill>
              </w:rPr>
            </w:pPr>
          </w:p>
        </w:tc>
      </w:tr>
    </w:tbl>
    <w:p>
      <w:pPr>
        <w:pageBreakBefore w:val="0"/>
        <w:kinsoku/>
        <w:wordWrap/>
        <w:overflowPunct/>
        <w:topLinePunct w:val="0"/>
        <w:autoSpaceDE/>
        <w:autoSpaceDN/>
        <w:bidi w:val="0"/>
        <w:spacing w:line="600" w:lineRule="exact"/>
        <w:textAlignment w:val="auto"/>
        <w:rPr>
          <w:color w:val="000000" w:themeColor="text1"/>
          <w:sz w:val="36"/>
          <w:szCs w:val="36"/>
          <w14:textFill>
            <w14:solidFill>
              <w14:schemeClr w14:val="tx1"/>
            </w14:solidFill>
          </w14:textFill>
        </w:rPr>
      </w:pPr>
    </w:p>
    <w:sectPr>
      <w:footerReference r:id="rId5" w:type="default"/>
      <w:pgSz w:w="11906" w:h="16838"/>
      <w:pgMar w:top="2098" w:right="1474" w:bottom="1984" w:left="1587" w:header="851" w:footer="992" w:gutter="0"/>
      <w:pgNumType w:fmt="numberInDash"/>
      <w:cols w:space="0" w:num="1"/>
      <w:docGrid w:type="lines" w:linePitch="44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- 16 -</w:t>
                          </w:r>
                          <w:r>
                            <w:rPr>
                              <w:rFonts w:hint="eastAsia" w:ascii="仿宋_GB2312" w:hAnsi="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- 16 -</w:t>
                    </w:r>
                    <w:r>
                      <w:rPr>
                        <w:rFonts w:hint="eastAsia" w:ascii="仿宋_GB2312" w:hAnsi="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MDZkYjEyNWNhYTI5Zjc1ODJlYjY0ZTc3ZmUyN2UifQ=="/>
  </w:docVars>
  <w:rsids>
    <w:rsidRoot w:val="78E70620"/>
    <w:rsid w:val="00245594"/>
    <w:rsid w:val="007A1658"/>
    <w:rsid w:val="00885B23"/>
    <w:rsid w:val="00C528D4"/>
    <w:rsid w:val="00EA058C"/>
    <w:rsid w:val="01097D2F"/>
    <w:rsid w:val="011204F2"/>
    <w:rsid w:val="0116312F"/>
    <w:rsid w:val="012F41F1"/>
    <w:rsid w:val="01A73D87"/>
    <w:rsid w:val="01EE5E5A"/>
    <w:rsid w:val="02105650"/>
    <w:rsid w:val="02587777"/>
    <w:rsid w:val="026B1259"/>
    <w:rsid w:val="028D5673"/>
    <w:rsid w:val="029D3D08"/>
    <w:rsid w:val="02DA63DE"/>
    <w:rsid w:val="03127926"/>
    <w:rsid w:val="032D315A"/>
    <w:rsid w:val="03305FFE"/>
    <w:rsid w:val="03370F9A"/>
    <w:rsid w:val="035166A0"/>
    <w:rsid w:val="038F541B"/>
    <w:rsid w:val="03BB1D6C"/>
    <w:rsid w:val="03EC63C9"/>
    <w:rsid w:val="04293179"/>
    <w:rsid w:val="042C0EBC"/>
    <w:rsid w:val="04441D61"/>
    <w:rsid w:val="04722D72"/>
    <w:rsid w:val="04A96068"/>
    <w:rsid w:val="04AB3B8E"/>
    <w:rsid w:val="04B54A0D"/>
    <w:rsid w:val="04F419D9"/>
    <w:rsid w:val="050634BB"/>
    <w:rsid w:val="054F6C10"/>
    <w:rsid w:val="05542478"/>
    <w:rsid w:val="055A55B4"/>
    <w:rsid w:val="056621AB"/>
    <w:rsid w:val="05C55124"/>
    <w:rsid w:val="05D709B3"/>
    <w:rsid w:val="05EA4B8A"/>
    <w:rsid w:val="061816F7"/>
    <w:rsid w:val="064E336B"/>
    <w:rsid w:val="0671705A"/>
    <w:rsid w:val="06882FC4"/>
    <w:rsid w:val="068A3C77"/>
    <w:rsid w:val="06913258"/>
    <w:rsid w:val="06FF01C2"/>
    <w:rsid w:val="0728596A"/>
    <w:rsid w:val="073A569E"/>
    <w:rsid w:val="077010BF"/>
    <w:rsid w:val="07852DBD"/>
    <w:rsid w:val="078B7CA7"/>
    <w:rsid w:val="07BE1E2B"/>
    <w:rsid w:val="08071A24"/>
    <w:rsid w:val="080C0DE8"/>
    <w:rsid w:val="080F08D8"/>
    <w:rsid w:val="0822685D"/>
    <w:rsid w:val="08283748"/>
    <w:rsid w:val="08850B9A"/>
    <w:rsid w:val="08852948"/>
    <w:rsid w:val="089B216C"/>
    <w:rsid w:val="089F7EAE"/>
    <w:rsid w:val="08FB2C0B"/>
    <w:rsid w:val="09320D22"/>
    <w:rsid w:val="09475E50"/>
    <w:rsid w:val="095011A8"/>
    <w:rsid w:val="097736D5"/>
    <w:rsid w:val="0A2F7010"/>
    <w:rsid w:val="0A8C6210"/>
    <w:rsid w:val="0AA01CBB"/>
    <w:rsid w:val="0AC260D6"/>
    <w:rsid w:val="0AEE0402"/>
    <w:rsid w:val="0B1526A9"/>
    <w:rsid w:val="0B187AA4"/>
    <w:rsid w:val="0B204BAA"/>
    <w:rsid w:val="0B7C6285"/>
    <w:rsid w:val="0B811AED"/>
    <w:rsid w:val="0BDE0CED"/>
    <w:rsid w:val="0C230DF6"/>
    <w:rsid w:val="0CF307C8"/>
    <w:rsid w:val="0D4923B3"/>
    <w:rsid w:val="0D9712D7"/>
    <w:rsid w:val="0DB735A4"/>
    <w:rsid w:val="0DE3083D"/>
    <w:rsid w:val="0E321EC7"/>
    <w:rsid w:val="0E4D5CB6"/>
    <w:rsid w:val="0E6059EA"/>
    <w:rsid w:val="0E813BB2"/>
    <w:rsid w:val="0EA53D44"/>
    <w:rsid w:val="0ECB733C"/>
    <w:rsid w:val="0ED85E12"/>
    <w:rsid w:val="0EE3661B"/>
    <w:rsid w:val="0EE77EB9"/>
    <w:rsid w:val="0F2056D9"/>
    <w:rsid w:val="0F227B67"/>
    <w:rsid w:val="0F847DFE"/>
    <w:rsid w:val="0F8C0A60"/>
    <w:rsid w:val="0FA22032"/>
    <w:rsid w:val="0FD52407"/>
    <w:rsid w:val="0FFD54BA"/>
    <w:rsid w:val="0FFE370C"/>
    <w:rsid w:val="10207B26"/>
    <w:rsid w:val="103C4234"/>
    <w:rsid w:val="10685029"/>
    <w:rsid w:val="108E7003"/>
    <w:rsid w:val="10967DE9"/>
    <w:rsid w:val="10AC13BA"/>
    <w:rsid w:val="10B169D0"/>
    <w:rsid w:val="10DE52EC"/>
    <w:rsid w:val="115B693C"/>
    <w:rsid w:val="116A4DD1"/>
    <w:rsid w:val="11812847"/>
    <w:rsid w:val="11DA5AB3"/>
    <w:rsid w:val="11E535B3"/>
    <w:rsid w:val="11FC3C7B"/>
    <w:rsid w:val="122A4C8C"/>
    <w:rsid w:val="1236154C"/>
    <w:rsid w:val="12531C11"/>
    <w:rsid w:val="12617F82"/>
    <w:rsid w:val="129A3494"/>
    <w:rsid w:val="12A165D1"/>
    <w:rsid w:val="12A61E39"/>
    <w:rsid w:val="12B5207C"/>
    <w:rsid w:val="12D90460"/>
    <w:rsid w:val="13113756"/>
    <w:rsid w:val="13370CE3"/>
    <w:rsid w:val="1347361C"/>
    <w:rsid w:val="138E4DA7"/>
    <w:rsid w:val="13A445CA"/>
    <w:rsid w:val="13C133CE"/>
    <w:rsid w:val="14305E5E"/>
    <w:rsid w:val="144E09DA"/>
    <w:rsid w:val="147F2942"/>
    <w:rsid w:val="150F1F18"/>
    <w:rsid w:val="152449FC"/>
    <w:rsid w:val="159D7523"/>
    <w:rsid w:val="15A22D8C"/>
    <w:rsid w:val="15C47032"/>
    <w:rsid w:val="15DD2016"/>
    <w:rsid w:val="15DF1577"/>
    <w:rsid w:val="1606156C"/>
    <w:rsid w:val="1606331B"/>
    <w:rsid w:val="16227A29"/>
    <w:rsid w:val="1626576B"/>
    <w:rsid w:val="16271F06"/>
    <w:rsid w:val="16297009"/>
    <w:rsid w:val="16473933"/>
    <w:rsid w:val="164B51D1"/>
    <w:rsid w:val="167364D6"/>
    <w:rsid w:val="1695469E"/>
    <w:rsid w:val="16A6065A"/>
    <w:rsid w:val="16BE1E47"/>
    <w:rsid w:val="16BF796D"/>
    <w:rsid w:val="16D95624"/>
    <w:rsid w:val="16DE7DF3"/>
    <w:rsid w:val="17606A5A"/>
    <w:rsid w:val="17683B61"/>
    <w:rsid w:val="17B9616B"/>
    <w:rsid w:val="17C52D61"/>
    <w:rsid w:val="17D47448"/>
    <w:rsid w:val="17F92A0B"/>
    <w:rsid w:val="18586850"/>
    <w:rsid w:val="185A5BA0"/>
    <w:rsid w:val="188D46EA"/>
    <w:rsid w:val="18AF5EEB"/>
    <w:rsid w:val="18B74DA0"/>
    <w:rsid w:val="18D45952"/>
    <w:rsid w:val="18E15979"/>
    <w:rsid w:val="192166BD"/>
    <w:rsid w:val="19344385"/>
    <w:rsid w:val="193F08F1"/>
    <w:rsid w:val="195A572B"/>
    <w:rsid w:val="19600F94"/>
    <w:rsid w:val="19F94F44"/>
    <w:rsid w:val="1A136006"/>
    <w:rsid w:val="1A1B310D"/>
    <w:rsid w:val="1A4C32C6"/>
    <w:rsid w:val="1A5003B0"/>
    <w:rsid w:val="1A9A1B4D"/>
    <w:rsid w:val="1AE14356"/>
    <w:rsid w:val="1AF20311"/>
    <w:rsid w:val="1B065B6B"/>
    <w:rsid w:val="1B214753"/>
    <w:rsid w:val="1B676A58"/>
    <w:rsid w:val="1BA86C22"/>
    <w:rsid w:val="1BAF7FB0"/>
    <w:rsid w:val="1BBE1FA1"/>
    <w:rsid w:val="1BEC2FB3"/>
    <w:rsid w:val="1BF14125"/>
    <w:rsid w:val="1C204A0A"/>
    <w:rsid w:val="1C35495A"/>
    <w:rsid w:val="1C542906"/>
    <w:rsid w:val="1C735482"/>
    <w:rsid w:val="1C8B27CB"/>
    <w:rsid w:val="1CA078F9"/>
    <w:rsid w:val="1CB02232"/>
    <w:rsid w:val="1CBD04AB"/>
    <w:rsid w:val="1CDA105D"/>
    <w:rsid w:val="1D0460DA"/>
    <w:rsid w:val="1D57445C"/>
    <w:rsid w:val="1D596426"/>
    <w:rsid w:val="1DA8115B"/>
    <w:rsid w:val="1DA90A2F"/>
    <w:rsid w:val="1E0345E3"/>
    <w:rsid w:val="1E2106D1"/>
    <w:rsid w:val="1E285DF8"/>
    <w:rsid w:val="1E42510C"/>
    <w:rsid w:val="1E6D7CAF"/>
    <w:rsid w:val="1E827BFE"/>
    <w:rsid w:val="1EA27958"/>
    <w:rsid w:val="1EB21F1E"/>
    <w:rsid w:val="1F3F33F9"/>
    <w:rsid w:val="1F446C62"/>
    <w:rsid w:val="1F576837"/>
    <w:rsid w:val="1F59095F"/>
    <w:rsid w:val="1F83152E"/>
    <w:rsid w:val="1F9F20EA"/>
    <w:rsid w:val="1FBE4C66"/>
    <w:rsid w:val="1FFE1506"/>
    <w:rsid w:val="20036B1D"/>
    <w:rsid w:val="200B6C9D"/>
    <w:rsid w:val="201B3E66"/>
    <w:rsid w:val="20370574"/>
    <w:rsid w:val="203C5B8B"/>
    <w:rsid w:val="206A6B9C"/>
    <w:rsid w:val="20CF4C51"/>
    <w:rsid w:val="20F36B91"/>
    <w:rsid w:val="20FA7F20"/>
    <w:rsid w:val="211C233A"/>
    <w:rsid w:val="211C60E8"/>
    <w:rsid w:val="213056EF"/>
    <w:rsid w:val="215238B8"/>
    <w:rsid w:val="216D6944"/>
    <w:rsid w:val="219519F6"/>
    <w:rsid w:val="219914E7"/>
    <w:rsid w:val="219F0AC7"/>
    <w:rsid w:val="21AE4866"/>
    <w:rsid w:val="21B26104"/>
    <w:rsid w:val="21F13EA3"/>
    <w:rsid w:val="2210107D"/>
    <w:rsid w:val="224D0523"/>
    <w:rsid w:val="226A69DF"/>
    <w:rsid w:val="22963C78"/>
    <w:rsid w:val="22A2261D"/>
    <w:rsid w:val="22C64DBD"/>
    <w:rsid w:val="22CA1B74"/>
    <w:rsid w:val="23BA3996"/>
    <w:rsid w:val="23E46C65"/>
    <w:rsid w:val="23FC3FAF"/>
    <w:rsid w:val="240F3CE2"/>
    <w:rsid w:val="241E2177"/>
    <w:rsid w:val="245A2A83"/>
    <w:rsid w:val="2476005E"/>
    <w:rsid w:val="247955FF"/>
    <w:rsid w:val="24A26904"/>
    <w:rsid w:val="24A85EE5"/>
    <w:rsid w:val="24C543A1"/>
    <w:rsid w:val="24EF7670"/>
    <w:rsid w:val="254479BB"/>
    <w:rsid w:val="254901DB"/>
    <w:rsid w:val="255120D8"/>
    <w:rsid w:val="256040C9"/>
    <w:rsid w:val="25A466AC"/>
    <w:rsid w:val="25E116AE"/>
    <w:rsid w:val="25E90563"/>
    <w:rsid w:val="26120C33"/>
    <w:rsid w:val="26415CA9"/>
    <w:rsid w:val="265579A6"/>
    <w:rsid w:val="267E0CAB"/>
    <w:rsid w:val="268D5392"/>
    <w:rsid w:val="26AB5818"/>
    <w:rsid w:val="26E50D2A"/>
    <w:rsid w:val="270A69E3"/>
    <w:rsid w:val="270C4509"/>
    <w:rsid w:val="271635D9"/>
    <w:rsid w:val="274517C9"/>
    <w:rsid w:val="27675BE3"/>
    <w:rsid w:val="27A961FC"/>
    <w:rsid w:val="27AB53B3"/>
    <w:rsid w:val="27BD1CA7"/>
    <w:rsid w:val="27BF118F"/>
    <w:rsid w:val="27DA63B5"/>
    <w:rsid w:val="27FC457D"/>
    <w:rsid w:val="27FF7BCA"/>
    <w:rsid w:val="283C2BCC"/>
    <w:rsid w:val="28550131"/>
    <w:rsid w:val="2873018D"/>
    <w:rsid w:val="28740FEB"/>
    <w:rsid w:val="28D728F5"/>
    <w:rsid w:val="28E33031"/>
    <w:rsid w:val="28F17E5A"/>
    <w:rsid w:val="28F85103"/>
    <w:rsid w:val="29121B7F"/>
    <w:rsid w:val="295F594B"/>
    <w:rsid w:val="297070D8"/>
    <w:rsid w:val="2976210D"/>
    <w:rsid w:val="297B7724"/>
    <w:rsid w:val="29820AB2"/>
    <w:rsid w:val="29995DFC"/>
    <w:rsid w:val="29A50C45"/>
    <w:rsid w:val="29F51284"/>
    <w:rsid w:val="29FF65A7"/>
    <w:rsid w:val="2A2E4796"/>
    <w:rsid w:val="2A5266D7"/>
    <w:rsid w:val="2A862824"/>
    <w:rsid w:val="2AFB6D6E"/>
    <w:rsid w:val="2B035C23"/>
    <w:rsid w:val="2B0B4AD7"/>
    <w:rsid w:val="2B0F6376"/>
    <w:rsid w:val="2B252A91"/>
    <w:rsid w:val="2B4D50F0"/>
    <w:rsid w:val="2B520958"/>
    <w:rsid w:val="2B595843"/>
    <w:rsid w:val="2B612949"/>
    <w:rsid w:val="2BE47802"/>
    <w:rsid w:val="2BEA0B91"/>
    <w:rsid w:val="2C275941"/>
    <w:rsid w:val="2C510E4D"/>
    <w:rsid w:val="2C5A3F68"/>
    <w:rsid w:val="2C5F0F16"/>
    <w:rsid w:val="2C8B2374"/>
    <w:rsid w:val="2C90798A"/>
    <w:rsid w:val="2CB81C71"/>
    <w:rsid w:val="2CC07F2A"/>
    <w:rsid w:val="2CE81574"/>
    <w:rsid w:val="2CF63BDB"/>
    <w:rsid w:val="2D14044A"/>
    <w:rsid w:val="2D216834"/>
    <w:rsid w:val="2D35408E"/>
    <w:rsid w:val="2D406CBA"/>
    <w:rsid w:val="2DA63E50"/>
    <w:rsid w:val="2DCD0697"/>
    <w:rsid w:val="2DED6716"/>
    <w:rsid w:val="2E01716D"/>
    <w:rsid w:val="2E0979F4"/>
    <w:rsid w:val="2E0E0B66"/>
    <w:rsid w:val="2E1A575D"/>
    <w:rsid w:val="2E4722CA"/>
    <w:rsid w:val="2ED753FC"/>
    <w:rsid w:val="2EE9018A"/>
    <w:rsid w:val="2F33106A"/>
    <w:rsid w:val="2F5922B5"/>
    <w:rsid w:val="2F776BDF"/>
    <w:rsid w:val="2F7B2DB6"/>
    <w:rsid w:val="2FC5794B"/>
    <w:rsid w:val="300F0BC6"/>
    <w:rsid w:val="30182170"/>
    <w:rsid w:val="301B756B"/>
    <w:rsid w:val="30397D6F"/>
    <w:rsid w:val="308570DA"/>
    <w:rsid w:val="308E2433"/>
    <w:rsid w:val="309A4933"/>
    <w:rsid w:val="30B724E8"/>
    <w:rsid w:val="30C65728"/>
    <w:rsid w:val="30C95219"/>
    <w:rsid w:val="30CE0A81"/>
    <w:rsid w:val="30D37E45"/>
    <w:rsid w:val="30F009F7"/>
    <w:rsid w:val="31197F4E"/>
    <w:rsid w:val="311C17EC"/>
    <w:rsid w:val="3126266B"/>
    <w:rsid w:val="314D19A6"/>
    <w:rsid w:val="316F4012"/>
    <w:rsid w:val="31C3435E"/>
    <w:rsid w:val="31EA18EB"/>
    <w:rsid w:val="32075FF9"/>
    <w:rsid w:val="32236BAB"/>
    <w:rsid w:val="32546D64"/>
    <w:rsid w:val="32B85545"/>
    <w:rsid w:val="33386686"/>
    <w:rsid w:val="333870A0"/>
    <w:rsid w:val="336F02F9"/>
    <w:rsid w:val="33B91574"/>
    <w:rsid w:val="33C5471C"/>
    <w:rsid w:val="33D063D3"/>
    <w:rsid w:val="33F425AD"/>
    <w:rsid w:val="347B0F20"/>
    <w:rsid w:val="34930017"/>
    <w:rsid w:val="34B61F58"/>
    <w:rsid w:val="34C53F49"/>
    <w:rsid w:val="34E00D83"/>
    <w:rsid w:val="350C1B78"/>
    <w:rsid w:val="35103416"/>
    <w:rsid w:val="35150A2C"/>
    <w:rsid w:val="35357321"/>
    <w:rsid w:val="35647C06"/>
    <w:rsid w:val="3568012D"/>
    <w:rsid w:val="358D0F0B"/>
    <w:rsid w:val="35935DF5"/>
    <w:rsid w:val="35D2602D"/>
    <w:rsid w:val="35FB2318"/>
    <w:rsid w:val="3652180C"/>
    <w:rsid w:val="36633A19"/>
    <w:rsid w:val="36B9188B"/>
    <w:rsid w:val="36F56D67"/>
    <w:rsid w:val="3701395E"/>
    <w:rsid w:val="371D006C"/>
    <w:rsid w:val="3727713D"/>
    <w:rsid w:val="373D24BC"/>
    <w:rsid w:val="37621F23"/>
    <w:rsid w:val="379C5435"/>
    <w:rsid w:val="37A147F9"/>
    <w:rsid w:val="37AB38CA"/>
    <w:rsid w:val="37CF580A"/>
    <w:rsid w:val="382316B2"/>
    <w:rsid w:val="384201C0"/>
    <w:rsid w:val="38477753"/>
    <w:rsid w:val="38613F89"/>
    <w:rsid w:val="38934A8A"/>
    <w:rsid w:val="38961E84"/>
    <w:rsid w:val="38CE5AC2"/>
    <w:rsid w:val="38E54BBA"/>
    <w:rsid w:val="39184F8F"/>
    <w:rsid w:val="392B7F90"/>
    <w:rsid w:val="394C4C39"/>
    <w:rsid w:val="39534219"/>
    <w:rsid w:val="39762597"/>
    <w:rsid w:val="39A71E6F"/>
    <w:rsid w:val="39CD3FCC"/>
    <w:rsid w:val="39DD3AE3"/>
    <w:rsid w:val="39E84962"/>
    <w:rsid w:val="3A064DE8"/>
    <w:rsid w:val="3A916DA7"/>
    <w:rsid w:val="3A9E7716"/>
    <w:rsid w:val="3B09606F"/>
    <w:rsid w:val="3B0E664A"/>
    <w:rsid w:val="3B3D2A8B"/>
    <w:rsid w:val="3B6F4C0F"/>
    <w:rsid w:val="3B7D37CF"/>
    <w:rsid w:val="3B842468"/>
    <w:rsid w:val="3B96663F"/>
    <w:rsid w:val="3BBA0580"/>
    <w:rsid w:val="3BD31641"/>
    <w:rsid w:val="3BDA477E"/>
    <w:rsid w:val="3BDF7FE6"/>
    <w:rsid w:val="3BF07AFD"/>
    <w:rsid w:val="3C5C1637"/>
    <w:rsid w:val="3C601127"/>
    <w:rsid w:val="3CAD59EE"/>
    <w:rsid w:val="3CC03974"/>
    <w:rsid w:val="3CC33464"/>
    <w:rsid w:val="3D0F0457"/>
    <w:rsid w:val="3D404AB5"/>
    <w:rsid w:val="3D436353"/>
    <w:rsid w:val="3D485717"/>
    <w:rsid w:val="3D7529B0"/>
    <w:rsid w:val="3DD5344F"/>
    <w:rsid w:val="3DE713D4"/>
    <w:rsid w:val="3DFF04CC"/>
    <w:rsid w:val="3E083824"/>
    <w:rsid w:val="3E391C30"/>
    <w:rsid w:val="3E4D56DB"/>
    <w:rsid w:val="3E595E2E"/>
    <w:rsid w:val="3EE651E8"/>
    <w:rsid w:val="3EFA6412"/>
    <w:rsid w:val="3EFB4486"/>
    <w:rsid w:val="3F171845"/>
    <w:rsid w:val="3F43263A"/>
    <w:rsid w:val="3F6F342F"/>
    <w:rsid w:val="3F823162"/>
    <w:rsid w:val="3FDA7CCE"/>
    <w:rsid w:val="3FFA719D"/>
    <w:rsid w:val="407C5E04"/>
    <w:rsid w:val="4090365D"/>
    <w:rsid w:val="40AB66E9"/>
    <w:rsid w:val="40B76E3C"/>
    <w:rsid w:val="40BB4ECE"/>
    <w:rsid w:val="40C652D1"/>
    <w:rsid w:val="40C81049"/>
    <w:rsid w:val="410B7187"/>
    <w:rsid w:val="411424E0"/>
    <w:rsid w:val="413B5CBF"/>
    <w:rsid w:val="41483F38"/>
    <w:rsid w:val="415626EE"/>
    <w:rsid w:val="417E7959"/>
    <w:rsid w:val="41B8730F"/>
    <w:rsid w:val="41C77552"/>
    <w:rsid w:val="41FA7928"/>
    <w:rsid w:val="41FD4D22"/>
    <w:rsid w:val="41FF4F3E"/>
    <w:rsid w:val="42312C1E"/>
    <w:rsid w:val="423E326B"/>
    <w:rsid w:val="42B53721"/>
    <w:rsid w:val="42B60ED1"/>
    <w:rsid w:val="430F2F5F"/>
    <w:rsid w:val="431A1904"/>
    <w:rsid w:val="43A643FA"/>
    <w:rsid w:val="43C57AC2"/>
    <w:rsid w:val="43EE7018"/>
    <w:rsid w:val="44185E43"/>
    <w:rsid w:val="4447497A"/>
    <w:rsid w:val="445D5F4C"/>
    <w:rsid w:val="445F4661"/>
    <w:rsid w:val="451E1B7F"/>
    <w:rsid w:val="45482758"/>
    <w:rsid w:val="454F7F8B"/>
    <w:rsid w:val="45912351"/>
    <w:rsid w:val="45C41AF9"/>
    <w:rsid w:val="45C53DA9"/>
    <w:rsid w:val="45E00BE3"/>
    <w:rsid w:val="45FE72BB"/>
    <w:rsid w:val="46130FB8"/>
    <w:rsid w:val="46780E1B"/>
    <w:rsid w:val="46AE0CE1"/>
    <w:rsid w:val="46B53E1D"/>
    <w:rsid w:val="46C6427C"/>
    <w:rsid w:val="46E70535"/>
    <w:rsid w:val="476B4B50"/>
    <w:rsid w:val="478F466E"/>
    <w:rsid w:val="483B2A48"/>
    <w:rsid w:val="485853A8"/>
    <w:rsid w:val="4871646A"/>
    <w:rsid w:val="48961A2D"/>
    <w:rsid w:val="48AC2FFE"/>
    <w:rsid w:val="48EC789E"/>
    <w:rsid w:val="49060960"/>
    <w:rsid w:val="490C7F41"/>
    <w:rsid w:val="49883A6B"/>
    <w:rsid w:val="49AB0C61"/>
    <w:rsid w:val="49B22896"/>
    <w:rsid w:val="49D123EE"/>
    <w:rsid w:val="49E97107"/>
    <w:rsid w:val="49EC224C"/>
    <w:rsid w:val="4A050C18"/>
    <w:rsid w:val="4A3634C7"/>
    <w:rsid w:val="4A4060F4"/>
    <w:rsid w:val="4A722025"/>
    <w:rsid w:val="4ABF170F"/>
    <w:rsid w:val="4AC22FAD"/>
    <w:rsid w:val="4AF07B1A"/>
    <w:rsid w:val="4B11183E"/>
    <w:rsid w:val="4B38501D"/>
    <w:rsid w:val="4B6422B6"/>
    <w:rsid w:val="4B887D52"/>
    <w:rsid w:val="4B9366F7"/>
    <w:rsid w:val="4BA34B8C"/>
    <w:rsid w:val="4BB40B47"/>
    <w:rsid w:val="4BB723E6"/>
    <w:rsid w:val="4BCE14DD"/>
    <w:rsid w:val="4BF8483F"/>
    <w:rsid w:val="4C1E2465"/>
    <w:rsid w:val="4C6C31D0"/>
    <w:rsid w:val="4C89719B"/>
    <w:rsid w:val="4C8F6EBF"/>
    <w:rsid w:val="4CAD5597"/>
    <w:rsid w:val="4CC25E71"/>
    <w:rsid w:val="4CD80866"/>
    <w:rsid w:val="4CEF6533"/>
    <w:rsid w:val="4D3D5F0C"/>
    <w:rsid w:val="4D545664"/>
    <w:rsid w:val="4D6245D3"/>
    <w:rsid w:val="4D902EEE"/>
    <w:rsid w:val="4DBF00F4"/>
    <w:rsid w:val="4DFF1E22"/>
    <w:rsid w:val="4E0336C0"/>
    <w:rsid w:val="4E0833CC"/>
    <w:rsid w:val="4E2875CB"/>
    <w:rsid w:val="4E4A5793"/>
    <w:rsid w:val="4E5B34FC"/>
    <w:rsid w:val="4EAA6232"/>
    <w:rsid w:val="4EF9311D"/>
    <w:rsid w:val="4F053468"/>
    <w:rsid w:val="4F7A5C04"/>
    <w:rsid w:val="4F9667B6"/>
    <w:rsid w:val="4FA62E9D"/>
    <w:rsid w:val="4FAC7D88"/>
    <w:rsid w:val="4FF534DD"/>
    <w:rsid w:val="502B33A2"/>
    <w:rsid w:val="503F29AA"/>
    <w:rsid w:val="5052092F"/>
    <w:rsid w:val="505446A7"/>
    <w:rsid w:val="50597F0F"/>
    <w:rsid w:val="506D7517"/>
    <w:rsid w:val="509E1DC6"/>
    <w:rsid w:val="509E5922"/>
    <w:rsid w:val="50CC06E1"/>
    <w:rsid w:val="512F6EC2"/>
    <w:rsid w:val="513242BC"/>
    <w:rsid w:val="5156444F"/>
    <w:rsid w:val="51622DF4"/>
    <w:rsid w:val="51890380"/>
    <w:rsid w:val="51B66C9C"/>
    <w:rsid w:val="51BD627C"/>
    <w:rsid w:val="51D13AD5"/>
    <w:rsid w:val="51D33CF1"/>
    <w:rsid w:val="51E47CAD"/>
    <w:rsid w:val="52097713"/>
    <w:rsid w:val="520D7203"/>
    <w:rsid w:val="5245699D"/>
    <w:rsid w:val="527F1783"/>
    <w:rsid w:val="52854FEC"/>
    <w:rsid w:val="5290573F"/>
    <w:rsid w:val="52B753C1"/>
    <w:rsid w:val="52C378C2"/>
    <w:rsid w:val="530002C1"/>
    <w:rsid w:val="5302488E"/>
    <w:rsid w:val="53195734"/>
    <w:rsid w:val="53373E0C"/>
    <w:rsid w:val="53422EDD"/>
    <w:rsid w:val="5373753A"/>
    <w:rsid w:val="538232D9"/>
    <w:rsid w:val="538A5B0B"/>
    <w:rsid w:val="53B37937"/>
    <w:rsid w:val="53BD07B5"/>
    <w:rsid w:val="53DF072C"/>
    <w:rsid w:val="53EC35BC"/>
    <w:rsid w:val="543A3BB4"/>
    <w:rsid w:val="544669FD"/>
    <w:rsid w:val="546E385E"/>
    <w:rsid w:val="5483555B"/>
    <w:rsid w:val="54921C42"/>
    <w:rsid w:val="549A0AF6"/>
    <w:rsid w:val="54B576DE"/>
    <w:rsid w:val="54D73AF9"/>
    <w:rsid w:val="54E81862"/>
    <w:rsid w:val="54F63F7F"/>
    <w:rsid w:val="55326F81"/>
    <w:rsid w:val="554E3DBB"/>
    <w:rsid w:val="55A27C63"/>
    <w:rsid w:val="55A51501"/>
    <w:rsid w:val="55AA6B17"/>
    <w:rsid w:val="55F304BE"/>
    <w:rsid w:val="564B3E56"/>
    <w:rsid w:val="56660C90"/>
    <w:rsid w:val="567809C3"/>
    <w:rsid w:val="569F0646"/>
    <w:rsid w:val="56E83D9B"/>
    <w:rsid w:val="56F049FE"/>
    <w:rsid w:val="57034731"/>
    <w:rsid w:val="57203535"/>
    <w:rsid w:val="57364B06"/>
    <w:rsid w:val="57956B74"/>
    <w:rsid w:val="57D12A81"/>
    <w:rsid w:val="580D0085"/>
    <w:rsid w:val="581B3CFC"/>
    <w:rsid w:val="5827444F"/>
    <w:rsid w:val="58584F50"/>
    <w:rsid w:val="585C67EF"/>
    <w:rsid w:val="587D1DB6"/>
    <w:rsid w:val="58975A79"/>
    <w:rsid w:val="58FC1D80"/>
    <w:rsid w:val="5903310E"/>
    <w:rsid w:val="59080725"/>
    <w:rsid w:val="59126EAD"/>
    <w:rsid w:val="593C217C"/>
    <w:rsid w:val="59741916"/>
    <w:rsid w:val="598858A4"/>
    <w:rsid w:val="59BB5797"/>
    <w:rsid w:val="59C52172"/>
    <w:rsid w:val="59C77C98"/>
    <w:rsid w:val="59EF71EF"/>
    <w:rsid w:val="5A2E7ABB"/>
    <w:rsid w:val="5A78158C"/>
    <w:rsid w:val="5AB3646E"/>
    <w:rsid w:val="5AB40E78"/>
    <w:rsid w:val="5ADC7773"/>
    <w:rsid w:val="5AF0321E"/>
    <w:rsid w:val="5AFA5E4B"/>
    <w:rsid w:val="5B0D5B7E"/>
    <w:rsid w:val="5B1A029B"/>
    <w:rsid w:val="5B1C2265"/>
    <w:rsid w:val="5B736C5A"/>
    <w:rsid w:val="5BE03293"/>
    <w:rsid w:val="5BFC5BF3"/>
    <w:rsid w:val="5C210521"/>
    <w:rsid w:val="5C2A09B2"/>
    <w:rsid w:val="5C621EFA"/>
    <w:rsid w:val="5C8400C2"/>
    <w:rsid w:val="5C8956D8"/>
    <w:rsid w:val="5CCC3817"/>
    <w:rsid w:val="5CD821BC"/>
    <w:rsid w:val="5CFF1E3E"/>
    <w:rsid w:val="5D2673CB"/>
    <w:rsid w:val="5D4B0BE0"/>
    <w:rsid w:val="5D600B2F"/>
    <w:rsid w:val="5D79574D"/>
    <w:rsid w:val="5D796F08"/>
    <w:rsid w:val="5D7A14C5"/>
    <w:rsid w:val="5D911B45"/>
    <w:rsid w:val="5DAD189A"/>
    <w:rsid w:val="5DAD53F7"/>
    <w:rsid w:val="5DB6074F"/>
    <w:rsid w:val="5DBC65F2"/>
    <w:rsid w:val="5E0C3BFC"/>
    <w:rsid w:val="5E111E29"/>
    <w:rsid w:val="5E257683"/>
    <w:rsid w:val="5E622685"/>
    <w:rsid w:val="5E781EA8"/>
    <w:rsid w:val="5E93283E"/>
    <w:rsid w:val="5EAF519E"/>
    <w:rsid w:val="5EB50A07"/>
    <w:rsid w:val="5ED66BCF"/>
    <w:rsid w:val="5EDF5F95"/>
    <w:rsid w:val="5EE4753E"/>
    <w:rsid w:val="5EEC1F4F"/>
    <w:rsid w:val="5F697A43"/>
    <w:rsid w:val="5F6E5059"/>
    <w:rsid w:val="5F7761D6"/>
    <w:rsid w:val="5F9E76ED"/>
    <w:rsid w:val="5FAA42E4"/>
    <w:rsid w:val="5FBE7D8F"/>
    <w:rsid w:val="5FD56E87"/>
    <w:rsid w:val="5FDE21DF"/>
    <w:rsid w:val="5FE5531C"/>
    <w:rsid w:val="600B23EC"/>
    <w:rsid w:val="600B28A8"/>
    <w:rsid w:val="60237BF2"/>
    <w:rsid w:val="60430294"/>
    <w:rsid w:val="605E6E7C"/>
    <w:rsid w:val="606F4BE5"/>
    <w:rsid w:val="60B92304"/>
    <w:rsid w:val="60D62EB6"/>
    <w:rsid w:val="60F375C4"/>
    <w:rsid w:val="61000BA7"/>
    <w:rsid w:val="61131A15"/>
    <w:rsid w:val="61151C31"/>
    <w:rsid w:val="61385966"/>
    <w:rsid w:val="616D4BA1"/>
    <w:rsid w:val="617A5F38"/>
    <w:rsid w:val="619A3EE4"/>
    <w:rsid w:val="619C7C5C"/>
    <w:rsid w:val="61BC02FE"/>
    <w:rsid w:val="61D27B22"/>
    <w:rsid w:val="61DC62AA"/>
    <w:rsid w:val="61E92327"/>
    <w:rsid w:val="61EA4E6B"/>
    <w:rsid w:val="61F76F51"/>
    <w:rsid w:val="61FB0E26"/>
    <w:rsid w:val="6200468F"/>
    <w:rsid w:val="6252656D"/>
    <w:rsid w:val="625E13B5"/>
    <w:rsid w:val="62CA05DA"/>
    <w:rsid w:val="62D6719E"/>
    <w:rsid w:val="62F31AFE"/>
    <w:rsid w:val="63253C81"/>
    <w:rsid w:val="63312626"/>
    <w:rsid w:val="63316ACA"/>
    <w:rsid w:val="633B16F7"/>
    <w:rsid w:val="635C7BA4"/>
    <w:rsid w:val="638E7A78"/>
    <w:rsid w:val="639C2195"/>
    <w:rsid w:val="63AC7EFE"/>
    <w:rsid w:val="641B2A48"/>
    <w:rsid w:val="641B57B0"/>
    <w:rsid w:val="6421269A"/>
    <w:rsid w:val="644B7717"/>
    <w:rsid w:val="645B3DFE"/>
    <w:rsid w:val="64701E66"/>
    <w:rsid w:val="648230DF"/>
    <w:rsid w:val="64923598"/>
    <w:rsid w:val="64BB2AEF"/>
    <w:rsid w:val="64BE438D"/>
    <w:rsid w:val="64CF20F6"/>
    <w:rsid w:val="64F41B5D"/>
    <w:rsid w:val="64F953C5"/>
    <w:rsid w:val="650A312E"/>
    <w:rsid w:val="6525440C"/>
    <w:rsid w:val="654A79CF"/>
    <w:rsid w:val="65D73958"/>
    <w:rsid w:val="65DF6369"/>
    <w:rsid w:val="65E47E23"/>
    <w:rsid w:val="6635242D"/>
    <w:rsid w:val="66544FA9"/>
    <w:rsid w:val="6692787F"/>
    <w:rsid w:val="66A03D4A"/>
    <w:rsid w:val="66AA3E90"/>
    <w:rsid w:val="66BA2932"/>
    <w:rsid w:val="66D02156"/>
    <w:rsid w:val="6716225F"/>
    <w:rsid w:val="677B6565"/>
    <w:rsid w:val="67A91325"/>
    <w:rsid w:val="67AA29A7"/>
    <w:rsid w:val="67CB3049"/>
    <w:rsid w:val="680B78E9"/>
    <w:rsid w:val="682312A9"/>
    <w:rsid w:val="687C07E7"/>
    <w:rsid w:val="68AB2E7A"/>
    <w:rsid w:val="68C87588"/>
    <w:rsid w:val="68EA39A3"/>
    <w:rsid w:val="68F24605"/>
    <w:rsid w:val="6905258B"/>
    <w:rsid w:val="690A7BA1"/>
    <w:rsid w:val="69401815"/>
    <w:rsid w:val="694110E9"/>
    <w:rsid w:val="694D5CE0"/>
    <w:rsid w:val="69A24BDF"/>
    <w:rsid w:val="69AE2C22"/>
    <w:rsid w:val="69BB533F"/>
    <w:rsid w:val="69CA7330"/>
    <w:rsid w:val="6A0960AB"/>
    <w:rsid w:val="6A1D1B56"/>
    <w:rsid w:val="6A266C5C"/>
    <w:rsid w:val="6A3F387A"/>
    <w:rsid w:val="6A410D55"/>
    <w:rsid w:val="6A4B0471"/>
    <w:rsid w:val="6A5A4B58"/>
    <w:rsid w:val="6AAF6C52"/>
    <w:rsid w:val="6B2036AC"/>
    <w:rsid w:val="6B361121"/>
    <w:rsid w:val="6B4750DC"/>
    <w:rsid w:val="6B5275DD"/>
    <w:rsid w:val="6B5670CE"/>
    <w:rsid w:val="6B7255A0"/>
    <w:rsid w:val="6BA37E39"/>
    <w:rsid w:val="6BEC5C84"/>
    <w:rsid w:val="6C066D46"/>
    <w:rsid w:val="6C0703C8"/>
    <w:rsid w:val="6C303DC2"/>
    <w:rsid w:val="6C3C2767"/>
    <w:rsid w:val="6CAE567C"/>
    <w:rsid w:val="6CB87914"/>
    <w:rsid w:val="6CBA4774"/>
    <w:rsid w:val="6CD40BF2"/>
    <w:rsid w:val="6CDA3D2E"/>
    <w:rsid w:val="6D0B213A"/>
    <w:rsid w:val="6D19049F"/>
    <w:rsid w:val="6D321474"/>
    <w:rsid w:val="6D512242"/>
    <w:rsid w:val="6D602485"/>
    <w:rsid w:val="6D7970A3"/>
    <w:rsid w:val="6D7B2E1B"/>
    <w:rsid w:val="6D8A305E"/>
    <w:rsid w:val="6DC20A4A"/>
    <w:rsid w:val="6DEA1D4F"/>
    <w:rsid w:val="6E0077C5"/>
    <w:rsid w:val="6E3A4A84"/>
    <w:rsid w:val="6E557B10"/>
    <w:rsid w:val="6EA0512F"/>
    <w:rsid w:val="6EAB7730"/>
    <w:rsid w:val="6EAE0FCF"/>
    <w:rsid w:val="6EBF31DC"/>
    <w:rsid w:val="6EFA2466"/>
    <w:rsid w:val="6F300347"/>
    <w:rsid w:val="6F540AA2"/>
    <w:rsid w:val="6F6A3147"/>
    <w:rsid w:val="6F751AEC"/>
    <w:rsid w:val="6F834209"/>
    <w:rsid w:val="6FA83C70"/>
    <w:rsid w:val="6FD809F9"/>
    <w:rsid w:val="6FE56C72"/>
    <w:rsid w:val="70082960"/>
    <w:rsid w:val="700D7F77"/>
    <w:rsid w:val="70111815"/>
    <w:rsid w:val="70223A22"/>
    <w:rsid w:val="70585696"/>
    <w:rsid w:val="70DD5B9B"/>
    <w:rsid w:val="70DF1913"/>
    <w:rsid w:val="70FE448F"/>
    <w:rsid w:val="7104137A"/>
    <w:rsid w:val="711D243B"/>
    <w:rsid w:val="71325EE7"/>
    <w:rsid w:val="715440AF"/>
    <w:rsid w:val="716B13F9"/>
    <w:rsid w:val="717B5AE0"/>
    <w:rsid w:val="71950224"/>
    <w:rsid w:val="71A010A2"/>
    <w:rsid w:val="71A16BC9"/>
    <w:rsid w:val="71F25676"/>
    <w:rsid w:val="72516841"/>
    <w:rsid w:val="7262438C"/>
    <w:rsid w:val="72A252EE"/>
    <w:rsid w:val="72CC4119"/>
    <w:rsid w:val="72EC6569"/>
    <w:rsid w:val="73612AB3"/>
    <w:rsid w:val="73722F12"/>
    <w:rsid w:val="73770529"/>
    <w:rsid w:val="73E57241"/>
    <w:rsid w:val="73F15E96"/>
    <w:rsid w:val="743261FE"/>
    <w:rsid w:val="74AA2238"/>
    <w:rsid w:val="74BA06CD"/>
    <w:rsid w:val="751C3136"/>
    <w:rsid w:val="751D2A0A"/>
    <w:rsid w:val="75243D99"/>
    <w:rsid w:val="75331A99"/>
    <w:rsid w:val="75812F99"/>
    <w:rsid w:val="758E56B6"/>
    <w:rsid w:val="759A405B"/>
    <w:rsid w:val="75A20320"/>
    <w:rsid w:val="75A44ED9"/>
    <w:rsid w:val="75A66EA3"/>
    <w:rsid w:val="76397D18"/>
    <w:rsid w:val="76455DC1"/>
    <w:rsid w:val="76852F5D"/>
    <w:rsid w:val="771B741D"/>
    <w:rsid w:val="772A140E"/>
    <w:rsid w:val="773F25CB"/>
    <w:rsid w:val="77422BFC"/>
    <w:rsid w:val="77476464"/>
    <w:rsid w:val="77674410"/>
    <w:rsid w:val="778B45A3"/>
    <w:rsid w:val="7798281C"/>
    <w:rsid w:val="77CB2BF1"/>
    <w:rsid w:val="77F02797"/>
    <w:rsid w:val="77F2017E"/>
    <w:rsid w:val="77F75794"/>
    <w:rsid w:val="7859644F"/>
    <w:rsid w:val="78656BA2"/>
    <w:rsid w:val="78730E6C"/>
    <w:rsid w:val="78E70620"/>
    <w:rsid w:val="79390690"/>
    <w:rsid w:val="794E7636"/>
    <w:rsid w:val="79534C4C"/>
    <w:rsid w:val="797E1259"/>
    <w:rsid w:val="79BA5A3E"/>
    <w:rsid w:val="7A170370"/>
    <w:rsid w:val="7A2465E9"/>
    <w:rsid w:val="7A41719B"/>
    <w:rsid w:val="7A432F13"/>
    <w:rsid w:val="7A454EDD"/>
    <w:rsid w:val="7A5213A8"/>
    <w:rsid w:val="7ABE2249"/>
    <w:rsid w:val="7AC51B7A"/>
    <w:rsid w:val="7AD973D3"/>
    <w:rsid w:val="7AE85868"/>
    <w:rsid w:val="7B354F51"/>
    <w:rsid w:val="7B360ADF"/>
    <w:rsid w:val="7C0C5586"/>
    <w:rsid w:val="7C4E5B9F"/>
    <w:rsid w:val="7C8D4919"/>
    <w:rsid w:val="7C9C690A"/>
    <w:rsid w:val="7CAF663E"/>
    <w:rsid w:val="7CB836FA"/>
    <w:rsid w:val="7CE34539"/>
    <w:rsid w:val="7D060228"/>
    <w:rsid w:val="7D6836BA"/>
    <w:rsid w:val="7D821FA4"/>
    <w:rsid w:val="7D847ACA"/>
    <w:rsid w:val="7D8B495A"/>
    <w:rsid w:val="7E260B81"/>
    <w:rsid w:val="7E4731DA"/>
    <w:rsid w:val="7E5C27F5"/>
    <w:rsid w:val="7E7044F2"/>
    <w:rsid w:val="7E7F02A1"/>
    <w:rsid w:val="7E8D6E52"/>
    <w:rsid w:val="7E9957F7"/>
    <w:rsid w:val="7ED1502E"/>
    <w:rsid w:val="7EF667A6"/>
    <w:rsid w:val="7F5F07EF"/>
    <w:rsid w:val="7F686F78"/>
    <w:rsid w:val="7F792F33"/>
    <w:rsid w:val="7F995383"/>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9"/>
    <w:pPr>
      <w:keepNext/>
      <w:keepLines/>
      <w:spacing w:line="700" w:lineRule="exact"/>
      <w:jc w:val="center"/>
      <w:outlineLvl w:val="0"/>
    </w:pPr>
    <w:rPr>
      <w:rFonts w:eastAsia="方正小标宋简体"/>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5120</Words>
  <Characters>5147</Characters>
  <Lines>0</Lines>
  <Paragraphs>0</Paragraphs>
  <TotalTime>496</TotalTime>
  <ScaleCrop>false</ScaleCrop>
  <LinksUpToDate>false</LinksUpToDate>
  <CharactersWithSpaces>5496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2021-05-21T07:35:00Z</dcterms:created>
  <dc:creator>Administrator</dc:creator>
  <cp:lastModifiedBy>Administrator</cp:lastModifiedBy>
  <cp:lastPrinted>2022-07-06T09:07:00Z</cp:lastPrinted>
  <dcterms:modified xsi:type="dcterms:W3CDTF">2022-07-15T08:04:54Z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254154BBEC2348219C41466BEF5BD114</vt:lpwstr>
  </property>
</Properties>
</file>