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 w:line="360" w:lineRule="auto"/>
        <w:jc w:val="left"/>
        <w:rPr>
          <w:rFonts w:hint="eastAsia" w:ascii="华文中宋" w:eastAsia="华文中宋" w:cs="黑体"/>
          <w:b/>
          <w:spacing w:val="-20"/>
          <w:sz w:val="36"/>
          <w:szCs w:val="36"/>
          <w:lang w:bidi="ar-SA"/>
        </w:rPr>
      </w:pPr>
      <w:bookmarkStart w:id="0" w:name="_Toc465828834"/>
      <w:bookmarkStart w:id="1" w:name="_Toc424498307"/>
      <w:bookmarkStart w:id="2" w:name="_Toc474096404"/>
      <w:bookmarkStart w:id="4" w:name="_GoBack"/>
      <w:bookmarkEnd w:id="4"/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eastAsia="zh-CN" w:bidi="ar-SA"/>
        </w:rPr>
        <w:t>附件</w:t>
      </w:r>
    </w:p>
    <w:p>
      <w:pPr>
        <w:snapToGrid w:val="0"/>
        <w:spacing w:after="24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 w:bidi="ar-SA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bidi="ar-SA"/>
        </w:rPr>
        <w:t>海域使用金征收标准（2022年修订）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" w:eastAsia="仿宋_GB2312" w:cs="??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为充分发挥海域使用金征收标准经济杠杆的调控作用，提高用海生态门槛，引导海域开发利用布局优化和海洋产业结构调整，根据《中华人民共和国海域使用管理法》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及《财政部 国家海洋局印发〈关于调整海域无居民海岛使用金征收标准〉的通知》（财综〔2018〕15号）</w:t>
      </w:r>
      <w:r>
        <w:rPr>
          <w:rFonts w:hint="eastAsia" w:ascii="仿宋_GB2312" w:hAnsi="仿宋" w:eastAsia="仿宋_GB2312" w:cs="宋体"/>
          <w:sz w:val="32"/>
          <w:szCs w:val="32"/>
        </w:rPr>
        <w:t>，现对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我省（不含深圳，下同）</w:t>
      </w:r>
      <w:r>
        <w:rPr>
          <w:rFonts w:hint="eastAsia" w:ascii="仿宋_GB2312" w:hAnsi="仿宋" w:eastAsia="仿宋_GB2312" w:cs="宋体"/>
          <w:sz w:val="32"/>
          <w:szCs w:val="32"/>
        </w:rPr>
        <w:t>海域使用金征收标准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明确</w:t>
      </w:r>
      <w:r>
        <w:rPr>
          <w:rFonts w:hint="eastAsia" w:ascii="仿宋_GB2312" w:hAnsi="仿宋" w:eastAsia="仿宋_GB2312" w:cs="宋体"/>
          <w:sz w:val="32"/>
          <w:szCs w:val="32"/>
        </w:rPr>
        <w:t>如下</w:t>
      </w:r>
      <w:r>
        <w:rPr>
          <w:rFonts w:hint="eastAsia" w:ascii="仿宋_GB2312" w:hAnsi="仿宋" w:eastAsia="仿宋_GB2312" w:cs="??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一、海域等别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和级别划分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根据沿海地区行政区划变化以及海域资源和生态环境、社会经济发展等情况，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我省</w:t>
      </w:r>
      <w:r>
        <w:rPr>
          <w:rFonts w:hint="eastAsia" w:ascii="仿宋_GB2312" w:eastAsia="仿宋_GB2312" w:cs="宋体"/>
          <w:sz w:val="32"/>
          <w:szCs w:val="32"/>
          <w:lang w:bidi="ar-SA"/>
        </w:rPr>
        <w:t>海域等别</w:t>
      </w:r>
      <w:r>
        <w:rPr>
          <w:rFonts w:hint="eastAsia" w:ascii="仿宋_GB2312" w:eastAsia="仿宋_GB2312" w:cs="宋体"/>
          <w:sz w:val="32"/>
          <w:szCs w:val="32"/>
          <w:lang w:eastAsia="zh-CN" w:bidi="ar-SA"/>
        </w:rPr>
        <w:t>和定级分界</w:t>
      </w:r>
      <w:r>
        <w:rPr>
          <w:rFonts w:hint="eastAsia" w:ascii="仿宋_GB2312" w:eastAsia="仿宋_GB2312" w:cs="宋体"/>
          <w:sz w:val="32"/>
          <w:szCs w:val="32"/>
          <w:lang w:bidi="ar-SA"/>
        </w:rPr>
        <w:t>如下：</w:t>
      </w:r>
      <w:r>
        <w:rPr>
          <w:rFonts w:hint="eastAsia" w:ascii="仿宋_GB2312" w:eastAsia="仿宋_GB2312"/>
          <w:b/>
          <w:bCs/>
          <w:sz w:val="32"/>
          <w:szCs w:val="32"/>
        </w:rPr>
        <w:tab/>
      </w:r>
      <w:r>
        <w:rPr>
          <w:rFonts w:hint="eastAsia" w:ascii="仿宋_GB2312" w:eastAsia="仿宋_GB2312"/>
          <w:b/>
          <w:bCs/>
          <w:sz w:val="32"/>
          <w:szCs w:val="32"/>
        </w:rPr>
        <w:tab/>
      </w:r>
    </w:p>
    <w:p>
      <w:pPr>
        <w:tabs>
          <w:tab w:val="left" w:pos="3330"/>
          <w:tab w:val="center" w:pos="4156"/>
        </w:tabs>
        <w:adjustRightInd w:val="0"/>
        <w:snapToGrid w:val="0"/>
        <w:spacing w:line="360" w:lineRule="auto"/>
        <w:ind w:firstLine="626" w:firstLineChars="195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海域等别</w:t>
      </w:r>
    </w:p>
    <w:p>
      <w:pPr>
        <w:adjustRightInd w:val="0"/>
        <w:snapToGrid w:val="0"/>
        <w:spacing w:line="360" w:lineRule="auto"/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一等：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广州市（黄埔区 番禺区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南沙区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增城区）</w:t>
      </w:r>
    </w:p>
    <w:p>
      <w:pPr>
        <w:adjustRightInd w:val="0"/>
        <w:snapToGrid w:val="0"/>
        <w:spacing w:line="360" w:lineRule="auto"/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二等：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??_GB2312"/>
          <w:sz w:val="32"/>
          <w:szCs w:val="32"/>
          <w:lang w:bidi="ar-SA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东莞市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汕头市（龙湖区 金平区 潮阳区）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??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中山市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珠海市（香洲区 斗门区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金湾区）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</w:p>
    <w:p>
      <w:pPr>
        <w:adjustRightInd w:val="0"/>
        <w:snapToGrid w:val="0"/>
        <w:spacing w:line="360" w:lineRule="auto"/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三等：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??_GB2312"/>
          <w:sz w:val="32"/>
          <w:szCs w:val="32"/>
          <w:lang w:bidi="ar-SA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汕头市（濠江区 潮南区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 xml:space="preserve">澄海区） 江门市新会区 </w:t>
      </w: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湛江市（赤坎区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霞山区 坡头区 麻章区） 茂名市电白区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 xml:space="preserve">惠州市惠阳区 </w:t>
      </w: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惠东县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</w:p>
    <w:p>
      <w:pPr>
        <w:adjustRightInd w:val="0"/>
        <w:snapToGrid w:val="0"/>
        <w:spacing w:line="360" w:lineRule="auto"/>
        <w:ind w:firstLine="642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四等：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??_GB2312"/>
          <w:sz w:val="32"/>
          <w:szCs w:val="32"/>
          <w:lang w:bidi="ar-SA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南澳县 台山市 恩平市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汕尾市城区 阳江市江城区</w:t>
      </w:r>
    </w:p>
    <w:p>
      <w:pPr>
        <w:adjustRightInd w:val="0"/>
        <w:snapToGrid w:val="0"/>
        <w:spacing w:line="360" w:lineRule="auto"/>
        <w:ind w:firstLine="642" w:firstLineChars="200"/>
        <w:rPr>
          <w:rFonts w:hint="eastAsia" w:ascii="仿宋_GB2312" w:eastAsia="仿宋_GB2312" w:cs="??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  <w:lang w:bidi="ar-SA"/>
        </w:rPr>
        <w:t>五等：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遂溪县 徐闻县 廉江市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雷州市 吴川市 海丰县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陆丰市</w:t>
      </w:r>
      <w:r>
        <w:rPr>
          <w:rFonts w:hint="eastAsia" w:ascii="仿宋_GB2312" w:eastAsia="仿宋_GB2312" w:cs="宋体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阳东县</w:t>
      </w:r>
      <w:r>
        <w:rPr>
          <w:rFonts w:hint="eastAsia" w:ascii="仿宋_GB2312" w:eastAsia="仿宋_GB2312" w:cs="??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宋体"/>
          <w:sz w:val="32"/>
          <w:szCs w:val="32"/>
          <w:lang w:bidi="ar-SA"/>
        </w:rPr>
        <w:t>阳西县 饶平县 揭阳市榕城区 惠来县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eastAsia="仿宋_GB2312" w:cs="宋体"/>
          <w:sz w:val="32"/>
          <w:szCs w:val="32"/>
          <w:lang w:bidi="ar-SA"/>
        </w:rPr>
      </w:pPr>
    </w:p>
    <w:p>
      <w:pPr>
        <w:adjustRightInd w:val="0"/>
        <w:snapToGrid w:val="0"/>
        <w:spacing w:line="360" w:lineRule="auto"/>
        <w:rPr>
          <w:rFonts w:hint="eastAsia" w:ascii="仿宋_GB2312" w:eastAsia="仿宋_GB2312" w:cs="宋体"/>
          <w:sz w:val="32"/>
          <w:szCs w:val="32"/>
          <w:lang w:bidi="ar-SA"/>
        </w:rPr>
        <w:sectPr>
          <w:pgSz w:w="16838" w:h="11906" w:orient="landscape"/>
          <w:pgMar w:top="1531" w:right="2041" w:bottom="1417" w:left="1417" w:header="851" w:footer="992" w:gutter="0"/>
          <w:cols w:space="72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531" w:right="2041" w:bottom="1417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7661910" cy="5419090"/>
            <wp:effectExtent l="0" t="0" r="15240" b="1016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1910" cy="54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53"/>
        </w:tabs>
        <w:ind w:left="320" w:hanging="320" w:hangingChars="100"/>
        <w:jc w:val="both"/>
        <w:rPr>
          <w:rFonts w:ascii="仿宋" w:hAnsi="仿宋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247" w:right="2041" w:bottom="1361" w:left="1417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_GB2312"/>
          <w:sz w:val="32"/>
          <w:szCs w:val="32"/>
          <w:lang w:eastAsia="zh-CN"/>
        </w:rPr>
        <w:drawing>
          <wp:inline distT="0" distB="0" distL="114300" distR="114300">
            <wp:extent cx="6473190" cy="4582160"/>
            <wp:effectExtent l="0" t="0" r="3810" b="8890"/>
            <wp:docPr id="4" name="图片 4" descr="C:\Users\huangdw\Desktop\正式印发\youdu图片20220616092304.jpgyoudu图片202206160923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uangdw\Desktop\正式印发\youdu图片20220616092304.jpgyoudu图片20220616092304"/>
                    <pic:cNvPicPr>
                      <a:picLocks noChangeAspect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640" w:firstLineChars="200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二、海域使用金征收标准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??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??_GB2312"/>
          <w:sz w:val="32"/>
          <w:szCs w:val="32"/>
          <w:lang w:bidi="ar-SA"/>
        </w:rPr>
        <w:t>根据国民经济增长、资源价格变化水平，并考虑海域开发利用的生态环境损害成本和社会承受能力，海域使用金征收标准</w:t>
      </w:r>
      <w:r>
        <w:rPr>
          <w:rFonts w:hint="eastAsia" w:ascii="仿宋_GB2312" w:eastAsia="仿宋_GB2312" w:cs="??_GB2312"/>
          <w:sz w:val="32"/>
          <w:szCs w:val="32"/>
          <w:lang w:eastAsia="zh-CN" w:bidi="ar-SA"/>
        </w:rPr>
        <w:t>调整如下：</w:t>
      </w: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sz w:val="32"/>
          <w:szCs w:val="32"/>
        </w:rPr>
      </w:pPr>
    </w:p>
    <w:p>
      <w:pPr>
        <w:tabs>
          <w:tab w:val="left" w:pos="853"/>
        </w:tabs>
        <w:jc w:val="center"/>
        <w:rPr>
          <w:rFonts w:hint="eastAsia" w:ascii="仿宋" w:hAnsi="仿宋" w:eastAsia="仿宋_GB2312"/>
          <w:b/>
          <w:bCs/>
          <w:sz w:val="32"/>
          <w:szCs w:val="32"/>
        </w:rPr>
      </w:pPr>
      <w:r>
        <w:rPr>
          <w:rFonts w:hint="eastAsia" w:ascii="仿宋" w:hAnsi="仿宋" w:eastAsia="仿宋_GB2312"/>
          <w:b/>
          <w:bCs/>
          <w:sz w:val="32"/>
          <w:szCs w:val="32"/>
        </w:rPr>
        <w:t>广东省海域定级和海域使用金征收标准</w:t>
      </w:r>
    </w:p>
    <w:p>
      <w:pPr>
        <w:tabs>
          <w:tab w:val="left" w:pos="853"/>
        </w:tabs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18"/>
          <w:szCs w:val="18"/>
        </w:rPr>
        <w:t>（单位：万元/公顷）</w:t>
      </w:r>
    </w:p>
    <w:tbl>
      <w:tblPr>
        <w:tblStyle w:val="2"/>
        <w:tblW w:w="14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"/>
        <w:gridCol w:w="618"/>
        <w:gridCol w:w="143"/>
        <w:gridCol w:w="1231"/>
        <w:gridCol w:w="732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820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771" w:type="dxa"/>
            <w:gridSpan w:val="5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80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海域等别</w:t>
            </w:r>
          </w:p>
          <w:p>
            <w:pPr>
              <w:widowControl/>
              <w:ind w:firstLine="360" w:firstLineChars="200"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用海方式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一等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二等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三等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四等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五等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征收方式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tblHeader/>
        </w:trPr>
        <w:tc>
          <w:tcPr>
            <w:tcW w:w="2771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Ⅱ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Ⅲ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填海造地用海</w:t>
            </w:r>
          </w:p>
        </w:tc>
        <w:tc>
          <w:tcPr>
            <w:tcW w:w="6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建设填海造地用海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工业、交通运输、渔业基础设施等填海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307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273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一次性征收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城镇建设填海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2880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2793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2700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2339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2300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1965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1900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1528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980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935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900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农业填海造地用海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140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130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110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98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构筑物用海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非透水构筑物用海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268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16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150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跨海桥梁、海底隧道用海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17.3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透水构筑物用海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4.92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4.79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4.63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4.12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3.97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3.45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2.77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2.6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2.53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2.01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1.9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1.84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按年度征收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围海用海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港池、蓄水用海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盐田用海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0.12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围海养殖用海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0.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>300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21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18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围海式游乐场用海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5.08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4.84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4.76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4.05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3.91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3.89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3.48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2.82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2.7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2.67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2.39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2.28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2.24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其他围海用海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1.35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0.93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0.34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开放式用海</w:t>
            </w:r>
          </w:p>
        </w:tc>
        <w:tc>
          <w:tcPr>
            <w:tcW w:w="76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开放式养殖用海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筏式（浮漂、吊笼）养殖、普通网箱（鱼排）养殖、底播养殖、插网养殖等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0.15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0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0.12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0.10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0.09</w:t>
            </w:r>
            <w:r>
              <w:rPr>
                <w:rFonts w:ascii="仿宋_GB2312" w:eastAsia="仿宋_GB2312"/>
                <w:color w:val="auto"/>
                <w:sz w:val="18"/>
                <w:szCs w:val="18"/>
              </w:rPr>
              <w:t>0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0.07</w:t>
            </w:r>
            <w:r>
              <w:rPr>
                <w:rFonts w:hint="eastAsia" w:ascii="仿宋_GB2312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浴场用海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0.65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0.53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0.42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eastAsia="zh-CN"/>
              </w:rPr>
              <w:t>按年度征收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开放式游乐场用海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3.47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3.31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3.26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2.49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2.4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2.39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1.87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1.78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1.74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0.75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0.74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专用航道、锚地用海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0.09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其他开放式用海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0.3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0.23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0.1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0.09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其他用海</w:t>
            </w: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人工岛式油气开采用海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13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平台式油气开采用海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6.5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海底电缆管道用海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0.7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海砂等矿产开采用海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7.3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取、排水口用海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污水达标排放用海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1.4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温、冷排水用海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1.05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倾倒用海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1.4</w:t>
            </w:r>
            <w:r>
              <w:rPr>
                <w:rFonts w:hint="eastAsia" w:ascii="仿宋_GB2312" w:hAnsi="仿宋_GB2312" w:cs="仿宋_GB2312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种植用海</w:t>
            </w:r>
          </w:p>
        </w:tc>
        <w:tc>
          <w:tcPr>
            <w:tcW w:w="11146" w:type="dxa"/>
            <w:gridSpan w:val="1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0.05</w:t>
            </w: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917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备注：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　1.根据《财政部 国家海洋局印发〈关于调整海域无居民海岛使用金征收标准〉的通知》（财综〔2018〕15号）规定：1）离大陆岸线最近距离2千米以上且最小水深大于5米（理论最低潮面）的离岸式填海，按照征收标准的80%征收；2）填海造地用海占用大陆自然岸线的，按照征收标准的120%征收；3）建设人工鱼礁的透水构筑物用海，按照征收标准的80%征收；4）地方人民政府管辖海域以外的项目用海执行国家标准，海域等别按照毗邻最近行政区的等别确定。养殖用海标准按照毗邻最近行政区征收标准征收；5）深圳市（计划单列市）的海域使用金征收标准调整方案由深圳市自行制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　2.开放式养殖用海：1）开放式养殖用海（包括网箱养殖等）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批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用海面积计征；2）位于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0米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水深以深海域的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开放式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养殖用海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  <w:t>按照征收标准的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50%计征。海域分级线和20米水深线相关矢量数据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在海域使用信息管理系统中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查询。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　　3.实行海域使用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权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招标、拍卖、挂牌出让的，底价不得低于上述标准，成交价上不封顶。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4.沿海各地级以上市可结合本地区海域资源及海域使用需求等情况，在本标准的基础上适当上浮一定比例（不超过30%）制定标准，报地级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市人民政府批准后执行，同时报省财政厅、省自然资源厅备案。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6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5.跨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海域级别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的用海项目，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  <w:lang w:eastAsia="zh-CN"/>
              </w:rPr>
              <w:t>按照所占用海域的最高级别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18"/>
                <w:szCs w:val="18"/>
              </w:rPr>
              <w:t>确定海域使用金征收标准。</w:t>
            </w:r>
          </w:p>
        </w:tc>
      </w:tr>
    </w:tbl>
    <w:p>
      <w:pPr>
        <w:adjustRightInd w:val="0"/>
        <w:snapToGrid w:val="0"/>
        <w:spacing w:line="360" w:lineRule="auto"/>
        <w:jc w:val="left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三、用海方式界定</w:t>
      </w:r>
    </w:p>
    <w:p>
      <w:pPr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  <w:lang w:bidi="ar-SA"/>
        </w:rPr>
        <w:t>根据海域使用特征及对海域自然属性的影响程度，用海方式界定如下：</w:t>
      </w:r>
    </w:p>
    <w:bookmarkEnd w:id="0"/>
    <w:bookmarkEnd w:id="1"/>
    <w:bookmarkEnd w:id="2"/>
    <w:p>
      <w:pPr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"/>
          <w:b/>
          <w:bCs/>
          <w:sz w:val="32"/>
          <w:szCs w:val="32"/>
          <w:lang w:bidi="ar-SA"/>
        </w:rPr>
        <w:t>用海方式界定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9"/>
        <w:gridCol w:w="607"/>
        <w:gridCol w:w="2325"/>
        <w:gridCol w:w="9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1" w:hRule="atLeast"/>
          <w:tblHeader/>
          <w:jc w:val="center"/>
        </w:trPr>
        <w:tc>
          <w:tcPr>
            <w:tcW w:w="11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3" w:name="_Hlk496608215" w:colFirst="0" w:colLast="4"/>
            <w:r>
              <w:rPr>
                <w:rFonts w:hint="eastAsia" w:ascii="仿宋_GB2312" w:eastAsia="仿宋_GB2312"/>
                <w:sz w:val="24"/>
                <w:szCs w:val="24"/>
              </w:rPr>
              <w:t>编码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用海方式名称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界定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0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填海造地用海</w:t>
            </w:r>
          </w:p>
        </w:tc>
        <w:tc>
          <w:tcPr>
            <w:tcW w:w="98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指筑堤围割海域填成土地，并形成有效岸线的用海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建设填海造地用海</w:t>
            </w:r>
          </w:p>
        </w:tc>
        <w:tc>
          <w:tcPr>
            <w:tcW w:w="981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指通过筑堤围割海域，填成建设用地用于工业、交通运输、渔业基础设施、城镇建设等的用海。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、交通运输、渔业基础设施等填海是指主导用途用于工业、交通运输、渔业基础设施、旅游娱乐、海底工程、特殊用海等的填海造地用海；城镇建设填海是指除工业、交通运输、渔业基础设施等填海以外的其他填海造地用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农业填海造地用海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指通过筑堤围割海域，填成农用地用于农、林、牧业生产的用海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构筑物用海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指采用透水或非透水等方式构筑海上各类设施的用海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非透水构筑物用海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指采用非透水方式构筑不形成有效岸线的码头、突堤、引堤、防波堤、路基、设施基座等构筑物的用海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跨海桥梁、海底隧道用海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指占用海面空间或底土用于建设跨海桥梁、海底隧道、海底仓储等的用海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透水构筑物用海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指采用透水方式构筑码头、平台、海面栈桥、高脚屋、塔架、潜堤、人工鱼礁等构筑物的用海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围海用海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指通过筑堤或其他手段，以完全或不完全闭合形式围割海域进行海洋开发活动的用海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16"/>
                <w:sz w:val="24"/>
                <w:szCs w:val="24"/>
              </w:rPr>
              <w:t>31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港池、蓄水用海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指通过修筑海堤或防浪设施圈围海域，用于港口作业、修造船、蓄水等的用海，含开敞式码头前沿的船舶靠泊和回旋水域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盐田用海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指通过筑堤圈围海域用于盐业生产的用海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围海养殖用海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指通过筑堤圈围海域用于养殖生产的用海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围海式游乐场用海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指通过修筑海堤或防浪设施圈围海域，用于游艇、帆板、冲浪、潜水、水下观光、垂钓等水上娱乐活动的海域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其他围海用海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指上述围海用海以外的围海用海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开放式用海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指不进行填海造地、围海或设置构筑物，直接利用海域进行开发活动的用海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开放式养殖用海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指采用筏式、网箱、底播或以人工投苗、自然增殖海洋底栖生物等形式进行增养殖生产的用海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浴场用海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指供游人游泳、嬉水，且无固定设施的用海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开放式游乐场用海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指开展游艇、帆板、冲浪、潜水、水下观光、垂钓等娱乐活动，且无固定设施的用海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专用航道、锚地用海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指供船舶航行、锚泊的用海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其他开放式用海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指上述开放式用海以外的开放式用海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指上述用海方式之外的用海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51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人工岛式油气开采用海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指采用人工岛方式开采油气资源的用海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52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平台式油气开采用海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指采用固定式平台、移动式平台、浮式储油装置及其他辅助设施开采油气资源的用海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53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海底电缆管道用海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指铺设海底通信光（电）缆及电力电缆，输水、输气、输油及输送其他物质的管状输送设施的用海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center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54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海砂等矿产开采用海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指开采海砂及其他固体矿产资源的用海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55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取、排水口用海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指抽取或排放海水的用海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污水达标排放用海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指受纳指定达标污水的用海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57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温、冷排水用海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指受纳温、冷排水的用海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58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倾倒用海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指向海上倾倒区倾倒废弃物或利用海床在水下堆放疏浚物等的用海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atLeast"/>
          <w:jc w:val="center"/>
        </w:trPr>
        <w:tc>
          <w:tcPr>
            <w:tcW w:w="549" w:type="dxa"/>
            <w:vMerge w:val="continue"/>
            <w:noWrap w:val="0"/>
            <w:vAlign w:val="top"/>
          </w:tcPr>
          <w:p/>
        </w:tc>
        <w:tc>
          <w:tcPr>
            <w:tcW w:w="60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 w:firstLine="8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种植用海</w:t>
            </w:r>
          </w:p>
        </w:tc>
        <w:tc>
          <w:tcPr>
            <w:tcW w:w="9811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20" w:lineRule="exact"/>
              <w:ind w:right="160" w:right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指种植芦苇、翅碱蓬、人工防护林、红树林等的用海</w:t>
            </w:r>
          </w:p>
        </w:tc>
      </w:tr>
      <w:bookmarkEnd w:id="3"/>
    </w:tbl>
    <w:p>
      <w:pPr>
        <w:rPr>
          <w:sz w:val="20"/>
          <w:szCs w:val="20"/>
        </w:rPr>
      </w:pPr>
    </w:p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YjM0MDgyNjE2MjMyZWI3MGNmMjBhMjIwNzhjN2YifQ=="/>
  </w:docVars>
  <w:rsids>
    <w:rsidRoot w:val="6166695F"/>
    <w:rsid w:val="0A4948A5"/>
    <w:rsid w:val="3208202C"/>
    <w:rsid w:val="352C3F8E"/>
    <w:rsid w:val="43857B00"/>
    <w:rsid w:val="5AAA2603"/>
    <w:rsid w:val="6166695F"/>
    <w:rsid w:val="C3E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3553</Words>
  <Characters>4234</Characters>
  <Lines>0</Lines>
  <Paragraphs>0</Paragraphs>
  <TotalTime>1</TotalTime>
  <ScaleCrop>false</ScaleCrop>
  <LinksUpToDate>false</LinksUpToDate>
  <CharactersWithSpaces>4418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2022-06-09T17:13:00Z</dcterms:created>
  <dc:creator>黄丹薇</dc:creator>
  <cp:lastModifiedBy>赵志强</cp:lastModifiedBy>
  <dcterms:modified xsi:type="dcterms:W3CDTF">2022-06-28T10:29:00Z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6272A715E73B4CA0B51967083985E045</vt:lpwstr>
  </property>
</Properties>
</file>