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3</w:t>
      </w:r>
    </w:p>
    <w:p>
      <w:pPr>
        <w:spacing w:line="600" w:lineRule="exact"/>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汕尾市珠宝贵金属产品质量</w:t>
      </w:r>
    </w:p>
    <w:p>
      <w:pPr>
        <w:spacing w:line="600" w:lineRule="exact"/>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监督抽查实施细则</w:t>
      </w:r>
    </w:p>
    <w:p>
      <w:pPr>
        <w:spacing w:line="600" w:lineRule="exact"/>
        <w:jc w:val="left"/>
        <w:rPr>
          <w:rFonts w:hint="eastAsia" w:asciiTheme="minorHAnsi" w:hAnsiTheme="minorHAnsi" w:eastAsiaTheme="minorEastAsia" w:cstheme="minorBidi"/>
          <w:b/>
          <w:bCs/>
          <w:szCs w:val="32"/>
          <w:lang w:eastAsia="zh-CN"/>
        </w:rPr>
      </w:pPr>
    </w:p>
    <w:p>
      <w:pPr>
        <w:numPr>
          <w:ilvl w:val="0"/>
          <w:numId w:val="0"/>
        </w:numPr>
        <w:spacing w:line="600" w:lineRule="exact"/>
        <w:ind w:left="0"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一、抽样方法</w:t>
      </w:r>
    </w:p>
    <w:p>
      <w:pPr>
        <w:spacing w:line="60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以随机抽样的方式在被抽查市场主体的待销产品中抽取。</w:t>
      </w:r>
      <w:bookmarkStart w:id="0" w:name="_GoBack"/>
      <w:bookmarkEnd w:id="0"/>
    </w:p>
    <w:p>
      <w:pPr>
        <w:spacing w:line="60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随机数一般可使用随机数表等方法产生。</w:t>
      </w:r>
    </w:p>
    <w:p>
      <w:pPr>
        <w:spacing w:line="600" w:lineRule="exact"/>
        <w:ind w:firstLine="640" w:firstLineChars="200"/>
        <w:rPr>
          <w:color w:val="auto"/>
          <w:szCs w:val="32"/>
        </w:rPr>
      </w:pPr>
      <w:r>
        <w:rPr>
          <w:rFonts w:hint="eastAsia" w:ascii="仿宋_GB2312" w:hAnsi="仿宋_GB2312" w:eastAsia="仿宋_GB2312" w:cs="仿宋_GB2312"/>
          <w:color w:val="000000"/>
          <w:sz w:val="32"/>
          <w:szCs w:val="32"/>
          <w:lang w:eastAsia="zh-CN"/>
        </w:rPr>
        <w:t>抽查数量：</w:t>
      </w:r>
      <w:r>
        <w:rPr>
          <w:rFonts w:hint="eastAsia" w:ascii="仿宋_GB2312" w:hAnsi="仿宋_GB2312" w:eastAsia="仿宋_GB2312" w:cs="仿宋_GB2312"/>
          <w:kern w:val="0"/>
          <w:sz w:val="32"/>
          <w:szCs w:val="32"/>
        </w:rPr>
        <w:t>每款产品抽取</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组样本，第1组用于检验，</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备用。每组样品需抽取样品数量如下表所示：</w:t>
      </w:r>
    </w:p>
    <w:tbl>
      <w:tblPr>
        <w:tblStyle w:val="5"/>
        <w:tblW w:w="8112"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483"/>
        <w:gridCol w:w="2435"/>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center"/>
              <w:rPr>
                <w:color w:val="auto"/>
                <w:szCs w:val="32"/>
              </w:rPr>
            </w:pPr>
            <w:r>
              <w:rPr>
                <w:color w:val="auto"/>
                <w:szCs w:val="32"/>
              </w:rPr>
              <w:t>序号</w:t>
            </w:r>
          </w:p>
        </w:tc>
        <w:tc>
          <w:tcPr>
            <w:tcW w:w="2483" w:type="dxa"/>
            <w:noWrap w:val="0"/>
            <w:vAlign w:val="center"/>
          </w:tcPr>
          <w:p>
            <w:pPr>
              <w:spacing w:line="400" w:lineRule="exact"/>
              <w:jc w:val="center"/>
              <w:rPr>
                <w:color w:val="auto"/>
                <w:szCs w:val="32"/>
              </w:rPr>
            </w:pPr>
            <w:r>
              <w:rPr>
                <w:color w:val="auto"/>
                <w:szCs w:val="32"/>
              </w:rPr>
              <w:t>产品名称</w:t>
            </w:r>
          </w:p>
        </w:tc>
        <w:tc>
          <w:tcPr>
            <w:tcW w:w="2435" w:type="dxa"/>
            <w:noWrap w:val="0"/>
            <w:vAlign w:val="center"/>
          </w:tcPr>
          <w:p>
            <w:pPr>
              <w:spacing w:line="400" w:lineRule="exact"/>
              <w:jc w:val="center"/>
              <w:rPr>
                <w:color w:val="auto"/>
                <w:szCs w:val="32"/>
              </w:rPr>
            </w:pPr>
            <w:r>
              <w:rPr>
                <w:color w:val="auto"/>
                <w:szCs w:val="32"/>
              </w:rPr>
              <w:t>第1组数量</w:t>
            </w:r>
          </w:p>
        </w:tc>
        <w:tc>
          <w:tcPr>
            <w:tcW w:w="2294" w:type="dxa"/>
            <w:noWrap w:val="0"/>
            <w:vAlign w:val="top"/>
          </w:tcPr>
          <w:p>
            <w:pPr>
              <w:spacing w:line="400" w:lineRule="exact"/>
              <w:jc w:val="center"/>
              <w:rPr>
                <w:color w:val="auto"/>
                <w:szCs w:val="32"/>
              </w:rPr>
            </w:pPr>
            <w:r>
              <w:rPr>
                <w:color w:val="auto"/>
                <w:szCs w:val="32"/>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center"/>
              <w:rPr>
                <w:color w:val="auto"/>
                <w:szCs w:val="32"/>
              </w:rPr>
            </w:pPr>
            <w:r>
              <w:rPr>
                <w:color w:val="auto"/>
                <w:szCs w:val="32"/>
              </w:rPr>
              <w:t>1</w:t>
            </w:r>
          </w:p>
        </w:tc>
        <w:tc>
          <w:tcPr>
            <w:tcW w:w="2483" w:type="dxa"/>
            <w:noWrap w:val="0"/>
            <w:vAlign w:val="center"/>
          </w:tcPr>
          <w:p>
            <w:pPr>
              <w:adjustRightInd w:val="0"/>
              <w:snapToGrid w:val="0"/>
              <w:spacing w:line="400" w:lineRule="exact"/>
              <w:jc w:val="center"/>
              <w:rPr>
                <w:rFonts w:hint="eastAsia" w:eastAsia="仿宋_GB2312"/>
                <w:color w:val="auto"/>
                <w:szCs w:val="32"/>
                <w:lang w:eastAsia="zh-CN"/>
              </w:rPr>
            </w:pPr>
            <w:r>
              <w:rPr>
                <w:rFonts w:hint="eastAsia" w:ascii="仿宋_GB2312" w:hAnsi="仿宋_GB2312" w:cs="仿宋_GB2312"/>
                <w:color w:val="000000"/>
                <w:szCs w:val="32"/>
                <w:lang w:eastAsia="zh-CN"/>
              </w:rPr>
              <w:t>珠宝玉石、贵金属饰品</w:t>
            </w:r>
          </w:p>
        </w:tc>
        <w:tc>
          <w:tcPr>
            <w:tcW w:w="2435" w:type="dxa"/>
            <w:noWrap w:val="0"/>
            <w:vAlign w:val="center"/>
          </w:tcPr>
          <w:p>
            <w:pPr>
              <w:adjustRightInd w:val="0"/>
              <w:snapToGrid w:val="0"/>
              <w:spacing w:line="400" w:lineRule="exact"/>
              <w:jc w:val="center"/>
              <w:rPr>
                <w:rFonts w:hint="default" w:eastAsia="仿宋_GB2312"/>
                <w:color w:val="auto"/>
                <w:szCs w:val="32"/>
                <w:lang w:val="en-US" w:eastAsia="zh-CN"/>
              </w:rPr>
            </w:pPr>
            <w:r>
              <w:rPr>
                <w:rFonts w:hint="eastAsia"/>
                <w:color w:val="auto"/>
                <w:szCs w:val="32"/>
                <w:lang w:val="en-US" w:eastAsia="zh-CN"/>
              </w:rPr>
              <w:t>1件</w:t>
            </w:r>
          </w:p>
        </w:tc>
        <w:tc>
          <w:tcPr>
            <w:tcW w:w="2294" w:type="dxa"/>
            <w:noWrap w:val="0"/>
            <w:vAlign w:val="center"/>
          </w:tcPr>
          <w:p>
            <w:pPr>
              <w:adjustRightInd w:val="0"/>
              <w:snapToGrid w:val="0"/>
              <w:spacing w:line="400" w:lineRule="exact"/>
              <w:jc w:val="center"/>
              <w:rPr>
                <w:rFonts w:hint="default" w:eastAsia="仿宋_GB2312"/>
                <w:color w:val="auto"/>
                <w:szCs w:val="32"/>
                <w:lang w:val="en-US" w:eastAsia="zh-CN"/>
              </w:rPr>
            </w:pPr>
            <w:r>
              <w:rPr>
                <w:rFonts w:hint="eastAsia"/>
                <w:color w:val="auto"/>
                <w:szCs w:val="32"/>
                <w:lang w:val="en-US" w:eastAsia="zh-CN"/>
              </w:rPr>
              <w:t>0件</w:t>
            </w:r>
          </w:p>
        </w:tc>
      </w:tr>
    </w:tbl>
    <w:p>
      <w:pPr>
        <w:pStyle w:val="13"/>
        <w:keepNext w:val="0"/>
        <w:keepLines w:val="0"/>
        <w:pageBreakBefore w:val="0"/>
        <w:widowControl/>
        <w:kinsoku/>
        <w:wordWrap/>
        <w:overflowPunct/>
        <w:topLinePunct w:val="0"/>
        <w:autoSpaceDE w:val="0"/>
        <w:autoSpaceDN w:val="0"/>
        <w:bidi w:val="0"/>
        <w:adjustRightInd/>
        <w:snapToGrid/>
        <w:spacing w:line="590" w:lineRule="exact"/>
        <w:ind w:left="0" w:leftChars="0" w:right="0" w:rightChars="0" w:firstLine="640" w:firstLineChars="200"/>
        <w:jc w:val="both"/>
        <w:textAlignment w:val="auto"/>
        <w:outlineLvl w:val="9"/>
        <w:rPr>
          <w:rFonts w:hint="eastAsia" w:ascii="宋体" w:hAnsi="宋体" w:eastAsia="宋体" w:cs="宋体"/>
          <w:color w:val="000000"/>
          <w:sz w:val="21"/>
          <w:szCs w:val="21"/>
        </w:rPr>
      </w:pPr>
      <w:r>
        <w:rPr>
          <w:rFonts w:hint="eastAsia" w:ascii="仿宋_GB2312" w:hAnsi="仿宋_GB2312" w:eastAsia="仿宋_GB2312" w:cs="仿宋_GB2312"/>
          <w:color w:val="000000"/>
          <w:sz w:val="32"/>
          <w:szCs w:val="32"/>
          <w:lang w:eastAsia="zh-CN"/>
        </w:rPr>
        <w:t>抽样方法：确定被抽样对象应符合</w:t>
      </w:r>
      <w:r>
        <w:rPr>
          <w:rFonts w:hint="eastAsia" w:ascii="仿宋_GB2312" w:hAnsi="仿宋_GB2312" w:eastAsia="仿宋_GB2312" w:cs="仿宋_GB2312"/>
          <w:kern w:val="0"/>
          <w:sz w:val="32"/>
          <w:szCs w:val="32"/>
        </w:rPr>
        <w:t>T/GDAQI 020-202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《产品质量监督抽查抽样检验技术服务规范》5.3.3.3</w:t>
      </w:r>
      <w:r>
        <w:rPr>
          <w:rFonts w:hint="eastAsia" w:ascii="仿宋_GB2312" w:hAnsi="仿宋_GB2312" w:eastAsia="仿宋_GB2312" w:cs="仿宋_GB2312"/>
          <w:kern w:val="0"/>
          <w:sz w:val="32"/>
          <w:szCs w:val="32"/>
          <w:lang w:eastAsia="zh-CN"/>
        </w:rPr>
        <w:t>和第</w:t>
      </w:r>
      <w:r>
        <w:rPr>
          <w:rFonts w:hint="eastAsia" w:ascii="仿宋_GB2312" w:hAnsi="仿宋_GB2312" w:eastAsia="仿宋_GB2312" w:cs="仿宋_GB2312"/>
          <w:kern w:val="0"/>
          <w:sz w:val="32"/>
          <w:szCs w:val="32"/>
          <w:lang w:val="en-US" w:eastAsia="zh-CN"/>
        </w:rPr>
        <w:t>6章、第7章抽样的相关要求。抽取标称同一商标（或标称同一生产者）、同一型号规格的产品。</w:t>
      </w:r>
      <w:r>
        <w:rPr>
          <w:rFonts w:hint="eastAsia" w:ascii="仿宋_GB2312" w:hAnsi="仿宋_GB2312" w:eastAsia="仿宋_GB2312" w:cs="仿宋_GB2312"/>
          <w:kern w:val="0"/>
          <w:sz w:val="32"/>
          <w:szCs w:val="32"/>
        </w:rPr>
        <w:t>抽样时，需确认以下信息：</w:t>
      </w:r>
    </w:p>
    <w:tbl>
      <w:tblPr>
        <w:tblStyle w:val="5"/>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2650"/>
        <w:gridCol w:w="3647"/>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blHeader/>
          <w:jc w:val="center"/>
        </w:trPr>
        <w:tc>
          <w:tcPr>
            <w:tcW w:w="907" w:type="dxa"/>
            <w:noWrap w:val="0"/>
            <w:vAlign w:val="center"/>
          </w:tcPr>
          <w:p>
            <w:pPr>
              <w:spacing w:line="400" w:lineRule="exact"/>
              <w:jc w:val="center"/>
              <w:rPr>
                <w:rFonts w:hint="eastAsia" w:ascii="Times New Roman" w:hAnsi="Times New Roman" w:eastAsia="宋体" w:cs="Times New Roman"/>
                <w:color w:val="auto"/>
                <w:szCs w:val="32"/>
              </w:rPr>
            </w:pPr>
            <w:r>
              <w:rPr>
                <w:rFonts w:hint="eastAsia" w:ascii="Times New Roman" w:hAnsi="Times New Roman" w:eastAsia="宋体" w:cs="Times New Roman"/>
                <w:color w:val="auto"/>
                <w:szCs w:val="32"/>
              </w:rPr>
              <w:t>序号</w:t>
            </w:r>
          </w:p>
        </w:tc>
        <w:tc>
          <w:tcPr>
            <w:tcW w:w="2650" w:type="dxa"/>
            <w:noWrap w:val="0"/>
            <w:vAlign w:val="center"/>
          </w:tcPr>
          <w:p>
            <w:pPr>
              <w:spacing w:line="400" w:lineRule="exact"/>
              <w:jc w:val="center"/>
              <w:rPr>
                <w:rFonts w:hint="eastAsia" w:ascii="Times New Roman" w:hAnsi="Times New Roman" w:eastAsia="宋体" w:cs="Times New Roman"/>
                <w:color w:val="auto"/>
                <w:szCs w:val="32"/>
              </w:rPr>
            </w:pPr>
            <w:r>
              <w:rPr>
                <w:rFonts w:hint="eastAsia" w:ascii="Times New Roman" w:hAnsi="Times New Roman" w:eastAsia="宋体" w:cs="Times New Roman"/>
                <w:color w:val="auto"/>
                <w:szCs w:val="32"/>
              </w:rPr>
              <w:t>产品名称</w:t>
            </w:r>
          </w:p>
        </w:tc>
        <w:tc>
          <w:tcPr>
            <w:tcW w:w="3647" w:type="dxa"/>
            <w:noWrap w:val="0"/>
            <w:vAlign w:val="center"/>
          </w:tcPr>
          <w:p>
            <w:pPr>
              <w:spacing w:line="400" w:lineRule="exact"/>
              <w:jc w:val="center"/>
              <w:rPr>
                <w:rFonts w:hint="eastAsia" w:ascii="Times New Roman" w:hAnsi="Times New Roman" w:eastAsia="宋体" w:cs="Times New Roman"/>
                <w:color w:val="auto"/>
                <w:szCs w:val="32"/>
              </w:rPr>
            </w:pPr>
            <w:r>
              <w:rPr>
                <w:rFonts w:hint="eastAsia" w:ascii="Times New Roman" w:hAnsi="Times New Roman" w:eastAsia="宋体" w:cs="Times New Roman"/>
                <w:color w:val="auto"/>
                <w:szCs w:val="32"/>
              </w:rPr>
              <w:t>应提供的其他产品信息</w:t>
            </w:r>
          </w:p>
        </w:tc>
        <w:tc>
          <w:tcPr>
            <w:tcW w:w="1734" w:type="dxa"/>
            <w:noWrap w:val="0"/>
            <w:vAlign w:val="center"/>
          </w:tcPr>
          <w:p>
            <w:pPr>
              <w:spacing w:line="400" w:lineRule="exact"/>
              <w:jc w:val="center"/>
              <w:rPr>
                <w:rFonts w:hint="eastAsia" w:ascii="Times New Roman" w:hAnsi="Times New Roman" w:eastAsia="宋体" w:cs="Times New Roman"/>
                <w:color w:val="auto"/>
                <w:szCs w:val="32"/>
              </w:rPr>
            </w:pPr>
            <w:r>
              <w:rPr>
                <w:rFonts w:hint="eastAsia" w:ascii="Times New Roman" w:hAnsi="Times New Roman" w:eastAsia="宋体" w:cs="Times New Roman"/>
                <w:color w:val="auto"/>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907" w:type="dxa"/>
            <w:noWrap w:val="0"/>
            <w:vAlign w:val="center"/>
          </w:tcPr>
          <w:p>
            <w:pPr>
              <w:spacing w:line="400" w:lineRule="exact"/>
              <w:jc w:val="center"/>
              <w:rPr>
                <w:rFonts w:hint="eastAsia" w:ascii="Times New Roman" w:hAnsi="Times New Roman" w:eastAsia="宋体" w:cs="Times New Roman"/>
                <w:color w:val="auto"/>
                <w:szCs w:val="32"/>
              </w:rPr>
            </w:pPr>
            <w:r>
              <w:rPr>
                <w:rFonts w:hint="eastAsia" w:ascii="Times New Roman" w:hAnsi="Times New Roman" w:eastAsia="宋体" w:cs="Times New Roman"/>
                <w:color w:val="auto"/>
                <w:szCs w:val="32"/>
              </w:rPr>
              <w:t>1</w:t>
            </w:r>
          </w:p>
        </w:tc>
        <w:tc>
          <w:tcPr>
            <w:tcW w:w="2650" w:type="dxa"/>
            <w:noWrap w:val="0"/>
            <w:vAlign w:val="center"/>
          </w:tcPr>
          <w:p>
            <w:pPr>
              <w:spacing w:line="400" w:lineRule="exact"/>
              <w:jc w:val="center"/>
              <w:rPr>
                <w:rFonts w:hint="eastAsia" w:ascii="Times New Roman" w:hAnsi="Times New Roman" w:eastAsia="宋体" w:cs="Times New Roman"/>
                <w:color w:val="auto"/>
                <w:szCs w:val="32"/>
              </w:rPr>
            </w:pPr>
            <w:r>
              <w:rPr>
                <w:rFonts w:hint="eastAsia" w:ascii="Times New Roman" w:hAnsi="Times New Roman" w:eastAsia="宋体" w:cs="Times New Roman"/>
                <w:color w:val="auto"/>
                <w:szCs w:val="32"/>
                <w:lang w:eastAsia="zh-CN"/>
              </w:rPr>
              <w:t>珠宝玉石</w:t>
            </w:r>
          </w:p>
        </w:tc>
        <w:tc>
          <w:tcPr>
            <w:tcW w:w="3647" w:type="dxa"/>
            <w:noWrap w:val="0"/>
            <w:vAlign w:val="center"/>
          </w:tcPr>
          <w:p>
            <w:pPr>
              <w:spacing w:line="400" w:lineRule="exact"/>
              <w:jc w:val="center"/>
              <w:rPr>
                <w:rFonts w:hint="eastAsia" w:ascii="Times New Roman" w:hAnsi="Times New Roman" w:eastAsia="宋体" w:cs="Times New Roman"/>
                <w:color w:val="auto"/>
                <w:szCs w:val="32"/>
                <w:lang w:eastAsia="zh-CN"/>
              </w:rPr>
            </w:pPr>
            <w:r>
              <w:rPr>
                <w:rFonts w:hint="eastAsia" w:ascii="Times New Roman" w:hAnsi="Times New Roman" w:eastAsia="宋体" w:cs="Times New Roman"/>
                <w:color w:val="auto"/>
                <w:szCs w:val="32"/>
                <w:lang w:eastAsia="zh-CN"/>
              </w:rPr>
              <w:t>产品的标称名称、产品的重量</w:t>
            </w:r>
          </w:p>
        </w:tc>
        <w:tc>
          <w:tcPr>
            <w:tcW w:w="1734" w:type="dxa"/>
            <w:noWrap w:val="0"/>
            <w:vAlign w:val="center"/>
          </w:tcPr>
          <w:p>
            <w:pPr>
              <w:spacing w:line="400" w:lineRule="exact"/>
              <w:jc w:val="center"/>
              <w:rPr>
                <w:rFonts w:hint="eastAsia" w:ascii="Times New Roman" w:hAnsi="Times New Roman" w:eastAsia="宋体"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907" w:type="dxa"/>
            <w:noWrap w:val="0"/>
            <w:vAlign w:val="center"/>
          </w:tcPr>
          <w:p>
            <w:pPr>
              <w:spacing w:line="400" w:lineRule="exact"/>
              <w:jc w:val="center"/>
              <w:rPr>
                <w:rFonts w:hint="eastAsia" w:ascii="Times New Roman" w:hAnsi="Times New Roman" w:eastAsia="宋体" w:cs="Times New Roman"/>
                <w:color w:val="auto"/>
                <w:szCs w:val="32"/>
              </w:rPr>
            </w:pPr>
            <w:r>
              <w:rPr>
                <w:rFonts w:hint="eastAsia" w:ascii="Times New Roman" w:hAnsi="Times New Roman" w:eastAsia="宋体" w:cs="Times New Roman"/>
                <w:color w:val="auto"/>
                <w:szCs w:val="32"/>
              </w:rPr>
              <w:t>2</w:t>
            </w:r>
          </w:p>
        </w:tc>
        <w:tc>
          <w:tcPr>
            <w:tcW w:w="2650" w:type="dxa"/>
            <w:noWrap w:val="0"/>
            <w:vAlign w:val="center"/>
          </w:tcPr>
          <w:p>
            <w:pPr>
              <w:spacing w:line="400" w:lineRule="exact"/>
              <w:jc w:val="center"/>
              <w:rPr>
                <w:rFonts w:hint="eastAsia" w:ascii="Times New Roman" w:hAnsi="Times New Roman" w:eastAsia="宋体" w:cs="Times New Roman"/>
                <w:color w:val="auto"/>
                <w:szCs w:val="32"/>
              </w:rPr>
            </w:pPr>
            <w:r>
              <w:rPr>
                <w:rFonts w:hint="eastAsia" w:ascii="Times New Roman" w:hAnsi="Times New Roman" w:eastAsia="宋体" w:cs="Times New Roman"/>
                <w:color w:val="auto"/>
                <w:szCs w:val="32"/>
                <w:lang w:eastAsia="zh-CN"/>
              </w:rPr>
              <w:t>贵金属饰品</w:t>
            </w:r>
          </w:p>
        </w:tc>
        <w:tc>
          <w:tcPr>
            <w:tcW w:w="3647" w:type="dxa"/>
            <w:noWrap w:val="0"/>
            <w:vAlign w:val="center"/>
          </w:tcPr>
          <w:p>
            <w:pPr>
              <w:spacing w:line="400" w:lineRule="exact"/>
              <w:jc w:val="center"/>
              <w:rPr>
                <w:rFonts w:hint="eastAsia" w:ascii="Times New Roman" w:hAnsi="Times New Roman" w:eastAsia="宋体" w:cs="Times New Roman"/>
                <w:color w:val="auto"/>
                <w:szCs w:val="32"/>
                <w:lang w:eastAsia="zh-CN"/>
              </w:rPr>
            </w:pPr>
            <w:r>
              <w:rPr>
                <w:rFonts w:hint="eastAsia" w:ascii="Times New Roman" w:hAnsi="Times New Roman" w:eastAsia="宋体" w:cs="Times New Roman"/>
                <w:color w:val="auto"/>
                <w:szCs w:val="32"/>
                <w:lang w:eastAsia="zh-CN"/>
              </w:rPr>
              <w:t>产品的标称纯度、产品的重量</w:t>
            </w:r>
          </w:p>
        </w:tc>
        <w:tc>
          <w:tcPr>
            <w:tcW w:w="1734" w:type="dxa"/>
            <w:noWrap w:val="0"/>
            <w:vAlign w:val="center"/>
          </w:tcPr>
          <w:p>
            <w:pPr>
              <w:spacing w:line="400" w:lineRule="exact"/>
              <w:jc w:val="center"/>
              <w:rPr>
                <w:rFonts w:hint="eastAsia" w:ascii="Times New Roman" w:hAnsi="Times New Roman" w:eastAsia="宋体" w:cs="Times New Roman"/>
                <w:color w:val="auto"/>
                <w:szCs w:val="32"/>
              </w:rPr>
            </w:pPr>
          </w:p>
        </w:tc>
      </w:tr>
    </w:tbl>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封样要求：抽取的样品应当场封样，由抽样单位抽样人员、被抽样市场主体签字确认，每款产品的</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组样品分别封样，抽样机构应采取防拆封措施。样品全部带回实验室。</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、主要检验项目及不合格类别的划分指标</w:t>
      </w:r>
    </w:p>
    <w:p>
      <w:pPr>
        <w:snapToGrid w:val="0"/>
        <w:spacing w:line="440" w:lineRule="exact"/>
        <w:jc w:val="left"/>
        <w:rPr>
          <w:rFonts w:hint="eastAsia" w:ascii="宋体" w:hAnsi="宋体" w:eastAsia="宋体" w:cs="宋体"/>
          <w:b/>
          <w:bCs/>
          <w:sz w:val="21"/>
          <w:szCs w:val="21"/>
        </w:rPr>
      </w:pPr>
      <w:r>
        <w:rPr>
          <w:rFonts w:hint="eastAsia" w:ascii="宋体" w:hAnsi="宋体" w:eastAsia="宋体" w:cs="宋体"/>
          <w:b/>
          <w:bCs/>
          <w:color w:val="000000"/>
          <w:sz w:val="21"/>
          <w:szCs w:val="21"/>
          <w:lang w:eastAsia="zh-CN"/>
        </w:rPr>
        <w:t>表</w:t>
      </w:r>
      <w:r>
        <w:rPr>
          <w:rFonts w:hint="eastAsia" w:ascii="宋体" w:hAnsi="宋体" w:eastAsia="宋体" w:cs="宋体"/>
          <w:b/>
          <w:bCs/>
          <w:color w:val="000000"/>
          <w:sz w:val="21"/>
          <w:szCs w:val="21"/>
          <w:lang w:val="en-US" w:eastAsia="zh-CN"/>
        </w:rPr>
        <w:t>1</w:t>
      </w:r>
      <w:r>
        <w:rPr>
          <w:rFonts w:hint="eastAsia" w:ascii="宋体" w:hAnsi="宋体" w:eastAsia="宋体" w:cs="宋体"/>
          <w:b/>
          <w:bCs/>
          <w:sz w:val="21"/>
          <w:szCs w:val="21"/>
        </w:rPr>
        <w:t>贵金属饰品</w:t>
      </w:r>
      <w:r>
        <w:rPr>
          <w:rFonts w:hint="eastAsia" w:ascii="宋体" w:hAnsi="宋体" w:eastAsia="宋体" w:cs="宋体"/>
          <w:b/>
          <w:bCs/>
          <w:kern w:val="0"/>
          <w:sz w:val="21"/>
          <w:szCs w:val="21"/>
        </w:rPr>
        <w:t>产品检验项目及重要程度分类</w:t>
      </w:r>
    </w:p>
    <w:tbl>
      <w:tblPr>
        <w:tblStyle w:val="5"/>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2018"/>
        <w:gridCol w:w="1711"/>
        <w:gridCol w:w="983"/>
        <w:gridCol w:w="1134"/>
        <w:gridCol w:w="885"/>
        <w:gridCol w:w="1125"/>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802" w:type="dxa"/>
            <w:noWrap w:val="0"/>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2018" w:type="dxa"/>
            <w:noWrap w:val="0"/>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检验项目</w:t>
            </w:r>
          </w:p>
        </w:tc>
        <w:tc>
          <w:tcPr>
            <w:tcW w:w="1711"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依据法律法规或标准</w:t>
            </w:r>
          </w:p>
        </w:tc>
        <w:tc>
          <w:tcPr>
            <w:tcW w:w="983"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强制性</w:t>
            </w:r>
          </w:p>
        </w:tc>
        <w:tc>
          <w:tcPr>
            <w:tcW w:w="1134"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非强制性</w:t>
            </w:r>
          </w:p>
        </w:tc>
        <w:tc>
          <w:tcPr>
            <w:tcW w:w="885" w:type="dxa"/>
            <w:noWrap w:val="0"/>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重要项</w:t>
            </w:r>
          </w:p>
        </w:tc>
        <w:tc>
          <w:tcPr>
            <w:tcW w:w="1125"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color w:val="000000"/>
                <w:sz w:val="21"/>
                <w:szCs w:val="21"/>
              </w:rPr>
              <w:t>较重要项</w:t>
            </w:r>
          </w:p>
        </w:tc>
        <w:tc>
          <w:tcPr>
            <w:tcW w:w="929"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color w:val="00000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01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贵金属材料及含量</w:t>
            </w:r>
          </w:p>
        </w:tc>
        <w:tc>
          <w:tcPr>
            <w:tcW w:w="1711"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GB 18043-2013 6</w:t>
            </w:r>
          </w:p>
        </w:tc>
        <w:tc>
          <w:tcPr>
            <w:tcW w:w="98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134" w:type="dxa"/>
            <w:noWrap w:val="0"/>
            <w:vAlign w:val="center"/>
          </w:tcPr>
          <w:p>
            <w:pPr>
              <w:jc w:val="center"/>
              <w:rPr>
                <w:rFonts w:hint="eastAsia" w:ascii="宋体" w:hAnsi="宋体" w:eastAsia="宋体" w:cs="宋体"/>
                <w:sz w:val="21"/>
                <w:szCs w:val="21"/>
              </w:rPr>
            </w:pPr>
          </w:p>
        </w:tc>
        <w:tc>
          <w:tcPr>
            <w:tcW w:w="885" w:type="dxa"/>
            <w:noWrap w:val="0"/>
            <w:vAlign w:val="center"/>
          </w:tcPr>
          <w:p>
            <w:pPr>
              <w:adjustRightInd w:val="0"/>
              <w:snapToGrid w:val="0"/>
              <w:jc w:val="center"/>
              <w:rPr>
                <w:rFonts w:hint="eastAsia" w:ascii="宋体" w:hAnsi="宋体" w:eastAsia="宋体" w:cs="宋体"/>
                <w:color w:val="000000"/>
                <w:sz w:val="21"/>
                <w:szCs w:val="21"/>
              </w:rPr>
            </w:pPr>
            <w:r>
              <w:rPr>
                <w:rFonts w:hint="eastAsia" w:ascii="宋体" w:hAnsi="宋体" w:eastAsia="宋体" w:cs="宋体"/>
                <w:sz w:val="21"/>
                <w:szCs w:val="21"/>
              </w:rPr>
              <w:t>●</w:t>
            </w:r>
          </w:p>
        </w:tc>
        <w:tc>
          <w:tcPr>
            <w:tcW w:w="1125" w:type="dxa"/>
            <w:noWrap w:val="0"/>
            <w:vAlign w:val="center"/>
          </w:tcPr>
          <w:p>
            <w:pPr>
              <w:adjustRightInd w:val="0"/>
              <w:snapToGrid w:val="0"/>
              <w:jc w:val="center"/>
              <w:rPr>
                <w:rFonts w:hint="eastAsia" w:ascii="宋体" w:hAnsi="宋体" w:eastAsia="宋体" w:cs="宋体"/>
                <w:color w:val="000000"/>
                <w:sz w:val="21"/>
                <w:szCs w:val="21"/>
              </w:rPr>
            </w:pPr>
          </w:p>
        </w:tc>
        <w:tc>
          <w:tcPr>
            <w:tcW w:w="929"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01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有害元素</w:t>
            </w:r>
          </w:p>
        </w:tc>
        <w:tc>
          <w:tcPr>
            <w:tcW w:w="1711"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GB 28020-2011 5</w:t>
            </w:r>
          </w:p>
        </w:tc>
        <w:tc>
          <w:tcPr>
            <w:tcW w:w="98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134" w:type="dxa"/>
            <w:noWrap w:val="0"/>
            <w:vAlign w:val="center"/>
          </w:tcPr>
          <w:p>
            <w:pPr>
              <w:jc w:val="center"/>
              <w:rPr>
                <w:rFonts w:hint="eastAsia" w:ascii="宋体" w:hAnsi="宋体" w:eastAsia="宋体" w:cs="宋体"/>
                <w:sz w:val="21"/>
                <w:szCs w:val="21"/>
              </w:rPr>
            </w:pPr>
          </w:p>
        </w:tc>
        <w:tc>
          <w:tcPr>
            <w:tcW w:w="8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125" w:type="dxa"/>
            <w:noWrap w:val="0"/>
            <w:vAlign w:val="center"/>
          </w:tcPr>
          <w:p>
            <w:pPr>
              <w:adjustRightInd w:val="0"/>
              <w:snapToGrid w:val="0"/>
              <w:jc w:val="center"/>
              <w:rPr>
                <w:rFonts w:hint="eastAsia" w:ascii="宋体" w:hAnsi="宋体" w:eastAsia="宋体" w:cs="宋体"/>
                <w:color w:val="000000"/>
                <w:sz w:val="21"/>
                <w:szCs w:val="21"/>
              </w:rPr>
            </w:pPr>
          </w:p>
        </w:tc>
        <w:tc>
          <w:tcPr>
            <w:tcW w:w="929"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01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质量</w:t>
            </w:r>
          </w:p>
        </w:tc>
        <w:tc>
          <w:tcPr>
            <w:tcW w:w="1711"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QB/T 1690-2021 6</w:t>
            </w:r>
          </w:p>
        </w:tc>
        <w:tc>
          <w:tcPr>
            <w:tcW w:w="983" w:type="dxa"/>
            <w:noWrap w:val="0"/>
            <w:vAlign w:val="center"/>
          </w:tcPr>
          <w:p>
            <w:pPr>
              <w:jc w:val="center"/>
              <w:rPr>
                <w:rFonts w:hint="eastAsia" w:ascii="宋体" w:hAnsi="宋体" w:eastAsia="宋体" w:cs="宋体"/>
                <w:sz w:val="21"/>
                <w:szCs w:val="21"/>
              </w:rPr>
            </w:pPr>
          </w:p>
        </w:tc>
        <w:tc>
          <w:tcPr>
            <w:tcW w:w="113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85" w:type="dxa"/>
            <w:noWrap w:val="0"/>
            <w:vAlign w:val="center"/>
          </w:tcPr>
          <w:p>
            <w:pPr>
              <w:jc w:val="center"/>
              <w:rPr>
                <w:rFonts w:hint="eastAsia" w:ascii="宋体" w:hAnsi="宋体" w:eastAsia="宋体" w:cs="宋体"/>
                <w:sz w:val="21"/>
                <w:szCs w:val="21"/>
              </w:rPr>
            </w:pPr>
          </w:p>
        </w:tc>
        <w:tc>
          <w:tcPr>
            <w:tcW w:w="1125" w:type="dxa"/>
            <w:noWrap w:val="0"/>
            <w:vAlign w:val="center"/>
          </w:tcPr>
          <w:p>
            <w:pPr>
              <w:adjustRightInd w:val="0"/>
              <w:snapToGrid w:val="0"/>
              <w:jc w:val="center"/>
              <w:rPr>
                <w:rFonts w:hint="eastAsia" w:ascii="宋体" w:hAnsi="宋体" w:eastAsia="宋体" w:cs="宋体"/>
                <w:color w:val="000000"/>
                <w:sz w:val="21"/>
                <w:szCs w:val="21"/>
              </w:rPr>
            </w:pPr>
            <w:r>
              <w:rPr>
                <w:rFonts w:hint="eastAsia" w:ascii="宋体" w:hAnsi="宋体" w:eastAsia="宋体" w:cs="宋体"/>
                <w:sz w:val="21"/>
                <w:szCs w:val="21"/>
              </w:rPr>
              <w:t>●</w:t>
            </w:r>
          </w:p>
        </w:tc>
        <w:tc>
          <w:tcPr>
            <w:tcW w:w="929"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80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201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印记</w:t>
            </w:r>
          </w:p>
        </w:tc>
        <w:tc>
          <w:tcPr>
            <w:tcW w:w="1711"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GB 11887-2012 5.1</w:t>
            </w:r>
          </w:p>
        </w:tc>
        <w:tc>
          <w:tcPr>
            <w:tcW w:w="98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134" w:type="dxa"/>
            <w:noWrap w:val="0"/>
            <w:vAlign w:val="center"/>
          </w:tcPr>
          <w:p>
            <w:pPr>
              <w:jc w:val="center"/>
              <w:rPr>
                <w:rFonts w:hint="eastAsia" w:ascii="宋体" w:hAnsi="宋体" w:eastAsia="宋体" w:cs="宋体"/>
                <w:sz w:val="21"/>
                <w:szCs w:val="21"/>
              </w:rPr>
            </w:pPr>
          </w:p>
        </w:tc>
        <w:tc>
          <w:tcPr>
            <w:tcW w:w="885" w:type="dxa"/>
            <w:noWrap w:val="0"/>
            <w:vAlign w:val="center"/>
          </w:tcPr>
          <w:p>
            <w:pPr>
              <w:adjustRightInd w:val="0"/>
              <w:snapToGrid w:val="0"/>
              <w:jc w:val="center"/>
              <w:rPr>
                <w:rFonts w:hint="eastAsia" w:ascii="宋体" w:hAnsi="宋体" w:eastAsia="宋体" w:cs="宋体"/>
                <w:color w:val="000000"/>
                <w:sz w:val="21"/>
                <w:szCs w:val="21"/>
              </w:rPr>
            </w:pPr>
          </w:p>
        </w:tc>
        <w:tc>
          <w:tcPr>
            <w:tcW w:w="112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929"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jc w:val="center"/>
        </w:trPr>
        <w:tc>
          <w:tcPr>
            <w:tcW w:w="80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201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标签及其他标识物（生产、批发企业的产品不检该项目）</w:t>
            </w:r>
          </w:p>
        </w:tc>
        <w:tc>
          <w:tcPr>
            <w:tcW w:w="1711"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GB 11887-2012 5.2</w:t>
            </w:r>
          </w:p>
        </w:tc>
        <w:tc>
          <w:tcPr>
            <w:tcW w:w="98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134" w:type="dxa"/>
            <w:noWrap w:val="0"/>
            <w:vAlign w:val="center"/>
          </w:tcPr>
          <w:p>
            <w:pPr>
              <w:jc w:val="center"/>
              <w:rPr>
                <w:rFonts w:hint="eastAsia" w:ascii="宋体" w:hAnsi="宋体" w:eastAsia="宋体" w:cs="宋体"/>
                <w:sz w:val="21"/>
                <w:szCs w:val="21"/>
              </w:rPr>
            </w:pPr>
          </w:p>
        </w:tc>
        <w:tc>
          <w:tcPr>
            <w:tcW w:w="885" w:type="dxa"/>
            <w:noWrap w:val="0"/>
            <w:vAlign w:val="center"/>
          </w:tcPr>
          <w:p>
            <w:pPr>
              <w:adjustRightInd w:val="0"/>
              <w:snapToGrid w:val="0"/>
              <w:jc w:val="center"/>
              <w:rPr>
                <w:rFonts w:hint="eastAsia" w:ascii="宋体" w:hAnsi="宋体" w:eastAsia="宋体" w:cs="宋体"/>
                <w:color w:val="000000"/>
                <w:sz w:val="21"/>
                <w:szCs w:val="21"/>
              </w:rPr>
            </w:pPr>
          </w:p>
        </w:tc>
        <w:tc>
          <w:tcPr>
            <w:tcW w:w="1125" w:type="dxa"/>
            <w:noWrap w:val="0"/>
            <w:vAlign w:val="center"/>
          </w:tcPr>
          <w:p>
            <w:pPr>
              <w:jc w:val="center"/>
              <w:rPr>
                <w:rFonts w:hint="eastAsia" w:ascii="宋体" w:hAnsi="宋体" w:eastAsia="宋体" w:cs="宋体"/>
                <w:sz w:val="21"/>
                <w:szCs w:val="21"/>
              </w:rPr>
            </w:pPr>
          </w:p>
        </w:tc>
        <w:tc>
          <w:tcPr>
            <w:tcW w:w="929" w:type="dxa"/>
            <w:noWrap w:val="0"/>
            <w:vAlign w:val="center"/>
          </w:tcPr>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w:t>
            </w:r>
          </w:p>
        </w:tc>
      </w:tr>
    </w:tbl>
    <w:p>
      <w:pPr>
        <w:snapToGrid w:val="0"/>
        <w:spacing w:line="440" w:lineRule="exact"/>
        <w:jc w:val="left"/>
        <w:rPr>
          <w:rFonts w:hint="eastAsia" w:ascii="仿宋_GB2312" w:hAnsi="仿宋_GB2312" w:cs="仿宋_GB2312"/>
          <w:sz w:val="21"/>
          <w:szCs w:val="21"/>
        </w:rPr>
      </w:pPr>
      <w:r>
        <w:rPr>
          <w:rFonts w:hint="eastAsia" w:ascii="宋体" w:hAnsi="宋体" w:eastAsia="宋体" w:cs="宋体"/>
          <w:b/>
          <w:bCs/>
          <w:color w:val="000000"/>
          <w:sz w:val="21"/>
          <w:szCs w:val="21"/>
          <w:lang w:eastAsia="zh-CN"/>
        </w:rPr>
        <w:t>表</w:t>
      </w:r>
      <w:r>
        <w:rPr>
          <w:rFonts w:hint="eastAsia" w:ascii="宋体" w:hAnsi="宋体" w:eastAsia="宋体" w:cs="宋体"/>
          <w:b/>
          <w:bCs/>
          <w:color w:val="000000"/>
          <w:sz w:val="21"/>
          <w:szCs w:val="21"/>
          <w:lang w:val="en-US" w:eastAsia="zh-CN"/>
        </w:rPr>
        <w:t>2珠宝玉石</w:t>
      </w:r>
      <w:r>
        <w:rPr>
          <w:rFonts w:hint="eastAsia" w:ascii="宋体" w:hAnsi="宋体" w:eastAsia="宋体" w:cs="宋体"/>
          <w:b/>
          <w:bCs/>
          <w:kern w:val="0"/>
          <w:sz w:val="21"/>
          <w:szCs w:val="21"/>
        </w:rPr>
        <w:t>产品检验项目及重要程度分类</w:t>
      </w:r>
    </w:p>
    <w:tbl>
      <w:tblPr>
        <w:tblStyle w:val="5"/>
        <w:tblW w:w="9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993"/>
        <w:gridCol w:w="1724"/>
        <w:gridCol w:w="946"/>
        <w:gridCol w:w="1113"/>
        <w:gridCol w:w="885"/>
        <w:gridCol w:w="109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9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检验项目</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依据法律法规或标准</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强制性</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非强制性</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重要项</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较重要项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珠宝玉石定名</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xml:space="preserve">GB/T 16552-2017 </w:t>
            </w:r>
          </w:p>
        </w:tc>
        <w:tc>
          <w:tcPr>
            <w:tcW w:w="9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质量</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GB/T 16553-2017</w:t>
            </w:r>
          </w:p>
        </w:tc>
        <w:tc>
          <w:tcPr>
            <w:tcW w:w="9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标签及其他标识物（生产、批发企业的产品不检该项目）</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GB/T 16552-2017</w:t>
            </w:r>
          </w:p>
        </w:tc>
        <w:tc>
          <w:tcPr>
            <w:tcW w:w="9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bl>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执行企业标准、团体标准、地方标准的产品，检验项目参照上述内容执行。</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凡是注日期的文件，其随后所有的修改单（不包括勘误的内容）或修订版不适用于本细则。凡是不注日期的文件，其最新版本适用于本细则。</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三、判定原则</w:t>
      </w:r>
    </w:p>
    <w:p>
      <w:pPr>
        <w:snapToGrid w:val="0"/>
        <w:spacing w:line="440" w:lineRule="exact"/>
        <w:ind w:left="0" w:leftChars="0" w:firstLine="640" w:firstLineChars="200"/>
        <w:rPr>
          <w:rFonts w:ascii="宋体" w:hAnsi="宋体"/>
          <w:color w:val="000000"/>
          <w:szCs w:val="21"/>
        </w:rPr>
      </w:pPr>
      <w:r>
        <w:rPr>
          <w:rFonts w:hint="eastAsia" w:ascii="楷体_GB2312" w:hAnsi="楷体_GB2312" w:eastAsia="楷体_GB2312" w:cs="楷体_GB2312"/>
          <w:bCs/>
          <w:color w:val="auto"/>
          <w:sz w:val="32"/>
          <w:szCs w:val="32"/>
        </w:rPr>
        <w:t>（一）</w:t>
      </w:r>
      <w:r>
        <w:rPr>
          <w:rFonts w:hint="eastAsia" w:ascii="楷体_GB2312" w:hAnsi="楷体_GB2312" w:eastAsia="楷体_GB2312" w:cs="楷体_GB2312"/>
          <w:bCs/>
          <w:color w:val="auto"/>
          <w:sz w:val="32"/>
          <w:szCs w:val="32"/>
          <w:lang w:eastAsia="zh-CN"/>
        </w:rPr>
        <w:t>依据</w:t>
      </w:r>
      <w:r>
        <w:rPr>
          <w:rFonts w:hint="eastAsia" w:ascii="楷体_GB2312" w:hAnsi="楷体_GB2312" w:eastAsia="楷体_GB2312" w:cs="楷体_GB2312"/>
          <w:bCs/>
          <w:color w:val="auto"/>
          <w:sz w:val="32"/>
          <w:szCs w:val="32"/>
        </w:rPr>
        <w:t>标准。</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11887-2012 首饰  贵金属纯度的规定及命名方法</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11887-2012 首饰  贵金属纯度的规定及命名方法 第1号修订单</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16552－2017  珠宝玉石 名称</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16553－2017  珠宝玉石 鉴定</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18043-2013  首饰 贵金属含量的测定  X射线荧光光谱法</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28020-2011  饰品 有害元素的测定 X射线荧光光谱法</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QB/T 1690-20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 xml:space="preserve">  贵金属饰品质量测量允差的规定</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现行有效的企业标准、团体标准、地方标准及产品明示质量要求</w:t>
      </w:r>
    </w:p>
    <w:p>
      <w:pPr>
        <w:snapToGrid w:val="0"/>
        <w:spacing w:line="440" w:lineRule="exact"/>
        <w:ind w:left="0" w:leftChars="0" w:firstLine="640" w:firstLineChars="200"/>
        <w:rPr>
          <w:rFonts w:hint="eastAsia" w:ascii="宋体" w:hAnsi="宋体" w:eastAsia="宋体" w:cs="宋体"/>
          <w:color w:val="000000"/>
          <w:sz w:val="21"/>
          <w:szCs w:val="21"/>
        </w:rPr>
      </w:pPr>
      <w:r>
        <w:rPr>
          <w:rFonts w:hint="eastAsia" w:ascii="楷体_GB2312" w:hAnsi="楷体_GB2312" w:eastAsia="楷体_GB2312" w:cs="楷体_GB2312"/>
          <w:bCs/>
          <w:color w:val="auto"/>
          <w:sz w:val="32"/>
          <w:szCs w:val="32"/>
        </w:rPr>
        <w:t>（二）判定原则</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经检验，检验项目全部合格，判定为抽取的样本所检项目未检出不合格；检验项目中任一项或一项以上不合格，判定为被抽查产品不合格。</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当被检样品明示的质量要求优于监督抽查实施细则中依据的标准要求时，应按被检样品明示的质量要求判定；</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当被检样品明示的质量要求劣于或不包含监督抽查实施细则中依据的强制性标准要求时，应按照强制性标准要求判定；</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当被检样品明示的质量要求不包含监督抽查实施细则中依据的推荐性标准要求时，该指标不参与判定，但应在检验报告中作出说明；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当被检样品未能提供有效的企业标准时，按相关国家或行业标准进行判定；</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按照产品质量相关法律法规的规定判定。</w:t>
      </w:r>
    </w:p>
    <w:p>
      <w:pPr>
        <w:spacing w:line="600" w:lineRule="exact"/>
        <w:ind w:firstLine="640" w:firstLineChars="200"/>
        <w:rPr>
          <w:rFonts w:hint="eastAsia" w:ascii="宋体" w:hAnsi="宋体" w:eastAsia="宋体" w:cs="宋体"/>
          <w:bCs/>
          <w:color w:val="000000"/>
          <w:sz w:val="21"/>
          <w:szCs w:val="21"/>
          <w:lang w:eastAsia="zh-CN"/>
        </w:rPr>
      </w:pPr>
      <w:r>
        <w:rPr>
          <w:rFonts w:hint="eastAsia" w:ascii="仿宋_GB2312" w:hAnsi="仿宋_GB2312" w:eastAsia="仿宋_GB2312" w:cs="仿宋_GB2312"/>
          <w:kern w:val="0"/>
          <w:sz w:val="32"/>
          <w:szCs w:val="32"/>
        </w:rPr>
        <w:t>检验中发现因样品失效或者其他原因致使检验无法进行的，检验人员应如实记录，并提供相关证明材料，报送组织监督抽查的市场监管部门。</w:t>
      </w:r>
    </w:p>
    <w:p>
      <w:pPr>
        <w:snapToGrid w:val="0"/>
        <w:spacing w:line="440" w:lineRule="exact"/>
        <w:ind w:firstLine="417" w:firstLineChars="199"/>
        <w:rPr>
          <w:rFonts w:hint="eastAsia" w:ascii="宋体" w:hAnsi="宋体" w:eastAsia="宋体" w:cs="宋体"/>
          <w:bCs/>
          <w:color w:val="000000"/>
          <w:sz w:val="21"/>
          <w:szCs w:val="21"/>
          <w:lang w:eastAsia="zh-CN"/>
        </w:rPr>
      </w:pPr>
      <w:r>
        <w:rPr>
          <w:rFonts w:hint="eastAsia" w:ascii="宋体" w:hAnsi="宋体"/>
          <w:color w:val="000000"/>
          <w:szCs w:val="21"/>
          <w:u w:val="none"/>
          <w:lang w:val="en-US" w:eastAsia="zh-CN"/>
        </w:rPr>
        <w:t xml:space="preserve">       </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fldChar w:fldCharType="begin"/>
    </w:r>
    <w:r>
      <w:rPr>
        <w:lang w:val="zh-CN"/>
      </w:rPr>
      <w:instrText xml:space="preserve"> PAGE   \* MERGEFORMAT </w:instrText>
    </w:r>
    <w:r>
      <w:rPr>
        <w:lang w:val="zh-CN"/>
      </w:rPr>
      <w:fldChar w:fldCharType="separate"/>
    </w:r>
    <w:r>
      <w:rPr>
        <w:lang w:val="en-US" w:eastAsia="zh-CN"/>
      </w:rPr>
      <w:t>1</w:t>
    </w:r>
    <w:r>
      <w:rPr>
        <w:lang w:val="zh-CN"/>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mNjgxMDBkNjc4YzY2ZTlhN2RmZjY1YzUxOTJhYmQifQ=="/>
  </w:docVars>
  <w:rsids>
    <w:rsidRoot w:val="00172A27"/>
    <w:rsid w:val="00034843"/>
    <w:rsid w:val="00051A44"/>
    <w:rsid w:val="00065282"/>
    <w:rsid w:val="00081CBD"/>
    <w:rsid w:val="000976DE"/>
    <w:rsid w:val="000B4527"/>
    <w:rsid w:val="000D6A91"/>
    <w:rsid w:val="001809DD"/>
    <w:rsid w:val="001A751B"/>
    <w:rsid w:val="001D3F42"/>
    <w:rsid w:val="001E45FA"/>
    <w:rsid w:val="001E6534"/>
    <w:rsid w:val="001F6C1F"/>
    <w:rsid w:val="001F7503"/>
    <w:rsid w:val="00211261"/>
    <w:rsid w:val="002276A5"/>
    <w:rsid w:val="00232530"/>
    <w:rsid w:val="00240BAF"/>
    <w:rsid w:val="00253624"/>
    <w:rsid w:val="00261B44"/>
    <w:rsid w:val="00272E70"/>
    <w:rsid w:val="002C2EDA"/>
    <w:rsid w:val="002D7F8A"/>
    <w:rsid w:val="002E0D1D"/>
    <w:rsid w:val="003203A3"/>
    <w:rsid w:val="00335DE6"/>
    <w:rsid w:val="00352295"/>
    <w:rsid w:val="00365CBE"/>
    <w:rsid w:val="00391DC6"/>
    <w:rsid w:val="003A7CDE"/>
    <w:rsid w:val="003A7D30"/>
    <w:rsid w:val="003C24AD"/>
    <w:rsid w:val="003C388C"/>
    <w:rsid w:val="003E61BF"/>
    <w:rsid w:val="004104AC"/>
    <w:rsid w:val="0042112F"/>
    <w:rsid w:val="00426F38"/>
    <w:rsid w:val="00445E86"/>
    <w:rsid w:val="004730AE"/>
    <w:rsid w:val="00474E04"/>
    <w:rsid w:val="00485971"/>
    <w:rsid w:val="004A2D01"/>
    <w:rsid w:val="004A66D5"/>
    <w:rsid w:val="004B00EF"/>
    <w:rsid w:val="004B51FD"/>
    <w:rsid w:val="004D0C5A"/>
    <w:rsid w:val="004E1396"/>
    <w:rsid w:val="004E3259"/>
    <w:rsid w:val="004F3B94"/>
    <w:rsid w:val="005107F4"/>
    <w:rsid w:val="005544BD"/>
    <w:rsid w:val="00560EAE"/>
    <w:rsid w:val="00563EBC"/>
    <w:rsid w:val="00572269"/>
    <w:rsid w:val="00581887"/>
    <w:rsid w:val="0058431B"/>
    <w:rsid w:val="005F3719"/>
    <w:rsid w:val="005F7B92"/>
    <w:rsid w:val="00614D5B"/>
    <w:rsid w:val="00630B02"/>
    <w:rsid w:val="00646628"/>
    <w:rsid w:val="00663E4B"/>
    <w:rsid w:val="00695E50"/>
    <w:rsid w:val="006B422C"/>
    <w:rsid w:val="006D6110"/>
    <w:rsid w:val="006E0C7B"/>
    <w:rsid w:val="006E1171"/>
    <w:rsid w:val="006F0971"/>
    <w:rsid w:val="006F70EB"/>
    <w:rsid w:val="0072334C"/>
    <w:rsid w:val="00725B38"/>
    <w:rsid w:val="00732F56"/>
    <w:rsid w:val="007553CD"/>
    <w:rsid w:val="007607C6"/>
    <w:rsid w:val="00761CAC"/>
    <w:rsid w:val="00764614"/>
    <w:rsid w:val="007F5854"/>
    <w:rsid w:val="0080549B"/>
    <w:rsid w:val="00824C73"/>
    <w:rsid w:val="0084371C"/>
    <w:rsid w:val="008672DC"/>
    <w:rsid w:val="008925D0"/>
    <w:rsid w:val="00895BEA"/>
    <w:rsid w:val="008A3497"/>
    <w:rsid w:val="008A66EC"/>
    <w:rsid w:val="008A718C"/>
    <w:rsid w:val="008B4316"/>
    <w:rsid w:val="00905698"/>
    <w:rsid w:val="00916538"/>
    <w:rsid w:val="00917A54"/>
    <w:rsid w:val="00960D38"/>
    <w:rsid w:val="00965904"/>
    <w:rsid w:val="00981FA6"/>
    <w:rsid w:val="009A13ED"/>
    <w:rsid w:val="009A6A41"/>
    <w:rsid w:val="009B568C"/>
    <w:rsid w:val="009B7EFE"/>
    <w:rsid w:val="009F2545"/>
    <w:rsid w:val="009F5ACE"/>
    <w:rsid w:val="00A06FB7"/>
    <w:rsid w:val="00A20066"/>
    <w:rsid w:val="00A43553"/>
    <w:rsid w:val="00A517F0"/>
    <w:rsid w:val="00A51A21"/>
    <w:rsid w:val="00A820A9"/>
    <w:rsid w:val="00AA1AF9"/>
    <w:rsid w:val="00AA298F"/>
    <w:rsid w:val="00AC5391"/>
    <w:rsid w:val="00AD3210"/>
    <w:rsid w:val="00B333A4"/>
    <w:rsid w:val="00B55594"/>
    <w:rsid w:val="00B62E7B"/>
    <w:rsid w:val="00B65E93"/>
    <w:rsid w:val="00B75CFF"/>
    <w:rsid w:val="00B92C57"/>
    <w:rsid w:val="00BA5F40"/>
    <w:rsid w:val="00BD4B89"/>
    <w:rsid w:val="00BF2B8C"/>
    <w:rsid w:val="00BF3072"/>
    <w:rsid w:val="00C20DD6"/>
    <w:rsid w:val="00C26074"/>
    <w:rsid w:val="00C315EA"/>
    <w:rsid w:val="00C61EB5"/>
    <w:rsid w:val="00C72ACE"/>
    <w:rsid w:val="00C76BC7"/>
    <w:rsid w:val="00C83B0A"/>
    <w:rsid w:val="00C97F5C"/>
    <w:rsid w:val="00CA10CC"/>
    <w:rsid w:val="00CA1ACE"/>
    <w:rsid w:val="00CC622F"/>
    <w:rsid w:val="00CC72A9"/>
    <w:rsid w:val="00CD6C85"/>
    <w:rsid w:val="00CE1E0C"/>
    <w:rsid w:val="00CE277E"/>
    <w:rsid w:val="00CF442E"/>
    <w:rsid w:val="00D22024"/>
    <w:rsid w:val="00D3752E"/>
    <w:rsid w:val="00D507A4"/>
    <w:rsid w:val="00D56867"/>
    <w:rsid w:val="00D61476"/>
    <w:rsid w:val="00D82340"/>
    <w:rsid w:val="00D8267F"/>
    <w:rsid w:val="00D84BA9"/>
    <w:rsid w:val="00D87B4F"/>
    <w:rsid w:val="00DD2C11"/>
    <w:rsid w:val="00DD5C43"/>
    <w:rsid w:val="00DE2A74"/>
    <w:rsid w:val="00DE5F11"/>
    <w:rsid w:val="00E02A7F"/>
    <w:rsid w:val="00E07880"/>
    <w:rsid w:val="00E15671"/>
    <w:rsid w:val="00E1570C"/>
    <w:rsid w:val="00E31131"/>
    <w:rsid w:val="00E312C7"/>
    <w:rsid w:val="00E379D2"/>
    <w:rsid w:val="00E7704F"/>
    <w:rsid w:val="00E81927"/>
    <w:rsid w:val="00E82621"/>
    <w:rsid w:val="00EB0F95"/>
    <w:rsid w:val="00ED5B7A"/>
    <w:rsid w:val="00ED646B"/>
    <w:rsid w:val="00ED72FD"/>
    <w:rsid w:val="00EF4319"/>
    <w:rsid w:val="00F24F6D"/>
    <w:rsid w:val="00F2603F"/>
    <w:rsid w:val="00F43F54"/>
    <w:rsid w:val="00F50137"/>
    <w:rsid w:val="00F56DBA"/>
    <w:rsid w:val="00F64407"/>
    <w:rsid w:val="00F75CDC"/>
    <w:rsid w:val="00F77C9A"/>
    <w:rsid w:val="00FB576C"/>
    <w:rsid w:val="00FD2AA6"/>
    <w:rsid w:val="00FD66D5"/>
    <w:rsid w:val="00FE3B32"/>
    <w:rsid w:val="00FE7E8A"/>
    <w:rsid w:val="04825E3E"/>
    <w:rsid w:val="0F7D22A6"/>
    <w:rsid w:val="123809FA"/>
    <w:rsid w:val="1B870A35"/>
    <w:rsid w:val="1FC85AE5"/>
    <w:rsid w:val="25ED55B3"/>
    <w:rsid w:val="26B773DF"/>
    <w:rsid w:val="27F96EC3"/>
    <w:rsid w:val="345D2478"/>
    <w:rsid w:val="350718A9"/>
    <w:rsid w:val="389106F4"/>
    <w:rsid w:val="3AC33933"/>
    <w:rsid w:val="3F7C67B7"/>
    <w:rsid w:val="3FD83C24"/>
    <w:rsid w:val="41C2154B"/>
    <w:rsid w:val="4C0F0031"/>
    <w:rsid w:val="566E56FB"/>
    <w:rsid w:val="5A0F330D"/>
    <w:rsid w:val="5BE12E76"/>
    <w:rsid w:val="6F77129B"/>
    <w:rsid w:val="72FB65DF"/>
    <w:rsid w:val="73942A7D"/>
    <w:rsid w:val="73B5360C"/>
    <w:rsid w:val="76955733"/>
    <w:rsid w:val="7916455F"/>
    <w:rsid w:val="7A895C4B"/>
    <w:rsid w:val="7BD251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方案正文"/>
    <w:basedOn w:val="1"/>
    <w:link w:val="17"/>
    <w:qFormat/>
    <w:uiPriority w:val="0"/>
    <w:pPr>
      <w:spacing w:line="360" w:lineRule="auto"/>
      <w:ind w:firstLine="560" w:firstLineChars="200"/>
    </w:pPr>
    <w:rPr>
      <w:rFonts w:ascii="仿宋_GB2312" w:hAnsi="宋体" w:eastAsia="仿宋_GB2312"/>
      <w:kern w:val="0"/>
      <w:sz w:val="28"/>
      <w:szCs w:val="28"/>
    </w:rPr>
  </w:style>
  <w:style w:type="paragraph" w:customStyle="1" w:styleId="10">
    <w:name w:val="列出段落1"/>
    <w:basedOn w:val="1"/>
    <w:qFormat/>
    <w:uiPriority w:val="34"/>
    <w:pPr>
      <w:ind w:firstLine="420" w:firstLineChars="200"/>
    </w:pPr>
    <w:rPr>
      <w:rFonts w:ascii="Calibri" w:hAnsi="Calibri"/>
      <w:szCs w:val="22"/>
    </w:rPr>
  </w:style>
  <w:style w:type="paragraph" w:customStyle="1" w:styleId="11">
    <w:name w:val="Table Paragraph"/>
    <w:basedOn w:val="1"/>
    <w:qFormat/>
    <w:uiPriority w:val="99"/>
    <w:rPr>
      <w:rFonts w:eastAsia="仿宋_GB2312"/>
      <w:sz w:val="32"/>
    </w:rPr>
  </w:style>
  <w:style w:type="paragraph" w:customStyle="1" w:styleId="12">
    <w:name w:val="p0"/>
    <w:basedOn w:val="1"/>
    <w:qFormat/>
    <w:uiPriority w:val="0"/>
    <w:pPr>
      <w:widowControl/>
    </w:pPr>
    <w:rPr>
      <w:rFonts w:ascii="Times New Roman" w:hAnsi="Times New Roman" w:cs="Times New Roman"/>
      <w:kern w:val="0"/>
      <w:sz w:val="30"/>
      <w:szCs w:val="21"/>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character" w:customStyle="1" w:styleId="14">
    <w:name w:val="批注框文本 Char"/>
    <w:link w:val="2"/>
    <w:semiHidden/>
    <w:qFormat/>
    <w:uiPriority w:val="99"/>
    <w:rPr>
      <w:kern w:val="2"/>
      <w:sz w:val="18"/>
      <w:szCs w:val="18"/>
    </w:rPr>
  </w:style>
  <w:style w:type="character" w:customStyle="1" w:styleId="15">
    <w:name w:val="页脚 Char"/>
    <w:link w:val="3"/>
    <w:qFormat/>
    <w:uiPriority w:val="99"/>
    <w:rPr>
      <w:kern w:val="2"/>
      <w:sz w:val="18"/>
      <w:szCs w:val="18"/>
    </w:rPr>
  </w:style>
  <w:style w:type="character" w:customStyle="1" w:styleId="16">
    <w:name w:val="页眉 Char"/>
    <w:link w:val="4"/>
    <w:semiHidden/>
    <w:uiPriority w:val="99"/>
    <w:rPr>
      <w:kern w:val="2"/>
      <w:sz w:val="18"/>
      <w:szCs w:val="18"/>
    </w:rPr>
  </w:style>
  <w:style w:type="character" w:customStyle="1" w:styleId="17">
    <w:name w:val="方案正文 Char"/>
    <w:link w:val="9"/>
    <w:qFormat/>
    <w:locked/>
    <w:uiPriority w:val="0"/>
    <w:rPr>
      <w:rFonts w:ascii="仿宋_GB2312" w:hAnsi="宋体" w:eastAsia="仿宋_GB2312"/>
      <w:sz w:val="28"/>
      <w:szCs w:val="28"/>
    </w:rPr>
  </w:style>
  <w:style w:type="table" w:customStyle="1" w:styleId="18">
    <w:name w:val="Table Normal"/>
    <w:unhideWhenUsed/>
    <w:qFormat/>
    <w:uiPriority w:val="2"/>
    <w:rPr>
      <w:lang w:val="en-US" w:eastAsia="zh-CN"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2</Pages>
  <Words>1160</Words>
  <Characters>1349</Characters>
  <Lines>1</Lines>
  <Paragraphs>1</Paragraphs>
  <TotalTime>0</TotalTime>
  <ScaleCrop>false</ScaleCrop>
  <LinksUpToDate>false</LinksUpToDate>
  <CharactersWithSpaces>1452</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2020-11-05T11:40:00Z</dcterms:created>
  <dc:creator>Legend User</dc:creator>
  <cp:lastModifiedBy>李文湘</cp:lastModifiedBy>
  <cp:lastPrinted>2019-12-05T07:53:00Z</cp:lastPrinted>
  <dcterms:modified xsi:type="dcterms:W3CDTF">2022-06-29T03:07:29Z</dcterms:modified>
  <dc:title>××产品质量监督抽查实施细则</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05CEEC345A6A4676BD634743E6606281</vt:lpwstr>
  </property>
</Properties>
</file>