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p>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汕尾市五金制品</w:t>
      </w:r>
      <w:r>
        <w:rPr>
          <w:rFonts w:hint="eastAsia" w:ascii="方正小标宋简体" w:hAnsi="方正小标宋简体" w:eastAsia="方正小标宋简体" w:cs="方正小标宋简体"/>
          <w:kern w:val="0"/>
          <w:sz w:val="44"/>
          <w:szCs w:val="44"/>
        </w:rPr>
        <w:t>产品质量</w:t>
      </w:r>
    </w:p>
    <w:p>
      <w:pPr>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kern w:val="0"/>
          <w:sz w:val="44"/>
          <w:szCs w:val="44"/>
        </w:rPr>
        <w:t>监督抽查实施</w:t>
      </w:r>
      <w:r>
        <w:rPr>
          <w:rFonts w:hint="eastAsia" w:ascii="方正小标宋简体" w:hAnsi="方正小标宋简体" w:eastAsia="方正小标宋简体" w:cs="方正小标宋简体"/>
          <w:kern w:val="0"/>
          <w:sz w:val="44"/>
          <w:szCs w:val="44"/>
          <w:lang w:eastAsia="zh-CN"/>
        </w:rPr>
        <w:t>细则</w:t>
      </w:r>
    </w:p>
    <w:p>
      <w:pPr>
        <w:spacing w:line="600" w:lineRule="exact"/>
        <w:jc w:val="left"/>
        <w:rPr>
          <w:b/>
          <w:bCs/>
          <w:szCs w:val="32"/>
        </w:rPr>
      </w:pPr>
    </w:p>
    <w:p>
      <w:pPr>
        <w:numPr>
          <w:ilvl w:val="0"/>
          <w:numId w:val="0"/>
        </w:numPr>
        <w:spacing w:line="600" w:lineRule="exact"/>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一、抽样方法</w:t>
      </w:r>
    </w:p>
    <w:p>
      <w:pPr>
        <w:spacing w:line="60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以随机抽样的</w:t>
      </w:r>
      <w:bookmarkStart w:id="0" w:name="_GoBack"/>
      <w:bookmarkEnd w:id="0"/>
      <w:r>
        <w:rPr>
          <w:rFonts w:hint="eastAsia" w:ascii="仿宋_GB2312" w:hAnsi="仿宋_GB2312" w:eastAsia="仿宋_GB2312" w:cs="仿宋_GB2312"/>
          <w:color w:val="000000"/>
          <w:sz w:val="32"/>
          <w:szCs w:val="32"/>
          <w:lang w:eastAsia="zh-CN"/>
        </w:rPr>
        <w:t>方式在被抽查市场主体的待销产品中抽取。</w:t>
      </w:r>
    </w:p>
    <w:p>
      <w:pPr>
        <w:spacing w:line="60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随机数一般可使用随机数表等方法产生。</w:t>
      </w:r>
    </w:p>
    <w:p>
      <w:pPr>
        <w:spacing w:line="600" w:lineRule="exact"/>
        <w:ind w:left="0" w:lef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lang w:eastAsia="zh-CN"/>
        </w:rPr>
        <w:t>抽查数量：</w:t>
      </w:r>
      <w:r>
        <w:rPr>
          <w:rFonts w:hint="eastAsia" w:ascii="仿宋_GB2312" w:hAnsi="仿宋_GB2312" w:eastAsia="仿宋_GB2312" w:cs="仿宋_GB2312"/>
          <w:kern w:val="0"/>
          <w:sz w:val="32"/>
          <w:szCs w:val="32"/>
        </w:rPr>
        <w:t>每款产品抽取2组样本，第1组用于检验，第2组用于备用。每组样品需抽取样品数量如下表所示：</w:t>
      </w:r>
    </w:p>
    <w:p>
      <w:pPr>
        <w:spacing w:line="600" w:lineRule="exact"/>
        <w:ind w:left="0" w:lef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lang w:eastAsia="zh-CN"/>
        </w:rPr>
        <w:t>五金制品：</w:t>
      </w:r>
      <w:r>
        <w:rPr>
          <w:rFonts w:hint="eastAsia" w:ascii="仿宋_GB2312" w:hAnsi="仿宋_GB2312" w:eastAsia="仿宋_GB2312" w:cs="仿宋_GB2312"/>
          <w:color w:val="000000"/>
          <w:sz w:val="32"/>
          <w:szCs w:val="32"/>
        </w:rPr>
        <w:t>家具用连接件（含偏心体、连接螺杆、预埋螺母）</w:t>
      </w:r>
      <w:r>
        <w:rPr>
          <w:rFonts w:hint="eastAsia" w:ascii="仿宋_GB2312" w:hAnsi="仿宋_GB2312" w:eastAsia="仿宋_GB2312" w:cs="仿宋_GB2312"/>
          <w:color w:val="000000"/>
          <w:sz w:val="32"/>
          <w:szCs w:val="32"/>
          <w:lang w:eastAsia="zh-CN"/>
        </w:rPr>
        <w:t>。</w:t>
      </w:r>
    </w:p>
    <w:tbl>
      <w:tblPr>
        <w:tblStyle w:val="2"/>
        <w:tblW w:w="8103"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741"/>
        <w:gridCol w:w="1897"/>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noWrap w:val="0"/>
            <w:vAlign w:val="center"/>
          </w:tcPr>
          <w:p>
            <w:pPr>
              <w:spacing w:line="400" w:lineRule="exact"/>
              <w:jc w:val="center"/>
              <w:rPr>
                <w:szCs w:val="32"/>
              </w:rPr>
            </w:pPr>
            <w:r>
              <w:rPr>
                <w:szCs w:val="32"/>
              </w:rPr>
              <w:t>序号</w:t>
            </w:r>
          </w:p>
        </w:tc>
        <w:tc>
          <w:tcPr>
            <w:tcW w:w="3741" w:type="dxa"/>
            <w:noWrap w:val="0"/>
            <w:vAlign w:val="center"/>
          </w:tcPr>
          <w:p>
            <w:pPr>
              <w:spacing w:line="400" w:lineRule="exact"/>
              <w:jc w:val="center"/>
              <w:rPr>
                <w:szCs w:val="32"/>
              </w:rPr>
            </w:pPr>
            <w:r>
              <w:rPr>
                <w:szCs w:val="32"/>
              </w:rPr>
              <w:t>产品名称</w:t>
            </w:r>
          </w:p>
        </w:tc>
        <w:tc>
          <w:tcPr>
            <w:tcW w:w="1897" w:type="dxa"/>
            <w:noWrap w:val="0"/>
            <w:vAlign w:val="center"/>
          </w:tcPr>
          <w:p>
            <w:pPr>
              <w:spacing w:line="400" w:lineRule="exact"/>
              <w:jc w:val="center"/>
              <w:rPr>
                <w:szCs w:val="32"/>
              </w:rPr>
            </w:pPr>
            <w:r>
              <w:rPr>
                <w:szCs w:val="32"/>
              </w:rPr>
              <w:t>第1组数量</w:t>
            </w:r>
          </w:p>
        </w:tc>
        <w:tc>
          <w:tcPr>
            <w:tcW w:w="1756" w:type="dxa"/>
            <w:noWrap w:val="0"/>
            <w:vAlign w:val="top"/>
          </w:tcPr>
          <w:p>
            <w:pPr>
              <w:spacing w:line="400" w:lineRule="exact"/>
              <w:jc w:val="center"/>
              <w:rPr>
                <w:szCs w:val="32"/>
              </w:rPr>
            </w:pPr>
            <w:r>
              <w:rPr>
                <w:szCs w:val="32"/>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noWrap w:val="0"/>
            <w:vAlign w:val="center"/>
          </w:tcPr>
          <w:p>
            <w:pPr>
              <w:spacing w:line="400" w:lineRule="exact"/>
              <w:jc w:val="center"/>
              <w:rPr>
                <w:szCs w:val="32"/>
              </w:rPr>
            </w:pPr>
            <w:r>
              <w:rPr>
                <w:szCs w:val="32"/>
              </w:rPr>
              <w:t>1</w:t>
            </w:r>
          </w:p>
        </w:tc>
        <w:tc>
          <w:tcPr>
            <w:tcW w:w="3741" w:type="dxa"/>
            <w:noWrap w:val="0"/>
            <w:vAlign w:val="center"/>
          </w:tcPr>
          <w:p>
            <w:pPr>
              <w:adjustRightInd w:val="0"/>
              <w:snapToGrid w:val="0"/>
              <w:spacing w:line="400" w:lineRule="exact"/>
              <w:jc w:val="center"/>
              <w:rPr>
                <w:rFonts w:hint="eastAsia" w:eastAsia="仿宋_GB2312"/>
                <w:szCs w:val="32"/>
                <w:lang w:eastAsia="zh-CN"/>
              </w:rPr>
            </w:pPr>
            <w:r>
              <w:rPr>
                <w:rFonts w:hint="eastAsia" w:ascii="宋体" w:hAnsi="宋体" w:cs="Sim Sun"/>
                <w:bCs/>
                <w:color w:val="000000"/>
                <w:kern w:val="0"/>
                <w:szCs w:val="21"/>
              </w:rPr>
              <w:t>家具用连接件（含偏心体、连接螺杆、预埋螺母）</w:t>
            </w:r>
          </w:p>
        </w:tc>
        <w:tc>
          <w:tcPr>
            <w:tcW w:w="1897" w:type="dxa"/>
            <w:noWrap w:val="0"/>
            <w:vAlign w:val="center"/>
          </w:tcPr>
          <w:p>
            <w:pPr>
              <w:adjustRightInd w:val="0"/>
              <w:snapToGrid w:val="0"/>
              <w:spacing w:line="400" w:lineRule="exact"/>
              <w:jc w:val="center"/>
              <w:rPr>
                <w:rFonts w:hint="default" w:eastAsia="仿宋_GB2312"/>
                <w:szCs w:val="32"/>
                <w:lang w:val="en-US" w:eastAsia="zh-CN"/>
              </w:rPr>
            </w:pPr>
            <w:r>
              <w:rPr>
                <w:rFonts w:hint="eastAsia" w:ascii="宋体" w:hAnsi="宋体" w:cs="Sim Sun"/>
                <w:bCs/>
                <w:color w:val="000000"/>
                <w:kern w:val="0"/>
                <w:szCs w:val="21"/>
                <w:lang w:val="en-US" w:eastAsia="zh-CN"/>
              </w:rPr>
              <w:t>50</w:t>
            </w:r>
            <w:r>
              <w:rPr>
                <w:rFonts w:hint="eastAsia" w:ascii="宋体" w:hAnsi="宋体" w:cs="Sim Sun"/>
                <w:bCs/>
                <w:color w:val="000000"/>
                <w:kern w:val="0"/>
                <w:szCs w:val="21"/>
              </w:rPr>
              <w:t>套</w:t>
            </w:r>
          </w:p>
        </w:tc>
        <w:tc>
          <w:tcPr>
            <w:tcW w:w="1756" w:type="dxa"/>
            <w:noWrap w:val="0"/>
            <w:vAlign w:val="center"/>
          </w:tcPr>
          <w:p>
            <w:pPr>
              <w:adjustRightInd w:val="0"/>
              <w:snapToGrid w:val="0"/>
              <w:spacing w:line="400" w:lineRule="exact"/>
              <w:jc w:val="center"/>
              <w:rPr>
                <w:rFonts w:hint="default" w:eastAsia="仿宋_GB2312"/>
                <w:szCs w:val="32"/>
                <w:lang w:val="en-US" w:eastAsia="zh-CN"/>
              </w:rPr>
            </w:pPr>
            <w:r>
              <w:rPr>
                <w:rFonts w:hint="eastAsia" w:ascii="宋体" w:hAnsi="宋体" w:cs="Sim Sun"/>
                <w:bCs/>
                <w:color w:val="000000"/>
                <w:kern w:val="0"/>
                <w:szCs w:val="21"/>
                <w:lang w:val="en-US" w:eastAsia="zh-CN"/>
              </w:rPr>
              <w:t>50</w:t>
            </w:r>
            <w:r>
              <w:rPr>
                <w:rFonts w:hint="eastAsia" w:ascii="宋体" w:hAnsi="宋体" w:cs="Sim Sun"/>
                <w:bCs/>
                <w:color w:val="000000"/>
                <w:kern w:val="0"/>
                <w:szCs w:val="21"/>
              </w:rPr>
              <w:t>套</w:t>
            </w:r>
          </w:p>
        </w:tc>
      </w:tr>
    </w:tbl>
    <w:p>
      <w:pPr>
        <w:spacing w:line="600" w:lineRule="exact"/>
        <w:ind w:left="0" w:lef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抽样方法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000000"/>
          <w:sz w:val="32"/>
          <w:szCs w:val="32"/>
          <w:lang w:eastAsia="zh-CN"/>
        </w:rPr>
        <w:t>确定被抽样对象应符合</w:t>
      </w:r>
      <w:r>
        <w:rPr>
          <w:rFonts w:hint="eastAsia" w:ascii="仿宋_GB2312" w:hAnsi="仿宋_GB2312" w:eastAsia="仿宋_GB2312" w:cs="仿宋_GB2312"/>
          <w:kern w:val="0"/>
          <w:sz w:val="32"/>
          <w:szCs w:val="32"/>
        </w:rPr>
        <w:t>T/GDAQI 020-202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《产品质量监督抽查抽样检验技术服务规范》5.3.3.3</w:t>
      </w:r>
      <w:r>
        <w:rPr>
          <w:rFonts w:hint="eastAsia" w:ascii="仿宋_GB2312" w:hAnsi="仿宋_GB2312" w:eastAsia="仿宋_GB2312" w:cs="仿宋_GB2312"/>
          <w:kern w:val="0"/>
          <w:sz w:val="32"/>
          <w:szCs w:val="32"/>
          <w:lang w:eastAsia="zh-CN"/>
        </w:rPr>
        <w:t>和第</w:t>
      </w:r>
      <w:r>
        <w:rPr>
          <w:rFonts w:hint="eastAsia" w:ascii="仿宋_GB2312" w:hAnsi="仿宋_GB2312" w:eastAsia="仿宋_GB2312" w:cs="仿宋_GB2312"/>
          <w:kern w:val="0"/>
          <w:sz w:val="32"/>
          <w:szCs w:val="32"/>
          <w:lang w:val="en-US" w:eastAsia="zh-CN"/>
        </w:rPr>
        <w:t>6章、第7章抽样的相关要求。抽取标称同一商标（或标称同一生产者）、同一型号规格的产品。</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kern w:val="0"/>
          <w:sz w:val="32"/>
          <w:szCs w:val="32"/>
        </w:rPr>
        <w:t>封样要求：抽取的样品应当场封样，由抽样单位抽样人员、被抽样市场主体签字确认，每款产品的2组样品分别封样，抽样机构应采取防拆封措施。样品全部带回实验室。</w:t>
      </w:r>
    </w:p>
    <w:p>
      <w:pPr>
        <w:spacing w:line="520" w:lineRule="exact"/>
        <w:ind w:firstLine="640" w:firstLineChars="200"/>
        <w:rPr>
          <w:rFonts w:eastAsia="黑体"/>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、主要检验项目及不合格类别的划分指标</w:t>
      </w:r>
    </w:p>
    <w:tbl>
      <w:tblPr>
        <w:tblStyle w:val="2"/>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426"/>
        <w:gridCol w:w="1409"/>
        <w:gridCol w:w="1880"/>
        <w:gridCol w:w="1048"/>
        <w:gridCol w:w="1367"/>
        <w:gridCol w:w="1125"/>
        <w:gridCol w:w="1065"/>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650" w:type="dxa"/>
            <w:noWrap w:val="0"/>
            <w:vAlign w:val="center"/>
          </w:tcPr>
          <w:p>
            <w:pPr>
              <w:jc w:val="center"/>
              <w:rPr>
                <w:rFonts w:hint="eastAsia" w:ascii="宋体" w:hAnsi="宋体" w:cs="宋体"/>
                <w:b/>
                <w:bCs/>
                <w:sz w:val="21"/>
                <w:szCs w:val="21"/>
              </w:rPr>
            </w:pPr>
            <w:r>
              <w:rPr>
                <w:rFonts w:hint="eastAsia" w:ascii="宋体" w:hAnsi="宋体" w:cs="宋体"/>
                <w:b/>
                <w:bCs/>
                <w:sz w:val="21"/>
                <w:szCs w:val="21"/>
              </w:rPr>
              <w:t>序号</w:t>
            </w:r>
          </w:p>
        </w:tc>
        <w:tc>
          <w:tcPr>
            <w:tcW w:w="1835" w:type="dxa"/>
            <w:gridSpan w:val="2"/>
            <w:noWrap w:val="0"/>
            <w:vAlign w:val="center"/>
          </w:tcPr>
          <w:p>
            <w:pPr>
              <w:jc w:val="center"/>
              <w:rPr>
                <w:rFonts w:hint="eastAsia" w:ascii="宋体" w:hAnsi="宋体" w:cs="宋体"/>
                <w:b/>
                <w:bCs/>
                <w:sz w:val="21"/>
                <w:szCs w:val="21"/>
              </w:rPr>
            </w:pPr>
            <w:r>
              <w:rPr>
                <w:rFonts w:hint="eastAsia" w:ascii="宋体" w:hAnsi="宋体" w:cs="宋体"/>
                <w:b/>
                <w:bCs/>
                <w:sz w:val="21"/>
                <w:szCs w:val="21"/>
              </w:rPr>
              <w:t>检验项目</w:t>
            </w:r>
          </w:p>
        </w:tc>
        <w:tc>
          <w:tcPr>
            <w:tcW w:w="1880" w:type="dxa"/>
            <w:noWrap w:val="0"/>
            <w:vAlign w:val="center"/>
          </w:tcPr>
          <w:p>
            <w:pPr>
              <w:jc w:val="center"/>
              <w:rPr>
                <w:rFonts w:hint="eastAsia" w:ascii="宋体" w:hAnsi="宋体" w:cs="宋体"/>
                <w:b/>
                <w:bCs/>
                <w:sz w:val="21"/>
                <w:szCs w:val="21"/>
              </w:rPr>
            </w:pPr>
            <w:r>
              <w:rPr>
                <w:rFonts w:hint="eastAsia" w:ascii="宋体" w:hAnsi="宋体" w:cs="宋体"/>
                <w:b/>
                <w:bCs/>
                <w:color w:val="000000"/>
                <w:sz w:val="21"/>
                <w:szCs w:val="21"/>
              </w:rPr>
              <w:t>依据法律法规或标准</w:t>
            </w:r>
          </w:p>
        </w:tc>
        <w:tc>
          <w:tcPr>
            <w:tcW w:w="1048" w:type="dxa"/>
            <w:noWrap w:val="0"/>
            <w:vAlign w:val="center"/>
          </w:tcPr>
          <w:p>
            <w:pPr>
              <w:jc w:val="center"/>
              <w:rPr>
                <w:rFonts w:hint="eastAsia" w:ascii="宋体" w:hAnsi="宋体" w:cs="宋体"/>
                <w:b/>
                <w:bCs/>
                <w:sz w:val="21"/>
                <w:szCs w:val="21"/>
              </w:rPr>
            </w:pPr>
            <w:r>
              <w:rPr>
                <w:rFonts w:hint="eastAsia" w:ascii="宋体" w:hAnsi="宋体" w:cs="宋体"/>
                <w:b/>
                <w:bCs/>
                <w:sz w:val="21"/>
                <w:szCs w:val="21"/>
              </w:rPr>
              <w:t>强制性</w:t>
            </w:r>
          </w:p>
        </w:tc>
        <w:tc>
          <w:tcPr>
            <w:tcW w:w="1367" w:type="dxa"/>
            <w:noWrap w:val="0"/>
            <w:vAlign w:val="center"/>
          </w:tcPr>
          <w:p>
            <w:pPr>
              <w:jc w:val="center"/>
              <w:rPr>
                <w:rFonts w:hint="eastAsia" w:ascii="宋体" w:hAnsi="宋体" w:cs="宋体"/>
                <w:b/>
                <w:bCs/>
                <w:sz w:val="21"/>
                <w:szCs w:val="21"/>
              </w:rPr>
            </w:pPr>
            <w:r>
              <w:rPr>
                <w:rFonts w:hint="eastAsia" w:ascii="宋体" w:hAnsi="宋体" w:cs="宋体"/>
                <w:b/>
                <w:bCs/>
                <w:sz w:val="21"/>
                <w:szCs w:val="21"/>
                <w:lang w:eastAsia="zh-CN"/>
              </w:rPr>
              <w:t>非强制性</w:t>
            </w:r>
          </w:p>
        </w:tc>
        <w:tc>
          <w:tcPr>
            <w:tcW w:w="112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
              </w:rPr>
              <w:t>重要项</w:t>
            </w:r>
            <w:r>
              <w:rPr>
                <w:rFonts w:hint="eastAsia" w:ascii="宋体" w:hAnsi="宋体" w:eastAsia="宋体" w:cs="宋体"/>
                <w:b/>
                <w:bCs/>
                <w:color w:val="000000"/>
                <w:kern w:val="2"/>
                <w:sz w:val="21"/>
                <w:szCs w:val="21"/>
                <w:lang w:val="en-US" w:eastAsia="zh-CN" w:bidi="ar"/>
              </w:rPr>
              <w:t> </w:t>
            </w:r>
          </w:p>
        </w:tc>
        <w:tc>
          <w:tcPr>
            <w:tcW w:w="106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kern w:val="2"/>
                <w:sz w:val="21"/>
                <w:szCs w:val="21"/>
                <w:lang w:val="en-US" w:eastAsia="zh-CN" w:bidi="ar"/>
              </w:rPr>
              <w:t>较重要项</w:t>
            </w:r>
          </w:p>
        </w:tc>
        <w:tc>
          <w:tcPr>
            <w:tcW w:w="95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kern w:val="2"/>
                <w:sz w:val="21"/>
                <w:szCs w:val="21"/>
                <w:lang w:val="en-US" w:eastAsia="zh-CN" w:bidi="ar"/>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650" w:type="dxa"/>
            <w:noWrap w:val="0"/>
            <w:vAlign w:val="center"/>
          </w:tcPr>
          <w:p>
            <w:pPr>
              <w:jc w:val="center"/>
              <w:rPr>
                <w:rFonts w:hint="eastAsia" w:ascii="宋体" w:hAnsi="宋体" w:cs="宋体"/>
                <w:bCs/>
                <w:sz w:val="21"/>
                <w:szCs w:val="21"/>
              </w:rPr>
            </w:pPr>
            <w:r>
              <w:rPr>
                <w:rFonts w:hint="eastAsia" w:ascii="宋体" w:hAnsi="宋体" w:cs="宋体"/>
                <w:bCs/>
                <w:sz w:val="21"/>
                <w:szCs w:val="21"/>
              </w:rPr>
              <w:t>1</w:t>
            </w:r>
          </w:p>
        </w:tc>
        <w:tc>
          <w:tcPr>
            <w:tcW w:w="1835" w:type="dxa"/>
            <w:gridSpan w:val="2"/>
            <w:noWrap w:val="0"/>
            <w:vAlign w:val="center"/>
          </w:tcPr>
          <w:p>
            <w:pPr>
              <w:jc w:val="center"/>
              <w:rPr>
                <w:rFonts w:hint="eastAsia" w:ascii="宋体" w:hAnsi="宋体" w:cs="宋体"/>
                <w:bCs/>
                <w:sz w:val="21"/>
                <w:szCs w:val="21"/>
              </w:rPr>
            </w:pPr>
            <w:r>
              <w:rPr>
                <w:rFonts w:hint="eastAsia" w:ascii="宋体" w:hAnsi="宋体" w:cs="宋体"/>
                <w:bCs/>
                <w:sz w:val="21"/>
                <w:szCs w:val="21"/>
              </w:rPr>
              <w:t>金属镀层抗盐雾</w:t>
            </w:r>
          </w:p>
        </w:tc>
        <w:tc>
          <w:tcPr>
            <w:tcW w:w="1880" w:type="dxa"/>
            <w:noWrap w:val="0"/>
            <w:vAlign w:val="center"/>
          </w:tcPr>
          <w:p>
            <w:pPr>
              <w:keepNext w:val="0"/>
              <w:keepLines w:val="0"/>
              <w:widowControl/>
              <w:suppressLineNumbers w:val="0"/>
              <w:jc w:val="center"/>
              <w:textAlignment w:val="center"/>
              <w:rPr>
                <w:rFonts w:hint="default" w:ascii="宋体" w:hAnsi="宋体" w:cs="宋体"/>
                <w:bCs/>
                <w:sz w:val="21"/>
                <w:szCs w:val="21"/>
                <w:lang w:val="en-US"/>
              </w:rPr>
            </w:pPr>
            <w:r>
              <w:rPr>
                <w:rFonts w:hint="eastAsia" w:ascii="宋体" w:hAnsi="宋体" w:eastAsia="宋体" w:cs="宋体"/>
                <w:i w:val="0"/>
                <w:iCs w:val="0"/>
                <w:color w:val="000000"/>
                <w:kern w:val="0"/>
                <w:sz w:val="21"/>
                <w:szCs w:val="21"/>
                <w:u w:val="none"/>
                <w:lang w:val="en-US" w:eastAsia="zh-CN" w:bidi="ar"/>
              </w:rPr>
              <w:t>QB 3826-1999</w:t>
            </w:r>
          </w:p>
        </w:tc>
        <w:tc>
          <w:tcPr>
            <w:tcW w:w="1048" w:type="dxa"/>
            <w:noWrap w:val="0"/>
            <w:vAlign w:val="center"/>
          </w:tcPr>
          <w:p>
            <w:pPr>
              <w:jc w:val="center"/>
              <w:rPr>
                <w:rFonts w:hint="eastAsia" w:ascii="宋体" w:hAnsi="宋体" w:cs="宋体"/>
                <w:bCs/>
                <w:sz w:val="21"/>
                <w:szCs w:val="21"/>
              </w:rPr>
            </w:pPr>
          </w:p>
        </w:tc>
        <w:tc>
          <w:tcPr>
            <w:tcW w:w="1367" w:type="dxa"/>
            <w:noWrap w:val="0"/>
            <w:vAlign w:val="center"/>
          </w:tcPr>
          <w:p>
            <w:pPr>
              <w:snapToGrid w:val="0"/>
              <w:jc w:val="center"/>
              <w:rPr>
                <w:rFonts w:hint="eastAsia" w:ascii="宋体" w:hAnsi="宋体" w:cs="宋体"/>
                <w:bCs/>
                <w:sz w:val="21"/>
                <w:szCs w:val="21"/>
              </w:rPr>
            </w:pPr>
            <w:r>
              <w:rPr>
                <w:rFonts w:hint="eastAsia" w:ascii="宋体" w:hAnsi="宋体" w:cs="宋体"/>
                <w:sz w:val="21"/>
                <w:szCs w:val="21"/>
                <w:lang w:val="en-US" w:eastAsia="zh-CN"/>
              </w:rPr>
              <w:t xml:space="preserve"> </w:t>
            </w:r>
            <w:r>
              <w:rPr>
                <w:rFonts w:hint="eastAsia" w:ascii="宋体" w:hAnsi="宋体" w:cs="宋体"/>
                <w:color w:val="000000"/>
                <w:sz w:val="21"/>
                <w:szCs w:val="21"/>
              </w:rPr>
              <w:t>●</w:t>
            </w:r>
          </w:p>
        </w:tc>
        <w:tc>
          <w:tcPr>
            <w:tcW w:w="1125" w:type="dxa"/>
            <w:noWrap w:val="0"/>
            <w:vAlign w:val="center"/>
          </w:tcPr>
          <w:p>
            <w:pPr>
              <w:widowControl/>
              <w:jc w:val="center"/>
              <w:rPr>
                <w:rFonts w:hint="eastAsia" w:ascii="宋体" w:hAnsi="宋体" w:cs="宋体"/>
                <w:b/>
                <w:bCs/>
                <w:sz w:val="21"/>
                <w:szCs w:val="21"/>
              </w:rPr>
            </w:pPr>
            <w:r>
              <w:rPr>
                <w:rFonts w:hint="eastAsia" w:ascii="宋体" w:hAnsi="宋体" w:cs="宋体"/>
                <w:color w:val="000000"/>
                <w:sz w:val="21"/>
                <w:szCs w:val="21"/>
              </w:rPr>
              <w:t>●</w:t>
            </w:r>
          </w:p>
        </w:tc>
        <w:tc>
          <w:tcPr>
            <w:tcW w:w="1065" w:type="dxa"/>
            <w:noWrap w:val="0"/>
            <w:vAlign w:val="center"/>
          </w:tcPr>
          <w:p>
            <w:pPr>
              <w:jc w:val="center"/>
              <w:rPr>
                <w:rFonts w:hint="eastAsia" w:ascii="宋体" w:hAnsi="宋体" w:cs="宋体"/>
                <w:b/>
                <w:bCs/>
                <w:sz w:val="21"/>
                <w:szCs w:val="21"/>
              </w:rPr>
            </w:pPr>
          </w:p>
        </w:tc>
        <w:tc>
          <w:tcPr>
            <w:tcW w:w="952" w:type="dxa"/>
            <w:noWrap w:val="0"/>
            <w:vAlign w:val="center"/>
          </w:tcPr>
          <w:p>
            <w:pPr>
              <w:jc w:val="center"/>
              <w:rPr>
                <w:rFonts w:hint="eastAsia"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0" w:type="dxa"/>
            <w:noWrap w:val="0"/>
            <w:vAlign w:val="center"/>
          </w:tcPr>
          <w:p>
            <w:pPr>
              <w:snapToGrid w:val="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c>
          <w:tcPr>
            <w:tcW w:w="426" w:type="dxa"/>
            <w:vMerge w:val="restar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力学性能</w:t>
            </w:r>
          </w:p>
        </w:tc>
        <w:tc>
          <w:tcPr>
            <w:tcW w:w="1409" w:type="dxa"/>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三合一偏心连接件偏心体抗压强度</w:t>
            </w:r>
          </w:p>
        </w:tc>
        <w:tc>
          <w:tcPr>
            <w:tcW w:w="188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GB/T 28203-2011 6.4.1</w:t>
            </w:r>
          </w:p>
        </w:tc>
        <w:tc>
          <w:tcPr>
            <w:tcW w:w="1048" w:type="dxa"/>
            <w:noWrap w:val="0"/>
            <w:vAlign w:val="center"/>
          </w:tcPr>
          <w:p>
            <w:pPr>
              <w:snapToGrid w:val="0"/>
              <w:jc w:val="center"/>
              <w:rPr>
                <w:rFonts w:hint="eastAsia" w:ascii="宋体" w:hAnsi="宋体" w:cs="宋体"/>
                <w:sz w:val="21"/>
                <w:szCs w:val="21"/>
              </w:rPr>
            </w:pPr>
          </w:p>
        </w:tc>
        <w:tc>
          <w:tcPr>
            <w:tcW w:w="1367"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w:t>
            </w:r>
          </w:p>
        </w:tc>
        <w:tc>
          <w:tcPr>
            <w:tcW w:w="1125" w:type="dxa"/>
            <w:noWrap w:val="0"/>
            <w:vAlign w:val="center"/>
          </w:tcPr>
          <w:p>
            <w:pPr>
              <w:widowControl/>
              <w:jc w:val="center"/>
              <w:rPr>
                <w:rFonts w:hint="eastAsia" w:ascii="宋体" w:hAnsi="宋体" w:cs="宋体"/>
                <w:color w:val="000000"/>
                <w:sz w:val="21"/>
                <w:szCs w:val="21"/>
              </w:rPr>
            </w:pPr>
            <w:r>
              <w:rPr>
                <w:rFonts w:hint="eastAsia" w:ascii="宋体" w:hAnsi="宋体" w:cs="宋体"/>
                <w:color w:val="000000"/>
                <w:sz w:val="21"/>
                <w:szCs w:val="21"/>
              </w:rPr>
              <w:t>●</w:t>
            </w:r>
          </w:p>
        </w:tc>
        <w:tc>
          <w:tcPr>
            <w:tcW w:w="1065" w:type="dxa"/>
            <w:noWrap w:val="0"/>
            <w:vAlign w:val="center"/>
          </w:tcPr>
          <w:p>
            <w:pPr>
              <w:widowControl/>
              <w:jc w:val="center"/>
              <w:rPr>
                <w:rFonts w:hint="eastAsia" w:ascii="宋体" w:hAnsi="宋体" w:cs="宋体"/>
                <w:color w:val="000000"/>
                <w:sz w:val="21"/>
                <w:szCs w:val="21"/>
              </w:rPr>
            </w:pPr>
          </w:p>
        </w:tc>
        <w:tc>
          <w:tcPr>
            <w:tcW w:w="952" w:type="dxa"/>
            <w:noWrap w:val="0"/>
            <w:vAlign w:val="center"/>
          </w:tcPr>
          <w:p>
            <w:pPr>
              <w:widowControl/>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0" w:type="dxa"/>
            <w:noWrap w:val="0"/>
            <w:vAlign w:val="center"/>
          </w:tcPr>
          <w:p>
            <w:pPr>
              <w:snapToGrid w:val="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c>
          <w:tcPr>
            <w:tcW w:w="426" w:type="dxa"/>
            <w:vMerge w:val="continue"/>
            <w:noWrap w:val="0"/>
            <w:vAlign w:val="center"/>
          </w:tcPr>
          <w:p>
            <w:pPr>
              <w:widowControl/>
              <w:jc w:val="center"/>
              <w:rPr>
                <w:rFonts w:hint="eastAsia" w:ascii="宋体" w:hAnsi="宋体" w:cs="宋体"/>
                <w:kern w:val="0"/>
                <w:sz w:val="21"/>
                <w:szCs w:val="21"/>
              </w:rPr>
            </w:pPr>
          </w:p>
        </w:tc>
        <w:tc>
          <w:tcPr>
            <w:tcW w:w="1409" w:type="dxa"/>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三合一偏心连接件预埋螺母抗拉强度</w:t>
            </w:r>
          </w:p>
        </w:tc>
        <w:tc>
          <w:tcPr>
            <w:tcW w:w="188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GB/T 28203-2011 6.4.2</w:t>
            </w:r>
          </w:p>
        </w:tc>
        <w:tc>
          <w:tcPr>
            <w:tcW w:w="1048" w:type="dxa"/>
            <w:noWrap w:val="0"/>
            <w:vAlign w:val="center"/>
          </w:tcPr>
          <w:p>
            <w:pPr>
              <w:snapToGrid w:val="0"/>
              <w:jc w:val="center"/>
              <w:rPr>
                <w:rFonts w:hint="eastAsia" w:ascii="宋体" w:hAnsi="宋体" w:cs="宋体"/>
                <w:sz w:val="21"/>
                <w:szCs w:val="21"/>
              </w:rPr>
            </w:pPr>
          </w:p>
        </w:tc>
        <w:tc>
          <w:tcPr>
            <w:tcW w:w="1367"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w:t>
            </w:r>
          </w:p>
        </w:tc>
        <w:tc>
          <w:tcPr>
            <w:tcW w:w="1125" w:type="dxa"/>
            <w:noWrap w:val="0"/>
            <w:vAlign w:val="center"/>
          </w:tcPr>
          <w:p>
            <w:pPr>
              <w:widowControl/>
              <w:jc w:val="center"/>
              <w:rPr>
                <w:rFonts w:hint="eastAsia" w:ascii="宋体" w:hAnsi="宋体" w:cs="宋体"/>
                <w:color w:val="000000"/>
                <w:sz w:val="21"/>
                <w:szCs w:val="21"/>
              </w:rPr>
            </w:pPr>
            <w:r>
              <w:rPr>
                <w:rFonts w:hint="eastAsia" w:ascii="宋体" w:hAnsi="宋体" w:cs="宋体"/>
                <w:color w:val="000000"/>
                <w:sz w:val="21"/>
                <w:szCs w:val="21"/>
              </w:rPr>
              <w:t>●</w:t>
            </w:r>
          </w:p>
        </w:tc>
        <w:tc>
          <w:tcPr>
            <w:tcW w:w="1065" w:type="dxa"/>
            <w:noWrap w:val="0"/>
            <w:vAlign w:val="center"/>
          </w:tcPr>
          <w:p>
            <w:pPr>
              <w:widowControl/>
              <w:jc w:val="center"/>
              <w:rPr>
                <w:rFonts w:hint="eastAsia" w:ascii="宋体" w:hAnsi="宋体" w:cs="宋体"/>
                <w:color w:val="000000"/>
                <w:sz w:val="21"/>
                <w:szCs w:val="21"/>
              </w:rPr>
            </w:pPr>
          </w:p>
        </w:tc>
        <w:tc>
          <w:tcPr>
            <w:tcW w:w="952" w:type="dxa"/>
            <w:noWrap w:val="0"/>
            <w:vAlign w:val="center"/>
          </w:tcPr>
          <w:p>
            <w:pPr>
              <w:widowControl/>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0" w:type="dxa"/>
            <w:noWrap w:val="0"/>
            <w:vAlign w:val="center"/>
          </w:tcPr>
          <w:p>
            <w:pPr>
              <w:snapToGrid w:val="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p>
        </w:tc>
        <w:tc>
          <w:tcPr>
            <w:tcW w:w="426" w:type="dxa"/>
            <w:vMerge w:val="continue"/>
            <w:noWrap w:val="0"/>
            <w:vAlign w:val="center"/>
          </w:tcPr>
          <w:p>
            <w:pPr>
              <w:widowControl/>
              <w:jc w:val="center"/>
              <w:rPr>
                <w:rFonts w:hint="eastAsia" w:ascii="宋体" w:hAnsi="宋体" w:cs="宋体"/>
                <w:kern w:val="0"/>
                <w:sz w:val="21"/>
                <w:szCs w:val="21"/>
              </w:rPr>
            </w:pPr>
          </w:p>
        </w:tc>
        <w:tc>
          <w:tcPr>
            <w:tcW w:w="1409" w:type="dxa"/>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三合一偏心连接件中螺杆螺纹与预埋螺母的抗拉强度</w:t>
            </w:r>
          </w:p>
        </w:tc>
        <w:tc>
          <w:tcPr>
            <w:tcW w:w="188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GB/T 28203-2011 6.4.3</w:t>
            </w:r>
          </w:p>
        </w:tc>
        <w:tc>
          <w:tcPr>
            <w:tcW w:w="1048" w:type="dxa"/>
            <w:noWrap w:val="0"/>
            <w:vAlign w:val="center"/>
          </w:tcPr>
          <w:p>
            <w:pPr>
              <w:snapToGrid w:val="0"/>
              <w:jc w:val="center"/>
              <w:rPr>
                <w:rFonts w:hint="eastAsia" w:ascii="宋体" w:hAnsi="宋体" w:cs="宋体"/>
                <w:sz w:val="21"/>
                <w:szCs w:val="21"/>
              </w:rPr>
            </w:pPr>
          </w:p>
        </w:tc>
        <w:tc>
          <w:tcPr>
            <w:tcW w:w="1367"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w:t>
            </w:r>
          </w:p>
        </w:tc>
        <w:tc>
          <w:tcPr>
            <w:tcW w:w="1125" w:type="dxa"/>
            <w:noWrap w:val="0"/>
            <w:vAlign w:val="center"/>
          </w:tcPr>
          <w:p>
            <w:pPr>
              <w:widowControl/>
              <w:jc w:val="center"/>
              <w:rPr>
                <w:rFonts w:hint="eastAsia" w:ascii="宋体" w:hAnsi="宋体" w:cs="宋体"/>
                <w:color w:val="000000"/>
                <w:sz w:val="21"/>
                <w:szCs w:val="21"/>
              </w:rPr>
            </w:pPr>
            <w:r>
              <w:rPr>
                <w:rFonts w:hint="eastAsia" w:ascii="宋体" w:hAnsi="宋体" w:cs="宋体"/>
                <w:color w:val="000000"/>
                <w:sz w:val="21"/>
                <w:szCs w:val="21"/>
              </w:rPr>
              <w:t>●</w:t>
            </w:r>
          </w:p>
        </w:tc>
        <w:tc>
          <w:tcPr>
            <w:tcW w:w="1065" w:type="dxa"/>
            <w:noWrap w:val="0"/>
            <w:vAlign w:val="center"/>
          </w:tcPr>
          <w:p>
            <w:pPr>
              <w:widowControl/>
              <w:jc w:val="center"/>
              <w:rPr>
                <w:rFonts w:hint="eastAsia" w:ascii="宋体" w:hAnsi="宋体" w:cs="宋体"/>
                <w:color w:val="000000"/>
                <w:sz w:val="21"/>
                <w:szCs w:val="21"/>
              </w:rPr>
            </w:pPr>
          </w:p>
        </w:tc>
        <w:tc>
          <w:tcPr>
            <w:tcW w:w="952" w:type="dxa"/>
            <w:noWrap w:val="0"/>
            <w:vAlign w:val="center"/>
          </w:tcPr>
          <w:p>
            <w:pPr>
              <w:widowControl/>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0" w:type="dxa"/>
            <w:noWrap w:val="0"/>
            <w:vAlign w:val="center"/>
          </w:tcPr>
          <w:p>
            <w:pPr>
              <w:snapToGrid w:val="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426" w:type="dxa"/>
            <w:vMerge w:val="continue"/>
            <w:noWrap w:val="0"/>
            <w:vAlign w:val="center"/>
          </w:tcPr>
          <w:p>
            <w:pPr>
              <w:widowControl/>
              <w:jc w:val="center"/>
              <w:rPr>
                <w:rFonts w:hint="eastAsia" w:ascii="宋体" w:hAnsi="宋体" w:cs="宋体"/>
                <w:kern w:val="0"/>
                <w:sz w:val="21"/>
                <w:szCs w:val="21"/>
              </w:rPr>
            </w:pPr>
          </w:p>
        </w:tc>
        <w:tc>
          <w:tcPr>
            <w:tcW w:w="1409" w:type="dxa"/>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三合一偏心连接件中偏心体与连接螺杆的扭炬</w:t>
            </w:r>
          </w:p>
        </w:tc>
        <w:tc>
          <w:tcPr>
            <w:tcW w:w="188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GB/T 28203-2011 6.4.4</w:t>
            </w:r>
          </w:p>
        </w:tc>
        <w:tc>
          <w:tcPr>
            <w:tcW w:w="1048" w:type="dxa"/>
            <w:noWrap w:val="0"/>
            <w:vAlign w:val="center"/>
          </w:tcPr>
          <w:p>
            <w:pPr>
              <w:snapToGrid w:val="0"/>
              <w:jc w:val="center"/>
              <w:rPr>
                <w:rFonts w:hint="eastAsia" w:ascii="宋体" w:hAnsi="宋体" w:cs="宋体"/>
                <w:sz w:val="21"/>
                <w:szCs w:val="21"/>
              </w:rPr>
            </w:pPr>
          </w:p>
        </w:tc>
        <w:tc>
          <w:tcPr>
            <w:tcW w:w="1367" w:type="dxa"/>
            <w:noWrap w:val="0"/>
            <w:vAlign w:val="center"/>
          </w:tcPr>
          <w:p>
            <w:pPr>
              <w:jc w:val="center"/>
              <w:rPr>
                <w:sz w:val="21"/>
                <w:szCs w:val="21"/>
              </w:rPr>
            </w:pPr>
            <w:r>
              <w:rPr>
                <w:rFonts w:hint="eastAsia" w:ascii="宋体" w:hAnsi="宋体" w:cs="宋体"/>
                <w:color w:val="000000"/>
                <w:sz w:val="21"/>
                <w:szCs w:val="21"/>
              </w:rPr>
              <w:t>●</w:t>
            </w:r>
          </w:p>
        </w:tc>
        <w:tc>
          <w:tcPr>
            <w:tcW w:w="1125" w:type="dxa"/>
            <w:noWrap w:val="0"/>
            <w:vAlign w:val="center"/>
          </w:tcPr>
          <w:p>
            <w:pPr>
              <w:widowControl/>
              <w:jc w:val="center"/>
              <w:rPr>
                <w:rFonts w:hint="eastAsia" w:ascii="宋体" w:hAnsi="宋体" w:cs="宋体"/>
                <w:color w:val="000000"/>
                <w:sz w:val="21"/>
                <w:szCs w:val="21"/>
              </w:rPr>
            </w:pPr>
            <w:r>
              <w:rPr>
                <w:rFonts w:hint="eastAsia" w:ascii="宋体" w:hAnsi="宋体" w:cs="宋体"/>
                <w:color w:val="000000"/>
                <w:sz w:val="21"/>
                <w:szCs w:val="21"/>
              </w:rPr>
              <w:t>●</w:t>
            </w:r>
          </w:p>
        </w:tc>
        <w:tc>
          <w:tcPr>
            <w:tcW w:w="1065" w:type="dxa"/>
            <w:noWrap w:val="0"/>
            <w:vAlign w:val="center"/>
          </w:tcPr>
          <w:p>
            <w:pPr>
              <w:widowControl/>
              <w:jc w:val="center"/>
              <w:rPr>
                <w:rFonts w:hint="eastAsia" w:ascii="宋体" w:hAnsi="宋体" w:cs="宋体"/>
                <w:color w:val="000000"/>
                <w:sz w:val="21"/>
                <w:szCs w:val="21"/>
              </w:rPr>
            </w:pPr>
          </w:p>
        </w:tc>
        <w:tc>
          <w:tcPr>
            <w:tcW w:w="952" w:type="dxa"/>
            <w:noWrap w:val="0"/>
            <w:vAlign w:val="center"/>
          </w:tcPr>
          <w:p>
            <w:pPr>
              <w:widowControl/>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0" w:type="dxa"/>
            <w:noWrap w:val="0"/>
            <w:vAlign w:val="center"/>
          </w:tcPr>
          <w:p>
            <w:pPr>
              <w:snapToGrid w:val="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p>
        </w:tc>
        <w:tc>
          <w:tcPr>
            <w:tcW w:w="426" w:type="dxa"/>
            <w:vMerge w:val="continue"/>
            <w:noWrap w:val="0"/>
            <w:vAlign w:val="center"/>
          </w:tcPr>
          <w:p>
            <w:pPr>
              <w:widowControl/>
              <w:jc w:val="center"/>
              <w:rPr>
                <w:rFonts w:hint="eastAsia" w:ascii="宋体" w:hAnsi="宋体" w:cs="宋体"/>
                <w:kern w:val="0"/>
                <w:sz w:val="21"/>
                <w:szCs w:val="21"/>
              </w:rPr>
            </w:pPr>
          </w:p>
        </w:tc>
        <w:tc>
          <w:tcPr>
            <w:tcW w:w="1409" w:type="dxa"/>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榫静载荷强度</w:t>
            </w:r>
          </w:p>
        </w:tc>
        <w:tc>
          <w:tcPr>
            <w:tcW w:w="188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GB/T 28203-2011 6.4.5</w:t>
            </w:r>
          </w:p>
        </w:tc>
        <w:tc>
          <w:tcPr>
            <w:tcW w:w="1048" w:type="dxa"/>
            <w:noWrap w:val="0"/>
            <w:vAlign w:val="center"/>
          </w:tcPr>
          <w:p>
            <w:pPr>
              <w:snapToGrid w:val="0"/>
              <w:jc w:val="center"/>
              <w:rPr>
                <w:rFonts w:hint="eastAsia" w:ascii="宋体" w:hAnsi="宋体" w:cs="宋体"/>
                <w:sz w:val="21"/>
                <w:szCs w:val="21"/>
              </w:rPr>
            </w:pPr>
          </w:p>
        </w:tc>
        <w:tc>
          <w:tcPr>
            <w:tcW w:w="1367" w:type="dxa"/>
            <w:noWrap w:val="0"/>
            <w:vAlign w:val="top"/>
          </w:tcPr>
          <w:p>
            <w:pPr>
              <w:jc w:val="center"/>
              <w:rPr>
                <w:sz w:val="21"/>
                <w:szCs w:val="21"/>
              </w:rPr>
            </w:pPr>
            <w:r>
              <w:rPr>
                <w:rFonts w:hint="eastAsia" w:ascii="宋体" w:hAnsi="宋体" w:cs="宋体"/>
                <w:color w:val="000000"/>
                <w:sz w:val="21"/>
                <w:szCs w:val="21"/>
              </w:rPr>
              <w:t>●</w:t>
            </w:r>
          </w:p>
        </w:tc>
        <w:tc>
          <w:tcPr>
            <w:tcW w:w="1125" w:type="dxa"/>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w:t>
            </w:r>
          </w:p>
        </w:tc>
        <w:tc>
          <w:tcPr>
            <w:tcW w:w="1065" w:type="dxa"/>
            <w:noWrap w:val="0"/>
            <w:vAlign w:val="center"/>
          </w:tcPr>
          <w:p>
            <w:pPr>
              <w:widowControl/>
              <w:jc w:val="center"/>
              <w:rPr>
                <w:rFonts w:hint="eastAsia" w:ascii="宋体" w:hAnsi="宋体" w:cs="宋体"/>
                <w:color w:val="000000"/>
                <w:sz w:val="21"/>
                <w:szCs w:val="21"/>
              </w:rPr>
            </w:pPr>
          </w:p>
        </w:tc>
        <w:tc>
          <w:tcPr>
            <w:tcW w:w="952" w:type="dxa"/>
            <w:noWrap w:val="0"/>
            <w:vAlign w:val="center"/>
          </w:tcPr>
          <w:p>
            <w:pPr>
              <w:widowControl/>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0" w:type="dxa"/>
            <w:noWrap w:val="0"/>
            <w:vAlign w:val="center"/>
          </w:tcPr>
          <w:p>
            <w:pPr>
              <w:snapToGrid w:val="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7</w:t>
            </w:r>
          </w:p>
        </w:tc>
        <w:tc>
          <w:tcPr>
            <w:tcW w:w="426" w:type="dxa"/>
            <w:vMerge w:val="continue"/>
            <w:noWrap w:val="0"/>
            <w:vAlign w:val="center"/>
          </w:tcPr>
          <w:p>
            <w:pPr>
              <w:widowControl/>
              <w:jc w:val="center"/>
              <w:rPr>
                <w:rFonts w:hint="eastAsia" w:ascii="宋体" w:hAnsi="宋体" w:cs="宋体"/>
                <w:kern w:val="0"/>
                <w:sz w:val="21"/>
                <w:szCs w:val="21"/>
              </w:rPr>
            </w:pPr>
          </w:p>
        </w:tc>
        <w:tc>
          <w:tcPr>
            <w:tcW w:w="1409" w:type="dxa"/>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L形连接件抗弯强度</w:t>
            </w:r>
          </w:p>
        </w:tc>
        <w:tc>
          <w:tcPr>
            <w:tcW w:w="188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GB/T 28203-2011 6.4.6</w:t>
            </w:r>
          </w:p>
        </w:tc>
        <w:tc>
          <w:tcPr>
            <w:tcW w:w="1048" w:type="dxa"/>
            <w:noWrap w:val="0"/>
            <w:vAlign w:val="center"/>
          </w:tcPr>
          <w:p>
            <w:pPr>
              <w:snapToGrid w:val="0"/>
              <w:jc w:val="center"/>
              <w:rPr>
                <w:rFonts w:hint="eastAsia" w:ascii="宋体" w:hAnsi="宋体" w:cs="宋体"/>
                <w:sz w:val="21"/>
                <w:szCs w:val="21"/>
              </w:rPr>
            </w:pPr>
          </w:p>
        </w:tc>
        <w:tc>
          <w:tcPr>
            <w:tcW w:w="1367" w:type="dxa"/>
            <w:noWrap w:val="0"/>
            <w:vAlign w:val="center"/>
          </w:tcPr>
          <w:p>
            <w:pPr>
              <w:jc w:val="center"/>
              <w:rPr>
                <w:sz w:val="21"/>
                <w:szCs w:val="21"/>
              </w:rPr>
            </w:pPr>
            <w:r>
              <w:rPr>
                <w:rFonts w:hint="eastAsia" w:ascii="宋体" w:hAnsi="宋体" w:cs="宋体"/>
                <w:color w:val="000000"/>
                <w:sz w:val="21"/>
                <w:szCs w:val="21"/>
              </w:rPr>
              <w:t>●</w:t>
            </w:r>
          </w:p>
        </w:tc>
        <w:tc>
          <w:tcPr>
            <w:tcW w:w="1125" w:type="dxa"/>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w:t>
            </w:r>
          </w:p>
        </w:tc>
        <w:tc>
          <w:tcPr>
            <w:tcW w:w="1065" w:type="dxa"/>
            <w:noWrap w:val="0"/>
            <w:vAlign w:val="center"/>
          </w:tcPr>
          <w:p>
            <w:pPr>
              <w:widowControl/>
              <w:jc w:val="center"/>
              <w:rPr>
                <w:rFonts w:hint="eastAsia" w:ascii="宋体" w:hAnsi="宋体" w:cs="宋体"/>
                <w:color w:val="000000"/>
                <w:sz w:val="21"/>
                <w:szCs w:val="21"/>
              </w:rPr>
            </w:pPr>
          </w:p>
        </w:tc>
        <w:tc>
          <w:tcPr>
            <w:tcW w:w="952" w:type="dxa"/>
            <w:noWrap w:val="0"/>
            <w:vAlign w:val="center"/>
          </w:tcPr>
          <w:p>
            <w:pPr>
              <w:widowControl/>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0" w:type="dxa"/>
            <w:noWrap w:val="0"/>
            <w:vAlign w:val="center"/>
          </w:tcPr>
          <w:p>
            <w:pPr>
              <w:snapToGrid w:val="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8</w:t>
            </w:r>
          </w:p>
        </w:tc>
        <w:tc>
          <w:tcPr>
            <w:tcW w:w="426" w:type="dxa"/>
            <w:vMerge w:val="continue"/>
            <w:noWrap w:val="0"/>
            <w:vAlign w:val="center"/>
          </w:tcPr>
          <w:p>
            <w:pPr>
              <w:widowControl/>
              <w:jc w:val="center"/>
              <w:rPr>
                <w:rFonts w:hint="eastAsia" w:ascii="宋体" w:hAnsi="宋体" w:cs="宋体"/>
                <w:kern w:val="0"/>
                <w:sz w:val="21"/>
                <w:szCs w:val="21"/>
              </w:rPr>
            </w:pPr>
          </w:p>
        </w:tc>
        <w:tc>
          <w:tcPr>
            <w:tcW w:w="1409" w:type="dxa"/>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层板偏心连接件抗压强度</w:t>
            </w:r>
          </w:p>
        </w:tc>
        <w:tc>
          <w:tcPr>
            <w:tcW w:w="188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GB/T 28203-2011 6.4.7</w:t>
            </w:r>
          </w:p>
        </w:tc>
        <w:tc>
          <w:tcPr>
            <w:tcW w:w="1048" w:type="dxa"/>
            <w:noWrap w:val="0"/>
            <w:vAlign w:val="center"/>
          </w:tcPr>
          <w:p>
            <w:pPr>
              <w:snapToGrid w:val="0"/>
              <w:jc w:val="center"/>
              <w:rPr>
                <w:rFonts w:hint="eastAsia" w:ascii="宋体" w:hAnsi="宋体" w:cs="宋体"/>
                <w:sz w:val="21"/>
                <w:szCs w:val="21"/>
              </w:rPr>
            </w:pPr>
          </w:p>
        </w:tc>
        <w:tc>
          <w:tcPr>
            <w:tcW w:w="1367" w:type="dxa"/>
            <w:noWrap w:val="0"/>
            <w:vAlign w:val="center"/>
          </w:tcPr>
          <w:p>
            <w:pPr>
              <w:jc w:val="center"/>
              <w:rPr>
                <w:sz w:val="21"/>
                <w:szCs w:val="21"/>
              </w:rPr>
            </w:pPr>
            <w:r>
              <w:rPr>
                <w:rFonts w:hint="eastAsia" w:ascii="宋体" w:hAnsi="宋体" w:cs="宋体"/>
                <w:color w:val="000000"/>
                <w:sz w:val="21"/>
                <w:szCs w:val="21"/>
              </w:rPr>
              <w:t>●</w:t>
            </w:r>
          </w:p>
        </w:tc>
        <w:tc>
          <w:tcPr>
            <w:tcW w:w="1125" w:type="dxa"/>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w:t>
            </w:r>
          </w:p>
        </w:tc>
        <w:tc>
          <w:tcPr>
            <w:tcW w:w="1065" w:type="dxa"/>
            <w:noWrap w:val="0"/>
            <w:vAlign w:val="center"/>
          </w:tcPr>
          <w:p>
            <w:pPr>
              <w:widowControl/>
              <w:jc w:val="center"/>
              <w:rPr>
                <w:rFonts w:hint="eastAsia" w:ascii="宋体" w:hAnsi="宋体" w:cs="宋体"/>
                <w:color w:val="000000"/>
                <w:sz w:val="21"/>
                <w:szCs w:val="21"/>
              </w:rPr>
            </w:pPr>
          </w:p>
        </w:tc>
        <w:tc>
          <w:tcPr>
            <w:tcW w:w="952" w:type="dxa"/>
            <w:noWrap w:val="0"/>
            <w:vAlign w:val="center"/>
          </w:tcPr>
          <w:p>
            <w:pPr>
              <w:widowControl/>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0" w:type="dxa"/>
            <w:noWrap w:val="0"/>
            <w:vAlign w:val="center"/>
          </w:tcPr>
          <w:p>
            <w:pPr>
              <w:snapToGrid w:val="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9</w:t>
            </w:r>
          </w:p>
        </w:tc>
        <w:tc>
          <w:tcPr>
            <w:tcW w:w="426" w:type="dxa"/>
            <w:vMerge w:val="continue"/>
            <w:noWrap w:val="0"/>
            <w:vAlign w:val="center"/>
          </w:tcPr>
          <w:p>
            <w:pPr>
              <w:widowControl/>
              <w:jc w:val="center"/>
              <w:rPr>
                <w:rFonts w:hint="eastAsia" w:ascii="宋体" w:hAnsi="宋体" w:cs="宋体"/>
                <w:kern w:val="0"/>
                <w:sz w:val="21"/>
                <w:szCs w:val="21"/>
              </w:rPr>
            </w:pPr>
          </w:p>
        </w:tc>
        <w:tc>
          <w:tcPr>
            <w:tcW w:w="1409" w:type="dxa"/>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层板销（夹抗压强度）</w:t>
            </w:r>
          </w:p>
        </w:tc>
        <w:tc>
          <w:tcPr>
            <w:tcW w:w="1880"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GB/T 28203-2011 6.4.8</w:t>
            </w:r>
          </w:p>
        </w:tc>
        <w:tc>
          <w:tcPr>
            <w:tcW w:w="1048" w:type="dxa"/>
            <w:noWrap w:val="0"/>
            <w:vAlign w:val="center"/>
          </w:tcPr>
          <w:p>
            <w:pPr>
              <w:snapToGrid w:val="0"/>
              <w:jc w:val="center"/>
              <w:rPr>
                <w:rFonts w:hint="eastAsia" w:ascii="宋体" w:hAnsi="宋体" w:cs="宋体"/>
                <w:sz w:val="21"/>
                <w:szCs w:val="21"/>
              </w:rPr>
            </w:pPr>
          </w:p>
        </w:tc>
        <w:tc>
          <w:tcPr>
            <w:tcW w:w="1367" w:type="dxa"/>
            <w:noWrap w:val="0"/>
            <w:vAlign w:val="center"/>
          </w:tcPr>
          <w:p>
            <w:pPr>
              <w:jc w:val="center"/>
              <w:rPr>
                <w:sz w:val="21"/>
                <w:szCs w:val="21"/>
              </w:rPr>
            </w:pPr>
            <w:r>
              <w:rPr>
                <w:rFonts w:hint="eastAsia" w:ascii="宋体" w:hAnsi="宋体" w:cs="宋体"/>
                <w:color w:val="000000"/>
                <w:sz w:val="21"/>
                <w:szCs w:val="21"/>
              </w:rPr>
              <w:t>●</w:t>
            </w:r>
          </w:p>
        </w:tc>
        <w:tc>
          <w:tcPr>
            <w:tcW w:w="1125" w:type="dxa"/>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w:t>
            </w:r>
          </w:p>
        </w:tc>
        <w:tc>
          <w:tcPr>
            <w:tcW w:w="1065" w:type="dxa"/>
            <w:noWrap w:val="0"/>
            <w:vAlign w:val="center"/>
          </w:tcPr>
          <w:p>
            <w:pPr>
              <w:widowControl/>
              <w:jc w:val="center"/>
              <w:rPr>
                <w:rFonts w:hint="eastAsia" w:ascii="宋体" w:hAnsi="宋体" w:cs="宋体"/>
                <w:color w:val="000000"/>
                <w:sz w:val="21"/>
                <w:szCs w:val="21"/>
              </w:rPr>
            </w:pPr>
          </w:p>
        </w:tc>
        <w:tc>
          <w:tcPr>
            <w:tcW w:w="952" w:type="dxa"/>
            <w:noWrap w:val="0"/>
            <w:vAlign w:val="center"/>
          </w:tcPr>
          <w:p>
            <w:pPr>
              <w:widowControl/>
              <w:jc w:val="center"/>
              <w:rPr>
                <w:rFonts w:hint="eastAsia" w:ascii="宋体" w:hAnsi="宋体" w:cs="宋体"/>
                <w:color w:val="000000"/>
                <w:sz w:val="21"/>
                <w:szCs w:val="21"/>
              </w:rPr>
            </w:pPr>
          </w:p>
        </w:tc>
      </w:tr>
    </w:tbl>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三、判定原则</w:t>
      </w:r>
    </w:p>
    <w:p>
      <w:pPr>
        <w:spacing w:line="600" w:lineRule="exact"/>
        <w:ind w:left="0" w:leftChars="0" w:firstLine="640" w:firstLineChars="200"/>
        <w:jc w:val="left"/>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（一）</w:t>
      </w:r>
      <w:r>
        <w:rPr>
          <w:rFonts w:hint="eastAsia" w:ascii="楷体_GB2312" w:hAnsi="楷体_GB2312" w:eastAsia="楷体_GB2312" w:cs="楷体_GB2312"/>
          <w:bCs/>
          <w:color w:val="auto"/>
          <w:sz w:val="32"/>
          <w:szCs w:val="32"/>
          <w:lang w:eastAsia="zh-CN"/>
        </w:rPr>
        <w:t>依据</w:t>
      </w:r>
      <w:r>
        <w:rPr>
          <w:rFonts w:hint="eastAsia" w:ascii="楷体_GB2312" w:hAnsi="楷体_GB2312" w:eastAsia="楷体_GB2312" w:cs="楷体_GB2312"/>
          <w:bCs/>
          <w:color w:val="auto"/>
          <w:sz w:val="32"/>
          <w:szCs w:val="32"/>
        </w:rPr>
        <w:t>标准。</w:t>
      </w:r>
    </w:p>
    <w:p>
      <w:pPr>
        <w:spacing w:line="600" w:lineRule="exact"/>
        <w:ind w:left="0" w:leftChars="0"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GB/T 28203-2011 家具用连接件技术要求及试验方法</w:t>
      </w:r>
    </w:p>
    <w:p>
      <w:pPr>
        <w:spacing w:line="600" w:lineRule="exact"/>
        <w:ind w:left="0" w:leftChars="0"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QB/T 3826-1999 轻工产品金属镀层和化学处理层的耐腐蚀试验方法中性盐雾试验(NSS)法</w:t>
      </w:r>
    </w:p>
    <w:p>
      <w:pPr>
        <w:spacing w:line="600" w:lineRule="exact"/>
        <w:ind w:left="0" w:leftChars="0"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经依法备案且现行有效的企业标准及产品明示质量要求。</w:t>
      </w:r>
    </w:p>
    <w:p>
      <w:pPr>
        <w:spacing w:line="600" w:lineRule="exact"/>
        <w:ind w:left="0" w:leftChars="0" w:firstLine="640" w:firstLineChars="200"/>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（二）判定原则</w:t>
      </w:r>
    </w:p>
    <w:p>
      <w:pPr>
        <w:spacing w:line="60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经检验，检验项目全部合格，判定为抽取的样本所检项目未检出不合格；检验项目中任一项或一项以上不合格，判定为被抽查产品不合格。</w:t>
      </w:r>
    </w:p>
    <w:p>
      <w:pPr>
        <w:spacing w:line="60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当被检样品明示的质量要求优于监督抽查实施细则中依据的标准要求时，应按被检样品明示的质量要求判定；</w:t>
      </w:r>
    </w:p>
    <w:p>
      <w:pPr>
        <w:spacing w:line="60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当被检样品明示的质量要求劣于或不包含监督抽查实施细则中依据的强制性标准要求时，应按照强制性标准要求判定；</w:t>
      </w:r>
    </w:p>
    <w:p>
      <w:pPr>
        <w:spacing w:line="60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spacing w:line="60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当被检样品明示的质量要求不包含监督抽查实施细则中依据的推荐性标准要求时，该指标不参与判定，但应在检验报告中作出说明；</w:t>
      </w:r>
    </w:p>
    <w:p>
      <w:pPr>
        <w:spacing w:line="60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当被检样品未能提供有效的企业标准时，按相关国家或行业标准进行判定；</w:t>
      </w:r>
    </w:p>
    <w:p>
      <w:pPr>
        <w:spacing w:line="60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spacing w:line="60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按照产品质量相关法律法规的规定判定。</w:t>
      </w:r>
    </w:p>
    <w:p>
      <w:pPr>
        <w:ind w:left="0" w:leftChars="0" w:firstLine="640" w:firstLineChars="200"/>
      </w:pPr>
      <w:r>
        <w:rPr>
          <w:rFonts w:hint="eastAsia" w:ascii="仿宋_GB2312" w:hAnsi="仿宋_GB2312" w:eastAsia="仿宋_GB2312" w:cs="仿宋_GB2312"/>
          <w:color w:val="000000"/>
          <w:sz w:val="32"/>
          <w:szCs w:val="32"/>
        </w:rPr>
        <w:t>检验中发现因样品失效或者其他原因致使检验无法进行的，检验人员应如实记录，并提供相关证明材料，报送组织监督抽查的市场监管部门。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D794C"/>
    <w:rsid w:val="0D6F7DC8"/>
    <w:rsid w:val="3D7E6C7F"/>
    <w:rsid w:val="51BE40A5"/>
    <w:rsid w:val="52FD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2022-04-19T09:14:00Z</dcterms:created>
  <dc:creator>李文湘</dc:creator>
  <cp:lastModifiedBy>李文湘</cp:lastModifiedBy>
  <dcterms:modified xsi:type="dcterms:W3CDTF">2022-06-29T03:06:59Z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