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4</w:t>
      </w:r>
    </w:p>
    <w:p>
      <w:pPr>
        <w:snapToGrid w:val="0"/>
        <w:spacing w:line="240" w:lineRule="auto"/>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汕尾市</w:t>
      </w:r>
      <w:bookmarkStart w:id="0" w:name="_GoBack"/>
      <w:bookmarkEnd w:id="0"/>
      <w:r>
        <w:rPr>
          <w:rFonts w:hint="eastAsia" w:ascii="方正小标宋简体" w:hAnsi="方正小标宋简体" w:eastAsia="方正小标宋简体" w:cs="方正小标宋简体"/>
          <w:kern w:val="0"/>
          <w:sz w:val="44"/>
          <w:szCs w:val="44"/>
          <w:lang w:eastAsia="zh-CN"/>
        </w:rPr>
        <w:t>塑料制品</w:t>
      </w:r>
      <w:r>
        <w:rPr>
          <w:rFonts w:hint="eastAsia" w:ascii="方正小标宋简体" w:hAnsi="方正小标宋简体" w:eastAsia="方正小标宋简体" w:cs="方正小标宋简体"/>
          <w:kern w:val="0"/>
          <w:sz w:val="44"/>
          <w:szCs w:val="44"/>
          <w:lang w:eastAsia="zh-CN"/>
        </w:rPr>
        <w:t>产品质量</w:t>
      </w:r>
    </w:p>
    <w:p>
      <w:pPr>
        <w:snapToGrid w:val="0"/>
        <w:spacing w:line="240" w:lineRule="auto"/>
        <w:jc w:val="center"/>
        <w:rPr>
          <w:rFonts w:hint="eastAsia" w:ascii="宋体" w:hAnsi="宋体" w:eastAsia="宋体" w:cs="宋体"/>
          <w:color w:val="000000"/>
          <w:sz w:val="32"/>
          <w:szCs w:val="32"/>
        </w:rPr>
      </w:pPr>
      <w:r>
        <w:rPr>
          <w:rFonts w:hint="eastAsia" w:ascii="方正小标宋简体" w:hAnsi="方正小标宋简体" w:eastAsia="方正小标宋简体" w:cs="方正小标宋简体"/>
          <w:kern w:val="0"/>
          <w:sz w:val="44"/>
          <w:szCs w:val="44"/>
          <w:lang w:eastAsia="zh-CN"/>
        </w:rPr>
        <w:t>监督抽查实施细则</w:t>
      </w:r>
    </w:p>
    <w:p>
      <w:pPr>
        <w:snapToGrid w:val="0"/>
        <w:spacing w:line="240" w:lineRule="auto"/>
        <w:jc w:val="center"/>
        <w:rPr>
          <w:rFonts w:hint="eastAsia" w:ascii="宋体" w:hAnsi="宋体" w:eastAsia="宋体" w:cs="宋体"/>
          <w:color w:val="000000"/>
          <w:sz w:val="32"/>
          <w:szCs w:val="32"/>
        </w:rPr>
      </w:pPr>
    </w:p>
    <w:p>
      <w:pPr>
        <w:numPr>
          <w:ilvl w:val="0"/>
          <w:numId w:val="0"/>
        </w:numPr>
        <w:spacing w:line="60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一、抽样方法</w:t>
      </w:r>
    </w:p>
    <w:p>
      <w:pPr>
        <w:spacing w:line="60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以随机抽样的方式在被抽查市场主体的待销产品中抽取。</w:t>
      </w:r>
    </w:p>
    <w:p>
      <w:pPr>
        <w:spacing w:line="60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随机数一般可使用随机数表等方法产生。</w:t>
      </w:r>
    </w:p>
    <w:p>
      <w:pPr>
        <w:spacing w:line="600" w:lineRule="exact"/>
        <w:ind w:firstLine="640" w:firstLineChars="200"/>
        <w:rPr>
          <w:color w:val="auto"/>
          <w:szCs w:val="32"/>
        </w:rPr>
      </w:pPr>
      <w:r>
        <w:rPr>
          <w:rFonts w:hint="eastAsia" w:ascii="仿宋_GB2312" w:hAnsi="仿宋_GB2312" w:eastAsia="仿宋_GB2312" w:cs="仿宋_GB2312"/>
          <w:color w:val="000000"/>
          <w:sz w:val="32"/>
          <w:szCs w:val="32"/>
          <w:lang w:eastAsia="zh-CN"/>
        </w:rPr>
        <w:t>抽查数量：</w:t>
      </w:r>
      <w:r>
        <w:rPr>
          <w:rFonts w:hint="eastAsia" w:ascii="仿宋_GB2312" w:hAnsi="仿宋_GB2312" w:eastAsia="仿宋_GB2312" w:cs="仿宋_GB2312"/>
          <w:kern w:val="0"/>
          <w:sz w:val="32"/>
          <w:szCs w:val="32"/>
        </w:rPr>
        <w:t>每款产品抽取2组样本，第1组用于检验，第2组用于备用。每组样品需抽取样品数量如下表所示：</w:t>
      </w:r>
    </w:p>
    <w:tbl>
      <w:tblPr>
        <w:tblStyle w:val="5"/>
        <w:tblW w:w="8850"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256"/>
        <w:gridCol w:w="2567"/>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8" w:type="dxa"/>
            <w:noWrap w:val="0"/>
            <w:vAlign w:val="center"/>
          </w:tcPr>
          <w:p>
            <w:pPr>
              <w:spacing w:line="400" w:lineRule="exact"/>
              <w:jc w:val="center"/>
              <w:rPr>
                <w:color w:val="auto"/>
                <w:szCs w:val="32"/>
              </w:rPr>
            </w:pPr>
            <w:r>
              <w:rPr>
                <w:color w:val="auto"/>
                <w:szCs w:val="32"/>
              </w:rPr>
              <w:t>序号</w:t>
            </w:r>
          </w:p>
        </w:tc>
        <w:tc>
          <w:tcPr>
            <w:tcW w:w="3256" w:type="dxa"/>
            <w:noWrap w:val="0"/>
            <w:vAlign w:val="center"/>
          </w:tcPr>
          <w:p>
            <w:pPr>
              <w:spacing w:line="400" w:lineRule="exact"/>
              <w:jc w:val="center"/>
              <w:rPr>
                <w:color w:val="auto"/>
                <w:szCs w:val="32"/>
              </w:rPr>
            </w:pPr>
            <w:r>
              <w:rPr>
                <w:color w:val="auto"/>
                <w:szCs w:val="32"/>
              </w:rPr>
              <w:t>产品名称</w:t>
            </w:r>
          </w:p>
        </w:tc>
        <w:tc>
          <w:tcPr>
            <w:tcW w:w="2567" w:type="dxa"/>
            <w:noWrap w:val="0"/>
            <w:vAlign w:val="center"/>
          </w:tcPr>
          <w:p>
            <w:pPr>
              <w:spacing w:line="400" w:lineRule="exact"/>
              <w:jc w:val="center"/>
              <w:rPr>
                <w:color w:val="auto"/>
                <w:szCs w:val="32"/>
              </w:rPr>
            </w:pPr>
            <w:r>
              <w:rPr>
                <w:color w:val="auto"/>
                <w:szCs w:val="32"/>
              </w:rPr>
              <w:t>第1组数量</w:t>
            </w:r>
          </w:p>
        </w:tc>
        <w:tc>
          <w:tcPr>
            <w:tcW w:w="2309" w:type="dxa"/>
            <w:noWrap w:val="0"/>
            <w:vAlign w:val="top"/>
          </w:tcPr>
          <w:p>
            <w:pPr>
              <w:spacing w:line="400" w:lineRule="exact"/>
              <w:jc w:val="center"/>
              <w:rPr>
                <w:color w:val="auto"/>
                <w:szCs w:val="32"/>
              </w:rPr>
            </w:pPr>
            <w:r>
              <w:rPr>
                <w:color w:val="auto"/>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8" w:type="dxa"/>
            <w:noWrap w:val="0"/>
            <w:vAlign w:val="center"/>
          </w:tcPr>
          <w:p>
            <w:pPr>
              <w:spacing w:line="400" w:lineRule="exact"/>
              <w:jc w:val="center"/>
              <w:rPr>
                <w:color w:val="auto"/>
                <w:szCs w:val="32"/>
              </w:rPr>
            </w:pPr>
            <w:r>
              <w:rPr>
                <w:color w:val="auto"/>
                <w:szCs w:val="32"/>
              </w:rPr>
              <w:t>1</w:t>
            </w:r>
          </w:p>
        </w:tc>
        <w:tc>
          <w:tcPr>
            <w:tcW w:w="3256" w:type="dxa"/>
            <w:noWrap w:val="0"/>
            <w:vAlign w:val="center"/>
          </w:tcPr>
          <w:p>
            <w:pPr>
              <w:adjustRightInd w:val="0"/>
              <w:snapToGrid w:val="0"/>
              <w:spacing w:line="400" w:lineRule="exact"/>
              <w:jc w:val="center"/>
              <w:rPr>
                <w:rFonts w:hint="eastAsia" w:eastAsia="仿宋_GB2312"/>
                <w:color w:val="auto"/>
                <w:szCs w:val="32"/>
                <w:lang w:eastAsia="zh-CN"/>
              </w:rPr>
            </w:pPr>
            <w:r>
              <w:rPr>
                <w:rFonts w:hint="eastAsia" w:ascii="宋体" w:hAnsi="宋体" w:cs="宋体"/>
                <w:szCs w:val="21"/>
              </w:rPr>
              <w:t>塑料购物袋、商品零售包装袋等塑料制品(不含食品相关产品)</w:t>
            </w:r>
          </w:p>
        </w:tc>
        <w:tc>
          <w:tcPr>
            <w:tcW w:w="2567" w:type="dxa"/>
            <w:noWrap w:val="0"/>
            <w:vAlign w:val="center"/>
          </w:tcPr>
          <w:p>
            <w:pPr>
              <w:adjustRightInd w:val="0"/>
              <w:snapToGrid w:val="0"/>
              <w:spacing w:line="400" w:lineRule="exact"/>
              <w:jc w:val="center"/>
              <w:rPr>
                <w:rFonts w:hint="default" w:eastAsia="仿宋_GB2312"/>
                <w:color w:val="auto"/>
                <w:szCs w:val="32"/>
                <w:lang w:val="en-US" w:eastAsia="zh-CN"/>
              </w:rPr>
            </w:pPr>
            <w:r>
              <w:rPr>
                <w:rFonts w:hint="eastAsia"/>
                <w:color w:val="auto"/>
                <w:szCs w:val="32"/>
                <w:lang w:val="en-US" w:eastAsia="zh-CN"/>
              </w:rPr>
              <w:t>1捆（</w:t>
            </w:r>
            <w:r>
              <w:rPr>
                <w:rFonts w:hint="eastAsia" w:ascii="宋体" w:hAnsi="宋体" w:cs="宋体"/>
                <w:szCs w:val="21"/>
                <w:lang w:eastAsia="zh-CN"/>
              </w:rPr>
              <w:t>每捆不少于</w:t>
            </w:r>
            <w:r>
              <w:rPr>
                <w:rFonts w:hint="eastAsia" w:ascii="宋体" w:hAnsi="宋体" w:cs="宋体"/>
                <w:szCs w:val="21"/>
                <w:lang w:val="en-US" w:eastAsia="zh-CN"/>
              </w:rPr>
              <w:t>10个</w:t>
            </w:r>
            <w:r>
              <w:rPr>
                <w:rFonts w:hint="eastAsia"/>
                <w:color w:val="auto"/>
                <w:szCs w:val="32"/>
                <w:lang w:val="en-US" w:eastAsia="zh-CN"/>
              </w:rPr>
              <w:t>）</w:t>
            </w:r>
          </w:p>
        </w:tc>
        <w:tc>
          <w:tcPr>
            <w:tcW w:w="2309" w:type="dxa"/>
            <w:noWrap w:val="0"/>
            <w:vAlign w:val="center"/>
          </w:tcPr>
          <w:p>
            <w:pPr>
              <w:adjustRightInd w:val="0"/>
              <w:snapToGrid w:val="0"/>
              <w:spacing w:line="400" w:lineRule="exact"/>
              <w:jc w:val="center"/>
              <w:rPr>
                <w:rFonts w:hint="default" w:eastAsia="仿宋_GB2312"/>
                <w:color w:val="auto"/>
                <w:szCs w:val="32"/>
                <w:lang w:val="en-US" w:eastAsia="zh-CN"/>
              </w:rPr>
            </w:pPr>
            <w:r>
              <w:rPr>
                <w:rFonts w:hint="eastAsia"/>
                <w:color w:val="auto"/>
                <w:szCs w:val="32"/>
                <w:lang w:val="en-US" w:eastAsia="zh-CN"/>
              </w:rPr>
              <w:t>1捆（</w:t>
            </w:r>
            <w:r>
              <w:rPr>
                <w:rFonts w:hint="eastAsia" w:ascii="宋体" w:hAnsi="宋体" w:cs="宋体"/>
                <w:szCs w:val="21"/>
                <w:lang w:eastAsia="zh-CN"/>
              </w:rPr>
              <w:t>每捆不少于</w:t>
            </w:r>
            <w:r>
              <w:rPr>
                <w:rFonts w:hint="eastAsia" w:ascii="宋体" w:hAnsi="宋体" w:cs="宋体"/>
                <w:szCs w:val="21"/>
                <w:lang w:val="en-US" w:eastAsia="zh-CN"/>
              </w:rPr>
              <w:t>10个</w:t>
            </w:r>
            <w:r>
              <w:rPr>
                <w:rFonts w:hint="eastAsia"/>
                <w:color w:val="auto"/>
                <w:szCs w:val="32"/>
                <w:lang w:val="en-US" w:eastAsia="zh-CN"/>
              </w:rPr>
              <w:t>）</w:t>
            </w:r>
          </w:p>
        </w:tc>
      </w:tr>
    </w:tbl>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lang w:eastAsia="zh-CN"/>
        </w:rPr>
        <w:t>抽样方法：确定被抽样对象应符合</w:t>
      </w:r>
      <w:r>
        <w:rPr>
          <w:rFonts w:hint="eastAsia" w:ascii="仿宋_GB2312" w:hAnsi="仿宋_GB2312" w:eastAsia="仿宋_GB2312" w:cs="仿宋_GB2312"/>
          <w:kern w:val="0"/>
          <w:sz w:val="32"/>
          <w:szCs w:val="32"/>
        </w:rPr>
        <w:t>T/GDAQI 020-202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《产品质量监督抽查抽样检验技术服务规范》5.3.3.3</w:t>
      </w:r>
      <w:r>
        <w:rPr>
          <w:rFonts w:hint="eastAsia" w:ascii="仿宋_GB2312" w:hAnsi="仿宋_GB2312" w:eastAsia="仿宋_GB2312" w:cs="仿宋_GB2312"/>
          <w:kern w:val="0"/>
          <w:sz w:val="32"/>
          <w:szCs w:val="32"/>
          <w:lang w:eastAsia="zh-CN"/>
        </w:rPr>
        <w:t>和第</w:t>
      </w:r>
      <w:r>
        <w:rPr>
          <w:rFonts w:hint="eastAsia" w:ascii="仿宋_GB2312" w:hAnsi="仿宋_GB2312" w:eastAsia="仿宋_GB2312" w:cs="仿宋_GB2312"/>
          <w:kern w:val="0"/>
          <w:sz w:val="32"/>
          <w:szCs w:val="32"/>
          <w:lang w:val="en-US" w:eastAsia="zh-CN"/>
        </w:rPr>
        <w:t>6章、第7章抽样的相关要求。抽取标称同一商标（或标称同一生产者）、同一型号规格的产品。抽样时，需确认以下信息：</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在生产企业成品仓库内或市场待销产品中随机抽取有产品质量检验合格证明或者以其他形式表明合格的、保质期内的产品（特殊情况除外）。有必要时，应拍摄、保存抽样过程的影像资料。</w:t>
      </w:r>
    </w:p>
    <w:p>
      <w:pPr>
        <w:spacing w:line="360" w:lineRule="auto"/>
        <w:ind w:right="-311" w:rightChars="-148" w:firstLine="640" w:firstLineChars="200"/>
        <w:rPr>
          <w:rFonts w:hint="eastAsia" w:ascii="宋体" w:hAnsi="宋体" w:eastAsia="宋体" w:cs="宋体"/>
          <w:color w:val="000000"/>
          <w:sz w:val="21"/>
          <w:szCs w:val="21"/>
        </w:rPr>
      </w:pPr>
      <w:r>
        <w:rPr>
          <w:rFonts w:hint="eastAsia" w:ascii="仿宋_GB2312" w:hAnsi="仿宋_GB2312" w:eastAsia="仿宋_GB2312" w:cs="仿宋_GB2312"/>
          <w:kern w:val="0"/>
          <w:sz w:val="32"/>
          <w:szCs w:val="32"/>
          <w:lang w:val="en-US" w:eastAsia="zh-CN"/>
        </w:rPr>
        <w:t>封样要求：抽取的样品应当场封样，由抽样单位抽样人员、被抽样市场主体签字确认，每款产品的2组样品分别封样，抽样机构应采取防拆封措施</w:t>
      </w:r>
      <w:r>
        <w:rPr>
          <w:rFonts w:hint="eastAsia" w:ascii="仿宋_GB2312" w:hAnsi="仿宋_GB2312" w:eastAsia="仿宋_GB2312" w:cs="仿宋_GB2312"/>
          <w:kern w:val="0"/>
          <w:sz w:val="32"/>
          <w:szCs w:val="32"/>
        </w:rPr>
        <w:t>。样品全部带回实验室。</w:t>
      </w:r>
      <w:r>
        <w:rPr>
          <w:rFonts w:hint="eastAsia" w:ascii="宋体" w:hAnsi="宋体" w:eastAsia="宋体" w:cs="宋体"/>
          <w:color w:val="000000"/>
          <w:sz w:val="21"/>
          <w:szCs w:val="21"/>
        </w:rPr>
        <w:t>1 抽样方法</w:t>
      </w:r>
    </w:p>
    <w:p>
      <w:pPr>
        <w:snapToGrid w:val="0"/>
        <w:spacing w:line="440" w:lineRule="exact"/>
        <w:ind w:left="0" w:leftChars="0" w:firstLine="640" w:firstLineChars="200"/>
        <w:rPr>
          <w:rFonts w:hint="eastAsia" w:ascii="宋体" w:hAnsi="宋体" w:eastAsia="宋体" w:cs="宋体"/>
          <w:color w:val="000000"/>
          <w:szCs w:val="21"/>
        </w:rPr>
      </w:pPr>
      <w:r>
        <w:rPr>
          <w:rFonts w:hint="eastAsia" w:ascii="黑体" w:hAnsi="黑体" w:eastAsia="黑体" w:cs="黑体"/>
          <w:sz w:val="32"/>
          <w:szCs w:val="32"/>
          <w:lang w:eastAsia="zh-CN"/>
        </w:rPr>
        <w:t>二</w:t>
      </w:r>
      <w:r>
        <w:rPr>
          <w:rFonts w:hint="eastAsia" w:ascii="黑体" w:hAnsi="黑体" w:eastAsia="黑体" w:cs="黑体"/>
          <w:sz w:val="32"/>
          <w:szCs w:val="32"/>
        </w:rPr>
        <w:t>、主要检验项目及不合格类别的划分指标</w:t>
      </w:r>
    </w:p>
    <w:p>
      <w:pPr>
        <w:snapToGrid w:val="0"/>
        <w:spacing w:before="156" w:beforeLines="50" w:line="360" w:lineRule="auto"/>
        <w:jc w:val="left"/>
        <w:rPr>
          <w:rFonts w:ascii="宋体" w:hAnsi="宋体"/>
          <w:sz w:val="21"/>
          <w:szCs w:val="21"/>
        </w:rPr>
      </w:pPr>
      <w:r>
        <w:rPr>
          <w:rFonts w:hint="eastAsia" w:ascii="宋体" w:hAnsi="宋体" w:cs="Sim Sun"/>
          <w:b/>
          <w:kern w:val="0"/>
          <w:sz w:val="21"/>
          <w:szCs w:val="21"/>
          <w:lang w:eastAsia="zh-CN"/>
        </w:rPr>
        <w:t>表</w:t>
      </w:r>
      <w:r>
        <w:rPr>
          <w:rFonts w:hint="eastAsia" w:ascii="宋体" w:hAnsi="宋体" w:cs="Sim Sun"/>
          <w:b/>
          <w:kern w:val="0"/>
          <w:sz w:val="21"/>
          <w:szCs w:val="21"/>
          <w:lang w:val="en-US" w:eastAsia="zh-CN"/>
        </w:rPr>
        <w:t>1</w:t>
      </w:r>
      <w:r>
        <w:rPr>
          <w:rFonts w:hint="eastAsia" w:ascii="宋体" w:hAnsi="宋体" w:cs="Sim Sun"/>
          <w:b/>
          <w:kern w:val="0"/>
          <w:sz w:val="21"/>
          <w:szCs w:val="21"/>
        </w:rPr>
        <w:t>塑料购物袋产品检验项目及重要程度分类</w:t>
      </w:r>
    </w:p>
    <w:tbl>
      <w:tblPr>
        <w:tblStyle w:val="5"/>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83"/>
        <w:gridCol w:w="2052"/>
        <w:gridCol w:w="990"/>
        <w:gridCol w:w="1155"/>
        <w:gridCol w:w="960"/>
        <w:gridCol w:w="108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746"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序号</w:t>
            </w:r>
          </w:p>
        </w:tc>
        <w:tc>
          <w:tcPr>
            <w:tcW w:w="1683"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检验项目</w:t>
            </w:r>
          </w:p>
        </w:tc>
        <w:tc>
          <w:tcPr>
            <w:tcW w:w="2052" w:type="dxa"/>
            <w:noWrap w:val="0"/>
            <w:vAlign w:val="center"/>
          </w:tcPr>
          <w:p>
            <w:pPr>
              <w:jc w:val="center"/>
              <w:rPr>
                <w:rFonts w:hint="eastAsia" w:ascii="宋体" w:hAnsi="宋体" w:cs="宋体"/>
                <w:b/>
                <w:bCs/>
                <w:sz w:val="21"/>
                <w:szCs w:val="21"/>
              </w:rPr>
            </w:pPr>
            <w:r>
              <w:rPr>
                <w:rFonts w:hint="eastAsia" w:ascii="宋体" w:hAnsi="宋体" w:cs="宋体"/>
                <w:b/>
                <w:bCs/>
                <w:color w:val="000000"/>
                <w:sz w:val="21"/>
                <w:szCs w:val="21"/>
              </w:rPr>
              <w:t>依据法律法规或标准</w:t>
            </w:r>
          </w:p>
        </w:tc>
        <w:tc>
          <w:tcPr>
            <w:tcW w:w="990"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强制性</w:t>
            </w:r>
          </w:p>
        </w:tc>
        <w:tc>
          <w:tcPr>
            <w:tcW w:w="115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21"/>
                <w:szCs w:val="21"/>
                <w:lang w:val="en-US" w:eastAsia="zh-CN" w:bidi="ar-SA"/>
              </w:rPr>
            </w:pPr>
            <w:r>
              <w:rPr>
                <w:rFonts w:hint="eastAsia" w:ascii="仿宋_GB2312" w:hAnsi="Times New Roman" w:eastAsia="宋体" w:cs="Times New Roman"/>
                <w:b/>
                <w:kern w:val="2"/>
                <w:sz w:val="21"/>
                <w:szCs w:val="21"/>
                <w:lang w:val="en-US" w:eastAsia="zh-CN" w:bidi="ar"/>
              </w:rPr>
              <w:t>非强制性</w:t>
            </w:r>
          </w:p>
        </w:tc>
        <w:tc>
          <w:tcPr>
            <w:tcW w:w="96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21"/>
                <w:szCs w:val="21"/>
                <w:lang w:val="en-US" w:eastAsia="zh-CN" w:bidi="ar-SA"/>
              </w:rPr>
            </w:pPr>
            <w:r>
              <w:rPr>
                <w:rFonts w:hint="eastAsia" w:ascii="仿宋_GB2312" w:hAnsi="Times New Roman" w:eastAsia="宋体" w:cs="Times New Roman"/>
                <w:b/>
                <w:color w:val="000000"/>
                <w:kern w:val="2"/>
                <w:sz w:val="21"/>
                <w:szCs w:val="21"/>
                <w:lang w:val="en-US" w:eastAsia="zh-CN" w:bidi="ar"/>
              </w:rPr>
              <w:t>重要项</w:t>
            </w:r>
          </w:p>
        </w:tc>
        <w:tc>
          <w:tcPr>
            <w:tcW w:w="1083"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21"/>
                <w:szCs w:val="21"/>
                <w:lang w:val="en-US" w:eastAsia="zh-CN" w:bidi="ar-SA"/>
              </w:rPr>
            </w:pPr>
            <w:r>
              <w:rPr>
                <w:rFonts w:hint="eastAsia" w:ascii="仿宋_GB2312" w:hAnsi="Times New Roman" w:eastAsia="宋体" w:cs="Times New Roman"/>
                <w:b/>
                <w:color w:val="000000"/>
                <w:kern w:val="2"/>
                <w:sz w:val="21"/>
                <w:szCs w:val="21"/>
                <w:lang w:val="en-US" w:eastAsia="zh-CN" w:bidi="ar"/>
              </w:rPr>
              <w:t>较重要项</w:t>
            </w:r>
          </w:p>
        </w:tc>
        <w:tc>
          <w:tcPr>
            <w:tcW w:w="87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21"/>
                <w:szCs w:val="21"/>
                <w:lang w:val="en-US" w:eastAsia="zh-CN" w:bidi="ar-SA"/>
              </w:rPr>
            </w:pPr>
            <w:r>
              <w:rPr>
                <w:rFonts w:hint="eastAsia" w:ascii="仿宋_GB2312" w:hAnsi="Times New Roman" w:eastAsia="宋体" w:cs="Times New Roman"/>
                <w:b/>
                <w:color w:val="000000"/>
                <w:kern w:val="2"/>
                <w:sz w:val="21"/>
                <w:szCs w:val="21"/>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w:t>
            </w:r>
          </w:p>
        </w:tc>
        <w:tc>
          <w:tcPr>
            <w:tcW w:w="1683" w:type="dxa"/>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标识</w:t>
            </w:r>
          </w:p>
        </w:tc>
        <w:tc>
          <w:tcPr>
            <w:tcW w:w="2052"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GB/T 21661-2020 5.1</w:t>
            </w:r>
          </w:p>
        </w:tc>
        <w:tc>
          <w:tcPr>
            <w:tcW w:w="990" w:type="dxa"/>
            <w:noWrap w:val="0"/>
            <w:vAlign w:val="center"/>
          </w:tcPr>
          <w:p>
            <w:pPr>
              <w:snapToGrid w:val="0"/>
              <w:jc w:val="center"/>
              <w:rPr>
                <w:rFonts w:hint="eastAsia" w:ascii="宋体" w:hAnsi="宋体" w:cs="宋体"/>
                <w:color w:val="000000"/>
                <w:sz w:val="21"/>
                <w:szCs w:val="21"/>
              </w:rPr>
            </w:pPr>
          </w:p>
        </w:tc>
        <w:tc>
          <w:tcPr>
            <w:tcW w:w="115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60" w:type="dxa"/>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1083" w:type="dxa"/>
            <w:noWrap w:val="0"/>
            <w:vAlign w:val="center"/>
          </w:tcPr>
          <w:p>
            <w:pPr>
              <w:widowControl/>
              <w:jc w:val="center"/>
              <w:rPr>
                <w:rFonts w:hint="eastAsia" w:ascii="宋体" w:hAnsi="宋体" w:cs="宋体"/>
                <w:color w:val="000000"/>
                <w:kern w:val="2"/>
                <w:sz w:val="21"/>
                <w:szCs w:val="21"/>
                <w:lang w:val="en-US" w:eastAsia="zh-CN" w:bidi="ar-SA"/>
              </w:rPr>
            </w:pPr>
          </w:p>
        </w:tc>
        <w:tc>
          <w:tcPr>
            <w:tcW w:w="876"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2</w:t>
            </w:r>
          </w:p>
        </w:tc>
        <w:tc>
          <w:tcPr>
            <w:tcW w:w="1683" w:type="dxa"/>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环保要求</w:t>
            </w:r>
          </w:p>
        </w:tc>
        <w:tc>
          <w:tcPr>
            <w:tcW w:w="2052" w:type="dxa"/>
            <w:noWrap w:val="0"/>
            <w:vAlign w:val="center"/>
          </w:tcPr>
          <w:p>
            <w:pPr>
              <w:keepNext w:val="0"/>
              <w:keepLines w:val="0"/>
              <w:widowControl/>
              <w:suppressLineNumbers w:val="0"/>
              <w:jc w:val="center"/>
              <w:textAlignment w:val="center"/>
              <w:rPr>
                <w:rFonts w:hint="default" w:ascii="宋体" w:hAnsi="宋体" w:cs="宋体"/>
                <w:color w:val="000000"/>
                <w:sz w:val="21"/>
                <w:szCs w:val="21"/>
                <w:lang w:val="en-US"/>
              </w:rPr>
            </w:pPr>
            <w:r>
              <w:rPr>
                <w:rFonts w:hint="eastAsia" w:ascii="宋体" w:hAnsi="宋体" w:eastAsia="宋体" w:cs="宋体"/>
                <w:i w:val="0"/>
                <w:iCs w:val="0"/>
                <w:color w:val="000000"/>
                <w:kern w:val="0"/>
                <w:sz w:val="21"/>
                <w:szCs w:val="21"/>
                <w:u w:val="none"/>
                <w:lang w:val="en-US" w:eastAsia="zh-CN" w:bidi="ar"/>
              </w:rPr>
              <w:t>GB/T 21661-2020 5.2</w:t>
            </w:r>
          </w:p>
        </w:tc>
        <w:tc>
          <w:tcPr>
            <w:tcW w:w="990" w:type="dxa"/>
            <w:noWrap w:val="0"/>
            <w:vAlign w:val="center"/>
          </w:tcPr>
          <w:p>
            <w:pPr>
              <w:snapToGrid w:val="0"/>
              <w:jc w:val="center"/>
              <w:rPr>
                <w:rFonts w:hint="eastAsia" w:ascii="宋体" w:hAnsi="宋体" w:cs="宋体"/>
                <w:color w:val="000000"/>
                <w:sz w:val="21"/>
                <w:szCs w:val="21"/>
              </w:rPr>
            </w:pPr>
          </w:p>
        </w:tc>
        <w:tc>
          <w:tcPr>
            <w:tcW w:w="115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60" w:type="dxa"/>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1083" w:type="dxa"/>
            <w:noWrap w:val="0"/>
            <w:vAlign w:val="center"/>
          </w:tcPr>
          <w:p>
            <w:pPr>
              <w:widowControl/>
              <w:jc w:val="center"/>
              <w:rPr>
                <w:rFonts w:hint="eastAsia" w:ascii="宋体" w:hAnsi="宋体" w:cs="宋体"/>
                <w:color w:val="000000"/>
                <w:kern w:val="2"/>
                <w:sz w:val="21"/>
                <w:szCs w:val="21"/>
                <w:lang w:val="en-US" w:eastAsia="zh-CN" w:bidi="ar-SA"/>
              </w:rPr>
            </w:pPr>
          </w:p>
        </w:tc>
        <w:tc>
          <w:tcPr>
            <w:tcW w:w="876" w:type="dxa"/>
            <w:noWrap w:val="0"/>
            <w:vAlign w:val="center"/>
          </w:tcPr>
          <w:p>
            <w:pPr>
              <w:widowControl/>
              <w:jc w:val="center"/>
              <w:rPr>
                <w:rFonts w:hint="eastAsia" w:ascii="宋体" w:hAnsi="宋体" w:cs="宋体"/>
                <w:color w:val="000000"/>
                <w:sz w:val="21"/>
                <w:szCs w:val="21"/>
              </w:rPr>
            </w:pPr>
          </w:p>
        </w:tc>
      </w:tr>
    </w:tbl>
    <w:p>
      <w:pPr>
        <w:spacing w:line="360" w:lineRule="auto"/>
        <w:jc w:val="left"/>
        <w:rPr>
          <w:rFonts w:hint="eastAsia" w:ascii="宋体" w:hAnsi="宋体" w:cs="宋体"/>
          <w:sz w:val="21"/>
          <w:szCs w:val="21"/>
        </w:rPr>
      </w:pPr>
      <w:r>
        <w:rPr>
          <w:rFonts w:hint="eastAsia" w:ascii="宋体" w:hAnsi="宋体" w:cs="Sim Sun"/>
          <w:b/>
          <w:kern w:val="0"/>
          <w:sz w:val="21"/>
          <w:szCs w:val="21"/>
          <w:lang w:eastAsia="zh-CN"/>
        </w:rPr>
        <w:t>表</w:t>
      </w:r>
      <w:r>
        <w:rPr>
          <w:rFonts w:hint="eastAsia" w:ascii="宋体" w:hAnsi="宋体" w:cs="Sim Sun"/>
          <w:b/>
          <w:kern w:val="0"/>
          <w:sz w:val="21"/>
          <w:szCs w:val="21"/>
          <w:lang w:val="en-US" w:eastAsia="zh-CN"/>
        </w:rPr>
        <w:t>2</w:t>
      </w:r>
      <w:r>
        <w:rPr>
          <w:rFonts w:hint="eastAsia" w:ascii="宋体" w:hAnsi="宋体" w:cs="宋体"/>
          <w:b/>
          <w:bCs/>
          <w:sz w:val="21"/>
          <w:szCs w:val="21"/>
        </w:rPr>
        <w:t>商品零售包装袋</w:t>
      </w:r>
      <w:r>
        <w:rPr>
          <w:rFonts w:hint="eastAsia" w:ascii="宋体" w:hAnsi="宋体" w:cs="Sim Sun"/>
          <w:b/>
          <w:kern w:val="0"/>
          <w:sz w:val="21"/>
          <w:szCs w:val="21"/>
        </w:rPr>
        <w:t>产品检验项目及重要程度分类</w:t>
      </w:r>
    </w:p>
    <w:tbl>
      <w:tblPr>
        <w:tblStyle w:val="5"/>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38"/>
        <w:gridCol w:w="2023"/>
        <w:gridCol w:w="990"/>
        <w:gridCol w:w="1185"/>
        <w:gridCol w:w="946"/>
        <w:gridCol w:w="109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16"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序号</w:t>
            </w:r>
          </w:p>
        </w:tc>
        <w:tc>
          <w:tcPr>
            <w:tcW w:w="1738"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检验项目</w:t>
            </w:r>
          </w:p>
        </w:tc>
        <w:tc>
          <w:tcPr>
            <w:tcW w:w="2023" w:type="dxa"/>
            <w:noWrap w:val="0"/>
            <w:vAlign w:val="center"/>
          </w:tcPr>
          <w:p>
            <w:pPr>
              <w:jc w:val="center"/>
              <w:rPr>
                <w:rFonts w:hint="eastAsia" w:ascii="宋体" w:hAnsi="宋体" w:cs="宋体"/>
                <w:b/>
                <w:bCs/>
                <w:sz w:val="21"/>
                <w:szCs w:val="21"/>
              </w:rPr>
            </w:pPr>
            <w:r>
              <w:rPr>
                <w:rFonts w:hint="eastAsia" w:ascii="宋体" w:hAnsi="宋体" w:cs="宋体"/>
                <w:b/>
                <w:bCs/>
                <w:color w:val="000000"/>
                <w:sz w:val="21"/>
                <w:szCs w:val="21"/>
              </w:rPr>
              <w:t>依据法律法规或标准</w:t>
            </w:r>
          </w:p>
        </w:tc>
        <w:tc>
          <w:tcPr>
            <w:tcW w:w="990"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强制性</w:t>
            </w:r>
          </w:p>
        </w:tc>
        <w:tc>
          <w:tcPr>
            <w:tcW w:w="118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21"/>
                <w:szCs w:val="21"/>
                <w:lang w:val="en-US" w:eastAsia="zh-CN" w:bidi="ar-SA"/>
              </w:rPr>
            </w:pPr>
            <w:r>
              <w:rPr>
                <w:rFonts w:hint="eastAsia" w:ascii="仿宋_GB2312" w:hAnsi="Times New Roman" w:eastAsia="宋体" w:cs="Times New Roman"/>
                <w:b/>
                <w:kern w:val="2"/>
                <w:sz w:val="21"/>
                <w:szCs w:val="21"/>
                <w:lang w:val="en-US" w:eastAsia="zh-CN" w:bidi="ar"/>
              </w:rPr>
              <w:t>非强制性</w:t>
            </w:r>
          </w:p>
        </w:tc>
        <w:tc>
          <w:tcPr>
            <w:tcW w:w="94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21"/>
                <w:szCs w:val="21"/>
                <w:lang w:val="en-US" w:eastAsia="zh-CN" w:bidi="ar-SA"/>
              </w:rPr>
            </w:pPr>
            <w:r>
              <w:rPr>
                <w:rFonts w:hint="eastAsia" w:ascii="仿宋_GB2312" w:hAnsi="Times New Roman" w:eastAsia="宋体" w:cs="Times New Roman"/>
                <w:b/>
                <w:color w:val="000000"/>
                <w:kern w:val="2"/>
                <w:sz w:val="21"/>
                <w:szCs w:val="21"/>
                <w:lang w:val="en-US" w:eastAsia="zh-CN" w:bidi="ar"/>
              </w:rPr>
              <w:t>重要项</w:t>
            </w:r>
          </w:p>
        </w:tc>
        <w:tc>
          <w:tcPr>
            <w:tcW w:w="109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21"/>
                <w:szCs w:val="21"/>
                <w:lang w:val="en-US" w:eastAsia="zh-CN" w:bidi="ar-SA"/>
              </w:rPr>
            </w:pPr>
            <w:r>
              <w:rPr>
                <w:rFonts w:hint="eastAsia" w:ascii="仿宋_GB2312" w:hAnsi="Times New Roman" w:eastAsia="宋体" w:cs="Times New Roman"/>
                <w:b/>
                <w:color w:val="000000"/>
                <w:kern w:val="2"/>
                <w:sz w:val="21"/>
                <w:szCs w:val="21"/>
                <w:lang w:val="en-US" w:eastAsia="zh-CN" w:bidi="ar"/>
              </w:rPr>
              <w:t>较重要项</w:t>
            </w:r>
          </w:p>
        </w:tc>
        <w:tc>
          <w:tcPr>
            <w:tcW w:w="91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21"/>
                <w:szCs w:val="21"/>
                <w:lang w:val="en-US" w:eastAsia="zh-CN" w:bidi="ar-SA"/>
              </w:rPr>
            </w:pPr>
            <w:r>
              <w:rPr>
                <w:rFonts w:hint="eastAsia" w:ascii="仿宋_GB2312" w:hAnsi="Times New Roman" w:eastAsia="宋体" w:cs="Times New Roman"/>
                <w:b/>
                <w:color w:val="000000"/>
                <w:kern w:val="2"/>
                <w:sz w:val="21"/>
                <w:szCs w:val="21"/>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标识</w:t>
            </w:r>
          </w:p>
        </w:tc>
        <w:tc>
          <w:tcPr>
            <w:tcW w:w="2023"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BB/T 0039-2013 5.1</w:t>
            </w:r>
          </w:p>
        </w:tc>
        <w:tc>
          <w:tcPr>
            <w:tcW w:w="990" w:type="dxa"/>
            <w:noWrap w:val="0"/>
            <w:vAlign w:val="center"/>
          </w:tcPr>
          <w:p>
            <w:pPr>
              <w:snapToGrid w:val="0"/>
              <w:jc w:val="center"/>
              <w:rPr>
                <w:rFonts w:hint="eastAsia" w:ascii="宋体" w:hAnsi="宋体" w:cs="宋体"/>
                <w:color w:val="000000"/>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jc w:val="center"/>
              <w:rPr>
                <w:rFonts w:hint="eastAsia" w:ascii="宋体" w:hAnsi="宋体" w:cs="宋体"/>
                <w:color w:val="000000"/>
                <w:kern w:val="2"/>
                <w:sz w:val="21"/>
                <w:szCs w:val="21"/>
                <w:lang w:val="en-US" w:eastAsia="zh-CN" w:bidi="ar-SA"/>
              </w:rPr>
            </w:pP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2</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尺寸偏差</w:t>
            </w:r>
          </w:p>
        </w:tc>
        <w:tc>
          <w:tcPr>
            <w:tcW w:w="2023"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BB/T 0039-2013 5.2</w:t>
            </w:r>
          </w:p>
        </w:tc>
        <w:tc>
          <w:tcPr>
            <w:tcW w:w="990" w:type="dxa"/>
            <w:noWrap w:val="0"/>
            <w:vAlign w:val="center"/>
          </w:tcPr>
          <w:p>
            <w:pPr>
              <w:snapToGrid w:val="0"/>
              <w:jc w:val="center"/>
              <w:rPr>
                <w:rFonts w:hint="eastAsia" w:ascii="宋体" w:hAnsi="宋体" w:cs="宋体"/>
                <w:color w:val="000000"/>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jc w:val="center"/>
              <w:rPr>
                <w:rFonts w:hint="eastAsia" w:ascii="宋体" w:hAnsi="宋体" w:cs="宋体"/>
                <w:color w:val="000000"/>
                <w:kern w:val="2"/>
                <w:sz w:val="21"/>
                <w:szCs w:val="21"/>
                <w:lang w:val="en-US" w:eastAsia="zh-CN" w:bidi="ar-SA"/>
              </w:rPr>
            </w:pP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3</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异嗅</w:t>
            </w:r>
          </w:p>
        </w:tc>
        <w:tc>
          <w:tcPr>
            <w:tcW w:w="2023"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BB/T 0039-2013 5.3.1</w:t>
            </w:r>
          </w:p>
        </w:tc>
        <w:tc>
          <w:tcPr>
            <w:tcW w:w="990" w:type="dxa"/>
            <w:noWrap w:val="0"/>
            <w:vAlign w:val="center"/>
          </w:tcPr>
          <w:p>
            <w:pPr>
              <w:snapToGrid w:val="0"/>
              <w:jc w:val="center"/>
              <w:rPr>
                <w:rFonts w:hint="eastAsia" w:ascii="宋体" w:hAnsi="宋体" w:cs="宋体"/>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jc w:val="center"/>
              <w:rPr>
                <w:rFonts w:hint="eastAsia" w:ascii="宋体" w:hAnsi="宋体" w:cs="宋体"/>
                <w:color w:val="000000"/>
                <w:kern w:val="2"/>
                <w:sz w:val="21"/>
                <w:szCs w:val="21"/>
                <w:lang w:val="en-US" w:eastAsia="zh-CN" w:bidi="ar-SA"/>
              </w:rPr>
            </w:pP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4</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外观质量</w:t>
            </w:r>
          </w:p>
        </w:tc>
        <w:tc>
          <w:tcPr>
            <w:tcW w:w="2023"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BB/T 0039-2013 5.3.2</w:t>
            </w:r>
          </w:p>
        </w:tc>
        <w:tc>
          <w:tcPr>
            <w:tcW w:w="990" w:type="dxa"/>
            <w:noWrap w:val="0"/>
            <w:vAlign w:val="center"/>
          </w:tcPr>
          <w:p>
            <w:pPr>
              <w:snapToGrid w:val="0"/>
              <w:jc w:val="center"/>
              <w:rPr>
                <w:rFonts w:hint="eastAsia" w:ascii="宋体" w:hAnsi="宋体" w:cs="宋体"/>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jc w:val="center"/>
              <w:rPr>
                <w:rFonts w:hint="eastAsia" w:ascii="宋体" w:hAnsi="宋体" w:cs="宋体"/>
                <w:color w:val="000000"/>
                <w:kern w:val="2"/>
                <w:sz w:val="21"/>
                <w:szCs w:val="21"/>
                <w:lang w:val="en-US" w:eastAsia="zh-CN" w:bidi="ar-SA"/>
              </w:rPr>
            </w:pPr>
          </w:p>
        </w:tc>
        <w:tc>
          <w:tcPr>
            <w:tcW w:w="1095" w:type="dxa"/>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5</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印刷质量</w:t>
            </w:r>
          </w:p>
        </w:tc>
        <w:tc>
          <w:tcPr>
            <w:tcW w:w="2023" w:type="dxa"/>
            <w:noWrap w:val="0"/>
            <w:vAlign w:val="center"/>
          </w:tcPr>
          <w:p>
            <w:pPr>
              <w:keepNext w:val="0"/>
              <w:keepLines w:val="0"/>
              <w:widowControl/>
              <w:suppressLineNumbers w:val="0"/>
              <w:jc w:val="center"/>
              <w:textAlignment w:val="center"/>
              <w:rPr>
                <w:rFonts w:hint="eastAsia"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BB/T 0039-2013 5.3.3</w:t>
            </w:r>
          </w:p>
        </w:tc>
        <w:tc>
          <w:tcPr>
            <w:tcW w:w="990" w:type="dxa"/>
            <w:noWrap w:val="0"/>
            <w:vAlign w:val="center"/>
          </w:tcPr>
          <w:p>
            <w:pPr>
              <w:snapToGrid w:val="0"/>
              <w:jc w:val="center"/>
              <w:rPr>
                <w:rFonts w:hint="eastAsia" w:ascii="宋体" w:hAnsi="宋体" w:cs="宋体"/>
                <w:color w:val="000000"/>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jc w:val="center"/>
              <w:rPr>
                <w:rFonts w:hint="eastAsia" w:ascii="宋体" w:hAnsi="宋体" w:cs="宋体"/>
                <w:color w:val="000000"/>
                <w:kern w:val="2"/>
                <w:sz w:val="21"/>
                <w:szCs w:val="21"/>
                <w:lang w:val="en-US" w:eastAsia="zh-CN" w:bidi="ar-SA"/>
              </w:rPr>
            </w:pPr>
          </w:p>
        </w:tc>
        <w:tc>
          <w:tcPr>
            <w:tcW w:w="1095" w:type="dxa"/>
            <w:noWrap w:val="0"/>
            <w:vAlign w:val="center"/>
          </w:tcPr>
          <w:p>
            <w:pPr>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6</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漏水性</w:t>
            </w:r>
          </w:p>
        </w:tc>
        <w:tc>
          <w:tcPr>
            <w:tcW w:w="2023"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BB/T 0039-2013 5.4</w:t>
            </w:r>
          </w:p>
        </w:tc>
        <w:tc>
          <w:tcPr>
            <w:tcW w:w="990" w:type="dxa"/>
            <w:noWrap w:val="0"/>
            <w:vAlign w:val="center"/>
          </w:tcPr>
          <w:p>
            <w:pPr>
              <w:snapToGrid w:val="0"/>
              <w:jc w:val="center"/>
              <w:rPr>
                <w:rFonts w:hint="eastAsia" w:ascii="宋体" w:hAnsi="宋体" w:cs="宋体"/>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widowControl/>
              <w:jc w:val="center"/>
              <w:rPr>
                <w:rFonts w:hint="eastAsia" w:ascii="宋体" w:hAnsi="宋体" w:cs="宋体"/>
                <w:color w:val="000000"/>
                <w:kern w:val="2"/>
                <w:sz w:val="21"/>
                <w:szCs w:val="21"/>
                <w:lang w:val="en-US" w:eastAsia="zh-CN" w:bidi="ar-SA"/>
              </w:rPr>
            </w:pP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7</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跌落性能</w:t>
            </w:r>
          </w:p>
        </w:tc>
        <w:tc>
          <w:tcPr>
            <w:tcW w:w="2023"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BB/T 0039-2013 5.4</w:t>
            </w:r>
          </w:p>
        </w:tc>
        <w:tc>
          <w:tcPr>
            <w:tcW w:w="990" w:type="dxa"/>
            <w:noWrap w:val="0"/>
            <w:vAlign w:val="center"/>
          </w:tcPr>
          <w:p>
            <w:pPr>
              <w:snapToGrid w:val="0"/>
              <w:jc w:val="center"/>
              <w:rPr>
                <w:rFonts w:hint="eastAsia" w:ascii="宋体" w:hAnsi="宋体" w:cs="宋体"/>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widowControl/>
              <w:jc w:val="center"/>
              <w:rPr>
                <w:rFonts w:hint="eastAsia" w:ascii="宋体" w:hAnsi="宋体" w:cs="宋体"/>
                <w:color w:val="000000"/>
                <w:kern w:val="2"/>
                <w:sz w:val="21"/>
                <w:szCs w:val="21"/>
                <w:lang w:val="en-US" w:eastAsia="zh-CN" w:bidi="ar-SA"/>
              </w:rPr>
            </w:pP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6"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8</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rPr>
            </w:pPr>
            <w:r>
              <w:rPr>
                <w:rFonts w:hint="eastAsia" w:ascii="宋体" w:hAnsi="宋体" w:eastAsia="宋体" w:cs="宋体"/>
                <w:i w:val="0"/>
                <w:iCs w:val="0"/>
                <w:color w:val="000000"/>
                <w:kern w:val="0"/>
                <w:sz w:val="21"/>
                <w:szCs w:val="21"/>
                <w:u w:val="none"/>
                <w:lang w:val="en-US" w:eastAsia="zh-CN" w:bidi="ar"/>
              </w:rPr>
              <w:t>塑料和纸塑复合包装袋封合强度</w:t>
            </w:r>
          </w:p>
        </w:tc>
        <w:tc>
          <w:tcPr>
            <w:tcW w:w="2023"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BB/T 0039-2013 5.4</w:t>
            </w:r>
          </w:p>
        </w:tc>
        <w:tc>
          <w:tcPr>
            <w:tcW w:w="990" w:type="dxa"/>
            <w:noWrap w:val="0"/>
            <w:vAlign w:val="center"/>
          </w:tcPr>
          <w:p>
            <w:pPr>
              <w:snapToGrid w:val="0"/>
              <w:jc w:val="center"/>
              <w:rPr>
                <w:rFonts w:hint="eastAsia" w:ascii="宋体" w:hAnsi="宋体" w:cs="宋体"/>
                <w:sz w:val="21"/>
                <w:szCs w:val="21"/>
              </w:rPr>
            </w:pPr>
          </w:p>
        </w:tc>
        <w:tc>
          <w:tcPr>
            <w:tcW w:w="1185" w:type="dxa"/>
            <w:noWrap w:val="0"/>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w:t>
            </w:r>
          </w:p>
        </w:tc>
        <w:tc>
          <w:tcPr>
            <w:tcW w:w="946"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p>
        </w:tc>
        <w:tc>
          <w:tcPr>
            <w:tcW w:w="915" w:type="dxa"/>
            <w:noWrap w:val="0"/>
            <w:vAlign w:val="center"/>
          </w:tcPr>
          <w:p>
            <w:pPr>
              <w:widowControl/>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6" w:type="dxa"/>
            <w:noWrap w:val="0"/>
            <w:vAlign w:val="center"/>
          </w:tcPr>
          <w:p>
            <w:pPr>
              <w:snapToGrid w:val="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9</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复合包装袋剥离力</w:t>
            </w:r>
          </w:p>
        </w:tc>
        <w:tc>
          <w:tcPr>
            <w:tcW w:w="2023" w:type="dxa"/>
            <w:noWrap w:val="0"/>
            <w:vAlign w:val="center"/>
          </w:tcPr>
          <w:p>
            <w:pPr>
              <w:keepNext w:val="0"/>
              <w:keepLines w:val="0"/>
              <w:widowControl/>
              <w:suppressLineNumbers w:val="0"/>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BB/T 0039-2013 5.4</w:t>
            </w:r>
          </w:p>
        </w:tc>
        <w:tc>
          <w:tcPr>
            <w:tcW w:w="990" w:type="dxa"/>
            <w:noWrap w:val="0"/>
            <w:vAlign w:val="center"/>
          </w:tcPr>
          <w:p>
            <w:pPr>
              <w:snapToGrid w:val="0"/>
              <w:jc w:val="center"/>
              <w:rPr>
                <w:rFonts w:hint="eastAsia" w:ascii="宋体" w:hAnsi="宋体" w:cs="宋体"/>
                <w:kern w:val="2"/>
                <w:sz w:val="21"/>
                <w:szCs w:val="21"/>
                <w:lang w:val="en-US" w:eastAsia="zh-CN" w:bidi="ar-SA"/>
              </w:rPr>
            </w:pPr>
          </w:p>
        </w:tc>
        <w:tc>
          <w:tcPr>
            <w:tcW w:w="1185" w:type="dxa"/>
            <w:noWrap w:val="0"/>
            <w:vAlign w:val="center"/>
          </w:tcPr>
          <w:p>
            <w:pPr>
              <w:snapToGrid w:val="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46" w:type="dxa"/>
            <w:noWrap w:val="0"/>
            <w:vAlign w:val="center"/>
          </w:tcPr>
          <w:p>
            <w:pPr>
              <w:widowControl/>
              <w:jc w:val="center"/>
              <w:rPr>
                <w:rFonts w:hint="eastAsia" w:ascii="宋体" w:hAnsi="宋体" w:cs="宋体"/>
                <w:color w:val="000000"/>
                <w:kern w:val="2"/>
                <w:sz w:val="21"/>
                <w:szCs w:val="21"/>
                <w:lang w:val="en-US" w:eastAsia="zh-CN" w:bidi="ar-SA"/>
              </w:rPr>
            </w:pP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15" w:type="dxa"/>
            <w:noWrap w:val="0"/>
            <w:vAlign w:val="center"/>
          </w:tcPr>
          <w:p>
            <w:pPr>
              <w:widowControl/>
              <w:jc w:val="center"/>
              <w:rPr>
                <w:rFonts w:hint="eastAsia" w:ascii="宋体" w:hAnsi="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6" w:type="dxa"/>
            <w:noWrap w:val="0"/>
            <w:vAlign w:val="center"/>
          </w:tcPr>
          <w:p>
            <w:pPr>
              <w:snapToGrid w:val="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10</w:t>
            </w:r>
          </w:p>
        </w:tc>
        <w:tc>
          <w:tcPr>
            <w:tcW w:w="1738" w:type="dxa"/>
            <w:noWrap w:val="0"/>
            <w:vAlign w:val="center"/>
          </w:tcPr>
          <w:p>
            <w:pPr>
              <w:keepNext w:val="0"/>
              <w:keepLines w:val="0"/>
              <w:widowControl/>
              <w:suppressLineNumbers w:val="0"/>
              <w:jc w:val="center"/>
              <w:textAlignment w:val="center"/>
              <w:rPr>
                <w:rFonts w:hint="eastAsia" w:ascii="宋体" w:hAnsi="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纸包装袋封口粘合强度</w:t>
            </w:r>
          </w:p>
        </w:tc>
        <w:tc>
          <w:tcPr>
            <w:tcW w:w="2023" w:type="dxa"/>
            <w:noWrap w:val="0"/>
            <w:vAlign w:val="center"/>
          </w:tcPr>
          <w:p>
            <w:pPr>
              <w:keepNext w:val="0"/>
              <w:keepLines w:val="0"/>
              <w:widowControl/>
              <w:suppressLineNumbers w:val="0"/>
              <w:jc w:val="center"/>
              <w:textAlignment w:val="center"/>
              <w:rPr>
                <w:rFonts w:hint="eastAsia" w:ascii="宋体" w:hAnsi="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BB/T 0039-2013 5.4</w:t>
            </w:r>
          </w:p>
        </w:tc>
        <w:tc>
          <w:tcPr>
            <w:tcW w:w="990" w:type="dxa"/>
            <w:noWrap w:val="0"/>
            <w:vAlign w:val="center"/>
          </w:tcPr>
          <w:p>
            <w:pPr>
              <w:snapToGrid w:val="0"/>
              <w:jc w:val="center"/>
              <w:rPr>
                <w:rFonts w:hint="eastAsia" w:ascii="宋体" w:hAnsi="宋体" w:cs="宋体"/>
                <w:kern w:val="2"/>
                <w:sz w:val="21"/>
                <w:szCs w:val="21"/>
                <w:lang w:val="en-US" w:eastAsia="zh-CN" w:bidi="ar-SA"/>
              </w:rPr>
            </w:pPr>
          </w:p>
        </w:tc>
        <w:tc>
          <w:tcPr>
            <w:tcW w:w="1185" w:type="dxa"/>
            <w:noWrap w:val="0"/>
            <w:vAlign w:val="center"/>
          </w:tcPr>
          <w:p>
            <w:pPr>
              <w:snapToGrid w:val="0"/>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946" w:type="dxa"/>
            <w:noWrap w:val="0"/>
            <w:vAlign w:val="center"/>
          </w:tcPr>
          <w:p>
            <w:pPr>
              <w:widowControl/>
              <w:jc w:val="center"/>
              <w:rPr>
                <w:rFonts w:hint="eastAsia" w:ascii="宋体" w:hAnsi="宋体" w:cs="宋体"/>
                <w:color w:val="000000"/>
                <w:kern w:val="2"/>
                <w:sz w:val="21"/>
                <w:szCs w:val="21"/>
                <w:lang w:val="en-US" w:eastAsia="zh-CN" w:bidi="ar-SA"/>
              </w:rPr>
            </w:pPr>
            <w:r>
              <w:rPr>
                <w:rFonts w:hint="eastAsia" w:ascii="宋体" w:hAnsi="宋体" w:cs="宋体"/>
                <w:color w:val="000000"/>
                <w:sz w:val="21"/>
                <w:szCs w:val="21"/>
              </w:rPr>
              <w:t>●</w:t>
            </w:r>
          </w:p>
        </w:tc>
        <w:tc>
          <w:tcPr>
            <w:tcW w:w="1095" w:type="dxa"/>
            <w:noWrap w:val="0"/>
            <w:vAlign w:val="center"/>
          </w:tcPr>
          <w:p>
            <w:pPr>
              <w:widowControl/>
              <w:jc w:val="center"/>
              <w:rPr>
                <w:rFonts w:hint="eastAsia" w:ascii="宋体" w:hAnsi="宋体" w:cs="宋体"/>
                <w:color w:val="000000"/>
                <w:kern w:val="2"/>
                <w:sz w:val="21"/>
                <w:szCs w:val="21"/>
                <w:lang w:val="en-US" w:eastAsia="zh-CN" w:bidi="ar-SA"/>
              </w:rPr>
            </w:pPr>
          </w:p>
        </w:tc>
        <w:tc>
          <w:tcPr>
            <w:tcW w:w="915" w:type="dxa"/>
            <w:noWrap w:val="0"/>
            <w:vAlign w:val="center"/>
          </w:tcPr>
          <w:p>
            <w:pPr>
              <w:widowControl/>
              <w:jc w:val="center"/>
              <w:rPr>
                <w:rFonts w:hint="eastAsia" w:ascii="宋体" w:hAnsi="宋体" w:cs="宋体"/>
                <w:color w:val="000000"/>
                <w:kern w:val="2"/>
                <w:sz w:val="21"/>
                <w:szCs w:val="21"/>
                <w:lang w:val="en-US" w:eastAsia="zh-CN" w:bidi="ar-SA"/>
              </w:rPr>
            </w:pPr>
          </w:p>
        </w:tc>
      </w:tr>
    </w:tbl>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执行企业标准、团体标准、地方标准的产品，检验项目参照上述内容执行。</w:t>
      </w:r>
    </w:p>
    <w:p>
      <w:pPr>
        <w:spacing w:line="360" w:lineRule="auto"/>
        <w:ind w:right="-311" w:rightChars="-148" w:firstLine="640" w:firstLineChars="200"/>
        <w:rPr>
          <w:rFonts w:ascii="宋体" w:hAnsi="宋体"/>
          <w:color w:val="000000"/>
          <w:szCs w:val="21"/>
        </w:rPr>
      </w:pPr>
      <w:r>
        <w:rPr>
          <w:rFonts w:hint="eastAsia" w:ascii="仿宋_GB2312" w:hAnsi="仿宋_GB2312" w:eastAsia="仿宋_GB2312" w:cs="仿宋_GB2312"/>
          <w:kern w:val="0"/>
          <w:sz w:val="32"/>
          <w:szCs w:val="32"/>
          <w:lang w:val="en-US" w:eastAsia="zh-CN"/>
        </w:rPr>
        <w:t>凡是注日期的文件，其随后所有的修改单（不包括勘误的内容）或修订版不适用于本细则。凡是不注日期的文件，其最新版本适用于本细则。</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三、判定原则</w:t>
      </w:r>
    </w:p>
    <w:p>
      <w:pPr>
        <w:spacing w:line="360" w:lineRule="auto"/>
        <w:ind w:left="0" w:leftChars="0" w:firstLine="640" w:firstLineChars="200"/>
        <w:rPr>
          <w:rFonts w:hint="eastAsia" w:ascii="宋体" w:hAnsi="宋体" w:eastAsia="宋体" w:cs="宋体"/>
          <w:color w:val="000000"/>
          <w:szCs w:val="21"/>
        </w:rPr>
      </w:pPr>
      <w:r>
        <w:rPr>
          <w:rFonts w:hint="eastAsia" w:ascii="楷体_GB2312" w:hAnsi="楷体_GB2312" w:eastAsia="楷体_GB2312" w:cs="楷体_GB2312"/>
          <w:bCs/>
          <w:color w:val="auto"/>
          <w:sz w:val="32"/>
          <w:szCs w:val="32"/>
        </w:rPr>
        <w:t>（一）</w:t>
      </w:r>
      <w:r>
        <w:rPr>
          <w:rFonts w:hint="eastAsia" w:ascii="楷体_GB2312" w:hAnsi="楷体_GB2312" w:eastAsia="楷体_GB2312" w:cs="楷体_GB2312"/>
          <w:bCs/>
          <w:color w:val="auto"/>
          <w:sz w:val="32"/>
          <w:szCs w:val="32"/>
          <w:lang w:eastAsia="zh-CN"/>
        </w:rPr>
        <w:t>依据</w:t>
      </w:r>
      <w:r>
        <w:rPr>
          <w:rFonts w:hint="eastAsia" w:ascii="楷体_GB2312" w:hAnsi="楷体_GB2312" w:eastAsia="楷体_GB2312" w:cs="楷体_GB2312"/>
          <w:bCs/>
          <w:color w:val="auto"/>
          <w:sz w:val="32"/>
          <w:szCs w:val="32"/>
        </w:rPr>
        <w:t>标准。</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GB/T 21661-2020 塑料购物袋 </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BB/T 0039-2013 商品零售包装袋 </w:t>
      </w:r>
    </w:p>
    <w:p>
      <w:pPr>
        <w:spacing w:line="360" w:lineRule="auto"/>
        <w:ind w:right="-311" w:rightChars="-148" w:firstLine="640" w:firstLineChars="200"/>
        <w:rPr>
          <w:rFonts w:hint="eastAsia" w:ascii="宋体" w:hAnsi="宋体" w:cs="宋体"/>
          <w:szCs w:val="21"/>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snapToGrid w:val="0"/>
        <w:spacing w:line="440" w:lineRule="exact"/>
        <w:ind w:left="0" w:leftChars="0" w:firstLine="640" w:firstLineChars="200"/>
        <w:rPr>
          <w:rFonts w:ascii="宋体" w:hAnsi="宋体"/>
          <w:color w:val="000000"/>
          <w:szCs w:val="21"/>
        </w:rPr>
      </w:pPr>
      <w:r>
        <w:rPr>
          <w:rFonts w:hint="eastAsia" w:ascii="楷体_GB2312" w:hAnsi="楷体_GB2312" w:eastAsia="楷体_GB2312" w:cs="楷体_GB2312"/>
          <w:bCs/>
          <w:color w:val="auto"/>
          <w:sz w:val="32"/>
          <w:szCs w:val="32"/>
        </w:rPr>
        <w:t>（二）判定原则</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经检验，检验项目全部合格，判定为抽取的样本所检项目未检出不合格；检验项目中任一项或一项以上不合格，判定为被抽查产品不合格。</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当被检样品明示的质量要求优于监督抽查实施细则中依据的标准要求时，应按被检样品明示的质量要求判定；</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当被检样品明示的质量要求劣于或不包含监督抽查实施细则中依据的强制性标准要求时，应按照强制性标准要求判定；</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当被检样品明示的质量要求不包含监督抽查实施细则中依据的推荐性标准要求时，该指标不参与判定，但应在检验报告中作出说明；</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当被检样品未能提供有效的企业标准时，按相关国家或行业标准进行判定；</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360" w:lineRule="auto"/>
        <w:ind w:right="-311" w:rightChars="-148"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按照产品质量相关法律法规的规定判定。</w:t>
      </w:r>
    </w:p>
    <w:p>
      <w:pPr>
        <w:spacing w:line="360" w:lineRule="auto"/>
        <w:ind w:right="-311" w:rightChars="-148" w:firstLine="640" w:firstLineChars="200"/>
        <w:rPr>
          <w:rFonts w:hint="eastAsia" w:ascii="宋体" w:hAnsi="宋体" w:eastAsia="宋体" w:cs="宋体"/>
          <w:bCs/>
          <w:color w:val="000000"/>
          <w:sz w:val="21"/>
          <w:szCs w:val="21"/>
          <w:lang w:eastAsia="zh-CN"/>
        </w:rPr>
      </w:pPr>
      <w:r>
        <w:rPr>
          <w:rFonts w:hint="eastAsia" w:ascii="仿宋_GB2312" w:hAnsi="仿宋_GB2312" w:eastAsia="仿宋_GB2312" w:cs="仿宋_GB2312"/>
          <w:kern w:val="0"/>
          <w:sz w:val="32"/>
          <w:szCs w:val="32"/>
          <w:lang w:val="en-US" w:eastAsia="zh-CN"/>
        </w:rPr>
        <w:t>检验中发现因样品失效或者其他原因致使检验无法进行的，检验人员应如实记录，并提供相关证明材料，报送组织监督抽查的市场监管部门。</w:t>
      </w:r>
    </w:p>
    <w:p>
      <w:pPr>
        <w:snapToGrid w:val="0"/>
        <w:spacing w:line="440" w:lineRule="exact"/>
        <w:rPr>
          <w:rFonts w:hint="eastAsia" w:ascii="宋体" w:hAnsi="宋体"/>
          <w:color w:val="000000"/>
          <w:szCs w:val="21"/>
        </w:rPr>
      </w:pPr>
    </w:p>
    <w:sectPr>
      <w:headerReference r:id="rId3" w:type="default"/>
      <w:footerReference r:id="rId4" w:type="default"/>
      <w:footerReference r:id="rId5" w:type="even"/>
      <w:pgSz w:w="11906" w:h="16838"/>
      <w:pgMar w:top="1667" w:right="1800" w:bottom="183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rPr>
        <w:lang w:val="en-US" w:eastAsia="zh-CN"/>
      </w:rPr>
      <w:t>1</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TM0MGMwMDM3YjAxODA5OTIwMmFhYmFkYzFkODgifQ=="/>
  </w:docVars>
  <w:rsids>
    <w:rsidRoot w:val="00172A27"/>
    <w:rsid w:val="00034843"/>
    <w:rsid w:val="00051A44"/>
    <w:rsid w:val="00065282"/>
    <w:rsid w:val="00081CBD"/>
    <w:rsid w:val="000976DE"/>
    <w:rsid w:val="000B4527"/>
    <w:rsid w:val="000D6A91"/>
    <w:rsid w:val="001809DD"/>
    <w:rsid w:val="001A751B"/>
    <w:rsid w:val="001D3F42"/>
    <w:rsid w:val="001E45FA"/>
    <w:rsid w:val="001E6534"/>
    <w:rsid w:val="001F6C1F"/>
    <w:rsid w:val="001F7503"/>
    <w:rsid w:val="00211261"/>
    <w:rsid w:val="002276A5"/>
    <w:rsid w:val="00232530"/>
    <w:rsid w:val="00240BAF"/>
    <w:rsid w:val="00253624"/>
    <w:rsid w:val="00261B44"/>
    <w:rsid w:val="00272E70"/>
    <w:rsid w:val="002C2EDA"/>
    <w:rsid w:val="002D7F8A"/>
    <w:rsid w:val="002E0D1D"/>
    <w:rsid w:val="003203A3"/>
    <w:rsid w:val="00335DE6"/>
    <w:rsid w:val="00352295"/>
    <w:rsid w:val="00365CBE"/>
    <w:rsid w:val="00391DC6"/>
    <w:rsid w:val="003A7CDE"/>
    <w:rsid w:val="003A7D30"/>
    <w:rsid w:val="003C24AD"/>
    <w:rsid w:val="003C388C"/>
    <w:rsid w:val="003E61BF"/>
    <w:rsid w:val="004104AC"/>
    <w:rsid w:val="0042112F"/>
    <w:rsid w:val="00426F38"/>
    <w:rsid w:val="00445E86"/>
    <w:rsid w:val="004730AE"/>
    <w:rsid w:val="00474E04"/>
    <w:rsid w:val="00485971"/>
    <w:rsid w:val="004A2D01"/>
    <w:rsid w:val="004A66D5"/>
    <w:rsid w:val="004B00EF"/>
    <w:rsid w:val="004B51FD"/>
    <w:rsid w:val="004D0C5A"/>
    <w:rsid w:val="004E1396"/>
    <w:rsid w:val="004E3259"/>
    <w:rsid w:val="004F3B94"/>
    <w:rsid w:val="005107F4"/>
    <w:rsid w:val="005544BD"/>
    <w:rsid w:val="00560EAE"/>
    <w:rsid w:val="00563EBC"/>
    <w:rsid w:val="00572269"/>
    <w:rsid w:val="00581887"/>
    <w:rsid w:val="0058431B"/>
    <w:rsid w:val="005F3719"/>
    <w:rsid w:val="005F7B92"/>
    <w:rsid w:val="00614D5B"/>
    <w:rsid w:val="00630B02"/>
    <w:rsid w:val="00646628"/>
    <w:rsid w:val="00663E4B"/>
    <w:rsid w:val="00695E50"/>
    <w:rsid w:val="006B422C"/>
    <w:rsid w:val="006D6110"/>
    <w:rsid w:val="006E0C7B"/>
    <w:rsid w:val="006E1171"/>
    <w:rsid w:val="006F0971"/>
    <w:rsid w:val="006F70EB"/>
    <w:rsid w:val="0072334C"/>
    <w:rsid w:val="00725B38"/>
    <w:rsid w:val="00732F56"/>
    <w:rsid w:val="007553CD"/>
    <w:rsid w:val="007607C6"/>
    <w:rsid w:val="00761CAC"/>
    <w:rsid w:val="00764614"/>
    <w:rsid w:val="007F5854"/>
    <w:rsid w:val="0080549B"/>
    <w:rsid w:val="00824C73"/>
    <w:rsid w:val="0084371C"/>
    <w:rsid w:val="008672DC"/>
    <w:rsid w:val="008925D0"/>
    <w:rsid w:val="00895BEA"/>
    <w:rsid w:val="008A3497"/>
    <w:rsid w:val="008A66EC"/>
    <w:rsid w:val="008A718C"/>
    <w:rsid w:val="008B4316"/>
    <w:rsid w:val="00905698"/>
    <w:rsid w:val="00916538"/>
    <w:rsid w:val="00917A54"/>
    <w:rsid w:val="00960D38"/>
    <w:rsid w:val="00965904"/>
    <w:rsid w:val="00981FA6"/>
    <w:rsid w:val="009A13ED"/>
    <w:rsid w:val="009A6A41"/>
    <w:rsid w:val="009B568C"/>
    <w:rsid w:val="009B7EFE"/>
    <w:rsid w:val="009F2545"/>
    <w:rsid w:val="009F5ACE"/>
    <w:rsid w:val="00A06FB7"/>
    <w:rsid w:val="00A20066"/>
    <w:rsid w:val="00A43553"/>
    <w:rsid w:val="00A517F0"/>
    <w:rsid w:val="00A51A21"/>
    <w:rsid w:val="00A820A9"/>
    <w:rsid w:val="00AA1AF9"/>
    <w:rsid w:val="00AA298F"/>
    <w:rsid w:val="00AC5391"/>
    <w:rsid w:val="00AD3210"/>
    <w:rsid w:val="00B333A4"/>
    <w:rsid w:val="00B55594"/>
    <w:rsid w:val="00B62E7B"/>
    <w:rsid w:val="00B65E93"/>
    <w:rsid w:val="00B75CFF"/>
    <w:rsid w:val="00B92C57"/>
    <w:rsid w:val="00BA5F40"/>
    <w:rsid w:val="00BD4B89"/>
    <w:rsid w:val="00BF2B8C"/>
    <w:rsid w:val="00BF3072"/>
    <w:rsid w:val="00C20DD6"/>
    <w:rsid w:val="00C26074"/>
    <w:rsid w:val="00C315EA"/>
    <w:rsid w:val="00C61EB5"/>
    <w:rsid w:val="00C72ACE"/>
    <w:rsid w:val="00C76BC7"/>
    <w:rsid w:val="00C83B0A"/>
    <w:rsid w:val="00C97F5C"/>
    <w:rsid w:val="00CA10CC"/>
    <w:rsid w:val="00CA1ACE"/>
    <w:rsid w:val="00CC622F"/>
    <w:rsid w:val="00CC72A9"/>
    <w:rsid w:val="00CD6C85"/>
    <w:rsid w:val="00CE1E0C"/>
    <w:rsid w:val="00CE277E"/>
    <w:rsid w:val="00CF442E"/>
    <w:rsid w:val="00D22024"/>
    <w:rsid w:val="00D3752E"/>
    <w:rsid w:val="00D507A4"/>
    <w:rsid w:val="00D56867"/>
    <w:rsid w:val="00D61476"/>
    <w:rsid w:val="00D82340"/>
    <w:rsid w:val="00D8267F"/>
    <w:rsid w:val="00D84BA9"/>
    <w:rsid w:val="00D87B4F"/>
    <w:rsid w:val="00DD2C11"/>
    <w:rsid w:val="00DD5C43"/>
    <w:rsid w:val="00DE2A74"/>
    <w:rsid w:val="00DE5F11"/>
    <w:rsid w:val="00E02A7F"/>
    <w:rsid w:val="00E07880"/>
    <w:rsid w:val="00E15671"/>
    <w:rsid w:val="00E1570C"/>
    <w:rsid w:val="00E31131"/>
    <w:rsid w:val="00E312C7"/>
    <w:rsid w:val="00E379D2"/>
    <w:rsid w:val="00E7704F"/>
    <w:rsid w:val="00E81927"/>
    <w:rsid w:val="00E82621"/>
    <w:rsid w:val="00EB0F95"/>
    <w:rsid w:val="00ED5B7A"/>
    <w:rsid w:val="00ED646B"/>
    <w:rsid w:val="00ED72FD"/>
    <w:rsid w:val="00EF4319"/>
    <w:rsid w:val="00F24F6D"/>
    <w:rsid w:val="00F2603F"/>
    <w:rsid w:val="00F43F54"/>
    <w:rsid w:val="00F50137"/>
    <w:rsid w:val="00F56DBA"/>
    <w:rsid w:val="00F64407"/>
    <w:rsid w:val="00F75CDC"/>
    <w:rsid w:val="00F77C9A"/>
    <w:rsid w:val="00FB576C"/>
    <w:rsid w:val="00FD2AA6"/>
    <w:rsid w:val="00FD66D5"/>
    <w:rsid w:val="00FE3B32"/>
    <w:rsid w:val="00FE7E8A"/>
    <w:rsid w:val="03A80886"/>
    <w:rsid w:val="062D41BB"/>
    <w:rsid w:val="0CCA5714"/>
    <w:rsid w:val="0EFD28B1"/>
    <w:rsid w:val="10A02A15"/>
    <w:rsid w:val="1A894E38"/>
    <w:rsid w:val="1AA56637"/>
    <w:rsid w:val="1BB11998"/>
    <w:rsid w:val="1BB74861"/>
    <w:rsid w:val="26B773DF"/>
    <w:rsid w:val="2A0C2D51"/>
    <w:rsid w:val="3225468F"/>
    <w:rsid w:val="37CD4CA7"/>
    <w:rsid w:val="3F5976BE"/>
    <w:rsid w:val="3F7C67B7"/>
    <w:rsid w:val="40287F7B"/>
    <w:rsid w:val="4B06761A"/>
    <w:rsid w:val="524C511D"/>
    <w:rsid w:val="541874C8"/>
    <w:rsid w:val="5A0F330D"/>
    <w:rsid w:val="67FD6F49"/>
    <w:rsid w:val="72AD7BB7"/>
    <w:rsid w:val="79A83B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uiPriority w:val="9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方案正文"/>
    <w:basedOn w:val="1"/>
    <w:link w:val="16"/>
    <w:uiPriority w:val="0"/>
    <w:pPr>
      <w:spacing w:line="360" w:lineRule="auto"/>
      <w:ind w:firstLine="560" w:firstLineChars="200"/>
    </w:pPr>
    <w:rPr>
      <w:rFonts w:ascii="仿宋_GB2312" w:hAnsi="宋体" w:eastAsia="仿宋_GB2312"/>
      <w:kern w:val="0"/>
      <w:sz w:val="28"/>
      <w:szCs w:val="28"/>
    </w:rPr>
  </w:style>
  <w:style w:type="paragraph" w:customStyle="1" w:styleId="10">
    <w:name w:val="Table Paragraph"/>
    <w:basedOn w:val="1"/>
    <w:qFormat/>
    <w:uiPriority w:val="99"/>
    <w:rPr>
      <w:rFonts w:eastAsia="仿宋_GB2312"/>
      <w:sz w:val="32"/>
    </w:rPr>
  </w:style>
  <w:style w:type="paragraph" w:customStyle="1" w:styleId="11">
    <w:name w:val="列出段落1"/>
    <w:basedOn w:val="1"/>
    <w:qFormat/>
    <w:uiPriority w:val="34"/>
    <w:pPr>
      <w:ind w:firstLine="420" w:firstLineChars="200"/>
    </w:pPr>
    <w:rPr>
      <w:rFonts w:ascii="Calibri" w:hAnsi="Calibri"/>
      <w:szCs w:val="22"/>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13">
    <w:name w:val="批注框文本 Char"/>
    <w:link w:val="2"/>
    <w:semiHidden/>
    <w:uiPriority w:val="99"/>
    <w:rPr>
      <w:kern w:val="2"/>
      <w:sz w:val="18"/>
      <w:szCs w:val="18"/>
    </w:rPr>
  </w:style>
  <w:style w:type="character" w:customStyle="1" w:styleId="14">
    <w:name w:val="页脚 Char"/>
    <w:link w:val="3"/>
    <w:uiPriority w:val="99"/>
    <w:rPr>
      <w:kern w:val="2"/>
      <w:sz w:val="18"/>
      <w:szCs w:val="18"/>
    </w:rPr>
  </w:style>
  <w:style w:type="character" w:customStyle="1" w:styleId="15">
    <w:name w:val="页眉 Char"/>
    <w:link w:val="4"/>
    <w:semiHidden/>
    <w:uiPriority w:val="99"/>
    <w:rPr>
      <w:kern w:val="2"/>
      <w:sz w:val="18"/>
      <w:szCs w:val="18"/>
    </w:rPr>
  </w:style>
  <w:style w:type="character" w:customStyle="1" w:styleId="16">
    <w:name w:val="方案正文 Char"/>
    <w:link w:val="9"/>
    <w:locked/>
    <w:uiPriority w:val="0"/>
    <w:rPr>
      <w:rFonts w:ascii="仿宋_GB2312" w:hAnsi="宋体" w:eastAsia="仿宋_GB2312"/>
      <w:sz w:val="28"/>
      <w:szCs w:val="28"/>
    </w:rPr>
  </w:style>
  <w:style w:type="table" w:customStyle="1" w:styleId="17">
    <w:name w:val="Table Normal"/>
    <w:unhideWhenUsed/>
    <w:qFormat/>
    <w:uiPriority w:val="2"/>
    <w:rPr>
      <w:lang w:val="en-US" w:eastAsia="zh-CN" w:bidi="ar-SA"/>
    </w:rPr>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1173</Words>
  <Characters>1385</Characters>
  <Lines>1</Lines>
  <Paragraphs>1</Paragraphs>
  <TotalTime>1</TotalTime>
  <ScaleCrop>false</ScaleCrop>
  <LinksUpToDate>false</LinksUpToDate>
  <CharactersWithSpaces>1472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2020-11-05T11:40:00Z</dcterms:created>
  <dc:creator>Legend User</dc:creator>
  <cp:lastModifiedBy>李文湘</cp:lastModifiedBy>
  <cp:lastPrinted>2019-12-05T07:53:00Z</cp:lastPrinted>
  <dcterms:modified xsi:type="dcterms:W3CDTF">2022-06-29T06:56:14Z</dcterms:modified>
  <dc:title>××产品质量监督抽查实施细则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D9D874ACE43B48A790B5945AA5BE562D</vt:lpwstr>
  </property>
</Properties>
</file>