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left="0" w:leftChars="0" w:firstLine="0" w:firstLineChars="0"/>
        <w:jc w:val="left"/>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附件</w:t>
      </w:r>
      <w:r>
        <w:rPr>
          <w:rFonts w:hint="eastAsia" w:ascii="仿宋_GB2312" w:hAnsi="仿宋_GB2312" w:eastAsia="仿宋_GB2312" w:cs="仿宋_GB2312"/>
          <w:color w:val="000000"/>
          <w:sz w:val="32"/>
          <w:szCs w:val="32"/>
          <w:lang w:val="en-US" w:eastAsia="zh-CN"/>
        </w:rPr>
        <w:t>2</w:t>
      </w:r>
    </w:p>
    <w:p>
      <w:pPr>
        <w:spacing w:line="600" w:lineRule="exact"/>
        <w:jc w:val="center"/>
        <w:rPr>
          <w:rFonts w:hint="eastAsia" w:eastAsia="方正小标宋简体"/>
          <w:kern w:val="0"/>
          <w:sz w:val="44"/>
          <w:szCs w:val="44"/>
          <w:lang w:eastAsia="zh-CN"/>
        </w:rPr>
      </w:pPr>
      <w:r>
        <w:rPr>
          <w:rFonts w:hint="eastAsia" w:eastAsia="方正小标宋简体"/>
          <w:kern w:val="0"/>
          <w:sz w:val="44"/>
          <w:szCs w:val="44"/>
          <w:lang w:eastAsia="zh-CN"/>
        </w:rPr>
        <w:t>汕尾市仿真饰品产品质量</w:t>
      </w:r>
    </w:p>
    <w:p>
      <w:pPr>
        <w:spacing w:line="600" w:lineRule="exact"/>
        <w:jc w:val="center"/>
        <w:rPr>
          <w:rFonts w:hint="eastAsia" w:eastAsia="方正小标宋简体"/>
          <w:kern w:val="0"/>
          <w:sz w:val="44"/>
          <w:szCs w:val="44"/>
          <w:lang w:eastAsia="zh-CN"/>
        </w:rPr>
      </w:pPr>
      <w:r>
        <w:rPr>
          <w:rFonts w:hint="eastAsia" w:eastAsia="方正小标宋简体"/>
          <w:kern w:val="0"/>
          <w:sz w:val="44"/>
          <w:szCs w:val="44"/>
          <w:lang w:eastAsia="zh-CN"/>
        </w:rPr>
        <w:t>监督抽查实施细则</w:t>
      </w:r>
    </w:p>
    <w:p>
      <w:pPr>
        <w:spacing w:line="600" w:lineRule="exact"/>
        <w:ind w:firstLine="640" w:firstLineChars="200"/>
        <w:rPr>
          <w:rFonts w:hint="eastAsia" w:ascii="仿宋_GB2312" w:hAnsi="仿宋_GB2312" w:eastAsia="仿宋_GB2312" w:cs="仿宋_GB2312"/>
          <w:color w:val="000000"/>
          <w:sz w:val="32"/>
          <w:szCs w:val="32"/>
        </w:rPr>
      </w:pPr>
    </w:p>
    <w:p>
      <w:pPr>
        <w:numPr>
          <w:ilvl w:val="0"/>
          <w:numId w:val="0"/>
        </w:numPr>
        <w:spacing w:line="600" w:lineRule="exact"/>
        <w:ind w:left="0" w:leftChars="0"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一、抽样方法</w:t>
      </w:r>
    </w:p>
    <w:p>
      <w:pPr>
        <w:spacing w:line="600" w:lineRule="exact"/>
        <w:ind w:firstLine="640" w:firstLineChars="200"/>
        <w:jc w:val="lef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以随机抽样的方式在被抽查市场主体的待销产品中抽取。</w:t>
      </w:r>
    </w:p>
    <w:p>
      <w:pPr>
        <w:spacing w:line="600" w:lineRule="exact"/>
        <w:ind w:firstLine="640" w:firstLineChars="200"/>
        <w:jc w:val="lef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随机数一般可使用随机数表等方法产生。</w:t>
      </w:r>
    </w:p>
    <w:p>
      <w:pPr>
        <w:spacing w:line="600" w:lineRule="exact"/>
        <w:ind w:left="0" w:leftChars="0" w:firstLine="640" w:firstLineChars="200"/>
        <w:rPr>
          <w:color w:val="auto"/>
          <w:szCs w:val="32"/>
        </w:rPr>
      </w:pPr>
      <w:r>
        <w:rPr>
          <w:rFonts w:hint="eastAsia" w:ascii="仿宋_GB2312" w:hAnsi="仿宋_GB2312" w:eastAsia="仿宋_GB2312" w:cs="仿宋_GB2312"/>
          <w:color w:val="000000"/>
          <w:sz w:val="32"/>
          <w:szCs w:val="32"/>
          <w:lang w:eastAsia="zh-CN"/>
        </w:rPr>
        <w:t>抽查数量：</w:t>
      </w:r>
      <w:r>
        <w:rPr>
          <w:rFonts w:hint="eastAsia" w:ascii="仿宋_GB2312" w:hAnsi="仿宋_GB2312" w:eastAsia="仿宋_GB2312" w:cs="仿宋_GB2312"/>
          <w:kern w:val="0"/>
          <w:sz w:val="32"/>
          <w:szCs w:val="32"/>
        </w:rPr>
        <w:t>每款产品抽取</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组样本，第1组用于检验，第</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组用于备用。每组样品需抽取样品数量如下表所示：</w:t>
      </w:r>
    </w:p>
    <w:tbl>
      <w:tblPr>
        <w:tblStyle w:val="3"/>
        <w:tblW w:w="8174" w:type="dxa"/>
        <w:tblInd w:w="3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2341"/>
        <w:gridCol w:w="2356"/>
        <w:gridCol w:w="2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0" w:type="dxa"/>
            <w:noWrap w:val="0"/>
            <w:vAlign w:val="center"/>
          </w:tcPr>
          <w:p>
            <w:pPr>
              <w:spacing w:line="40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序号</w:t>
            </w:r>
          </w:p>
        </w:tc>
        <w:tc>
          <w:tcPr>
            <w:tcW w:w="2341" w:type="dxa"/>
            <w:noWrap w:val="0"/>
            <w:vAlign w:val="center"/>
          </w:tcPr>
          <w:p>
            <w:pPr>
              <w:spacing w:line="40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产品名称</w:t>
            </w:r>
          </w:p>
        </w:tc>
        <w:tc>
          <w:tcPr>
            <w:tcW w:w="2356" w:type="dxa"/>
            <w:noWrap w:val="0"/>
            <w:vAlign w:val="center"/>
          </w:tcPr>
          <w:p>
            <w:pPr>
              <w:spacing w:line="40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第1组数量</w:t>
            </w:r>
          </w:p>
        </w:tc>
        <w:tc>
          <w:tcPr>
            <w:tcW w:w="2577" w:type="dxa"/>
            <w:noWrap w:val="0"/>
            <w:vAlign w:val="top"/>
          </w:tcPr>
          <w:p>
            <w:pPr>
              <w:spacing w:line="40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第2组数量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0" w:type="dxa"/>
            <w:noWrap w:val="0"/>
            <w:vAlign w:val="center"/>
          </w:tcPr>
          <w:p>
            <w:pPr>
              <w:spacing w:line="40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p>
        </w:tc>
        <w:tc>
          <w:tcPr>
            <w:tcW w:w="2341" w:type="dxa"/>
            <w:noWrap w:val="0"/>
            <w:vAlign w:val="center"/>
          </w:tcPr>
          <w:p>
            <w:pPr>
              <w:spacing w:line="400" w:lineRule="exact"/>
              <w:jc w:val="center"/>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仿真饰品</w:t>
            </w:r>
          </w:p>
        </w:tc>
        <w:tc>
          <w:tcPr>
            <w:tcW w:w="2356" w:type="dxa"/>
            <w:noWrap w:val="0"/>
            <w:vAlign w:val="center"/>
          </w:tcPr>
          <w:p>
            <w:pPr>
              <w:spacing w:line="400" w:lineRule="exact"/>
              <w:jc w:val="center"/>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10件</w:t>
            </w:r>
          </w:p>
        </w:tc>
        <w:tc>
          <w:tcPr>
            <w:tcW w:w="2577" w:type="dxa"/>
            <w:noWrap w:val="0"/>
            <w:vAlign w:val="center"/>
          </w:tcPr>
          <w:p>
            <w:pPr>
              <w:spacing w:line="400" w:lineRule="exact"/>
              <w:jc w:val="center"/>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10件</w:t>
            </w:r>
          </w:p>
        </w:tc>
      </w:tr>
    </w:tbl>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sz w:val="32"/>
          <w:szCs w:val="32"/>
          <w:lang w:eastAsia="zh-CN"/>
        </w:rPr>
        <w:t>抽样方法：确定被抽样对象应符合</w:t>
      </w:r>
      <w:r>
        <w:rPr>
          <w:rFonts w:hint="eastAsia" w:ascii="仿宋_GB2312" w:hAnsi="仿宋_GB2312" w:eastAsia="仿宋_GB2312" w:cs="仿宋_GB2312"/>
          <w:kern w:val="0"/>
          <w:sz w:val="32"/>
          <w:szCs w:val="32"/>
        </w:rPr>
        <w:t>T/GDAQI 020-202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《产品质量监督抽查抽样检验技术服务规范》5.3.3.3</w:t>
      </w:r>
      <w:r>
        <w:rPr>
          <w:rFonts w:hint="eastAsia" w:ascii="仿宋_GB2312" w:hAnsi="仿宋_GB2312" w:eastAsia="仿宋_GB2312" w:cs="仿宋_GB2312"/>
          <w:kern w:val="0"/>
          <w:sz w:val="32"/>
          <w:szCs w:val="32"/>
          <w:lang w:eastAsia="zh-CN"/>
        </w:rPr>
        <w:t>和第</w:t>
      </w:r>
      <w:r>
        <w:rPr>
          <w:rFonts w:hint="eastAsia" w:ascii="仿宋_GB2312" w:hAnsi="仿宋_GB2312" w:eastAsia="仿宋_GB2312" w:cs="仿宋_GB2312"/>
          <w:kern w:val="0"/>
          <w:sz w:val="32"/>
          <w:szCs w:val="32"/>
          <w:lang w:val="en-US" w:eastAsia="zh-CN"/>
        </w:rPr>
        <w:t>6章、第7章抽样的相关要求。抽取标称同一商标（或标称同一生产者）、同一型号规格的产品。</w:t>
      </w:r>
      <w:bookmarkStart w:id="0" w:name="_GoBack"/>
      <w:bookmarkEnd w:id="0"/>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封样要求：抽取的样品应当场封样，由抽样单位抽样人员、被抽样市场主体签字确认，每款产品的</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组样品分别封样，抽样机构应采取防拆封措施。样品全部带回实验室。</w:t>
      </w:r>
    </w:p>
    <w:p>
      <w:pPr>
        <w:spacing w:line="600" w:lineRule="exact"/>
        <w:ind w:firstLine="640" w:firstLineChars="200"/>
        <w:rPr>
          <w:rFonts w:hint="eastAsia" w:ascii="仿宋_GB2312" w:hAnsi="仿宋_GB2312" w:eastAsia="仿宋_GB2312" w:cs="仿宋_GB2312"/>
          <w:kern w:val="0"/>
          <w:sz w:val="32"/>
          <w:szCs w:val="32"/>
        </w:rPr>
      </w:pPr>
      <w:r>
        <w:rPr>
          <w:rFonts w:hint="eastAsia" w:ascii="黑体" w:hAnsi="黑体" w:eastAsia="黑体" w:cs="黑体"/>
          <w:sz w:val="32"/>
          <w:szCs w:val="32"/>
          <w:lang w:eastAsia="zh-CN"/>
        </w:rPr>
        <w:t>二、主要检验项目及不合格类别的划分指标</w:t>
      </w:r>
    </w:p>
    <w:tbl>
      <w:tblPr>
        <w:tblStyle w:val="3"/>
        <w:tblpPr w:leftFromText="180" w:rightFromText="180" w:vertAnchor="text" w:horzAnchor="page" w:tblpX="1755" w:tblpY="862"/>
        <w:tblOverlap w:val="never"/>
        <w:tblW w:w="90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1297"/>
        <w:gridCol w:w="2145"/>
        <w:gridCol w:w="944"/>
        <w:gridCol w:w="1094"/>
        <w:gridCol w:w="882"/>
        <w:gridCol w:w="1094"/>
        <w:gridCol w:w="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trPr>
        <w:tc>
          <w:tcPr>
            <w:tcW w:w="683"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eastAsia="宋体" w:cs="宋体"/>
                <w:b/>
                <w:sz w:val="21"/>
                <w:szCs w:val="21"/>
              </w:rPr>
            </w:pPr>
            <w:r>
              <w:rPr>
                <w:rFonts w:hint="eastAsia" w:ascii="宋体" w:hAnsi="宋体" w:eastAsia="宋体" w:cs="宋体"/>
                <w:b/>
                <w:sz w:val="21"/>
                <w:szCs w:val="21"/>
              </w:rPr>
              <w:t>序号</w:t>
            </w:r>
          </w:p>
        </w:tc>
        <w:tc>
          <w:tcPr>
            <w:tcW w:w="1297"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eastAsia="宋体" w:cs="宋体"/>
                <w:b/>
                <w:sz w:val="21"/>
                <w:szCs w:val="21"/>
              </w:rPr>
            </w:pPr>
            <w:r>
              <w:rPr>
                <w:rFonts w:hint="eastAsia" w:ascii="宋体" w:hAnsi="宋体" w:eastAsia="宋体" w:cs="宋体"/>
                <w:b/>
                <w:sz w:val="21"/>
                <w:szCs w:val="21"/>
              </w:rPr>
              <w:t>检验项目</w:t>
            </w:r>
          </w:p>
        </w:tc>
        <w:tc>
          <w:tcPr>
            <w:tcW w:w="2145"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eastAsia="宋体" w:cs="宋体"/>
                <w:b/>
                <w:sz w:val="21"/>
                <w:szCs w:val="21"/>
              </w:rPr>
            </w:pPr>
            <w:r>
              <w:rPr>
                <w:rFonts w:hint="eastAsia" w:ascii="宋体" w:hAnsi="宋体" w:eastAsia="宋体" w:cs="宋体"/>
                <w:b/>
                <w:sz w:val="21"/>
                <w:szCs w:val="21"/>
              </w:rPr>
              <w:t>依据法律法规或标准</w:t>
            </w:r>
          </w:p>
        </w:tc>
        <w:tc>
          <w:tcPr>
            <w:tcW w:w="944"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eastAsia="宋体" w:cs="宋体"/>
                <w:b/>
                <w:sz w:val="21"/>
                <w:szCs w:val="21"/>
              </w:rPr>
            </w:pPr>
            <w:r>
              <w:rPr>
                <w:rFonts w:hint="eastAsia" w:ascii="宋体" w:hAnsi="宋体" w:eastAsia="宋体" w:cs="宋体"/>
                <w:b/>
                <w:sz w:val="21"/>
                <w:szCs w:val="21"/>
              </w:rPr>
              <w:t>强制性</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eastAsia="宋体" w:cs="宋体"/>
                <w:b/>
                <w:sz w:val="21"/>
                <w:szCs w:val="21"/>
              </w:rPr>
            </w:pPr>
            <w:r>
              <w:rPr>
                <w:rFonts w:hint="eastAsia" w:ascii="宋体" w:hAnsi="宋体" w:eastAsia="宋体" w:cs="宋体"/>
                <w:b/>
                <w:sz w:val="21"/>
                <w:szCs w:val="21"/>
              </w:rPr>
              <w:t>非强制性</w:t>
            </w:r>
          </w:p>
        </w:tc>
        <w:tc>
          <w:tcPr>
            <w:tcW w:w="882"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eastAsia="宋体" w:cs="宋体"/>
                <w:b/>
                <w:sz w:val="21"/>
                <w:szCs w:val="21"/>
              </w:rPr>
            </w:pPr>
            <w:r>
              <w:rPr>
                <w:rFonts w:hint="eastAsia" w:ascii="宋体" w:hAnsi="宋体" w:eastAsia="宋体" w:cs="宋体"/>
                <w:b/>
                <w:sz w:val="21"/>
                <w:szCs w:val="21"/>
              </w:rPr>
              <w:t>重要项</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eastAsia="宋体" w:cs="宋体"/>
                <w:b/>
                <w:sz w:val="21"/>
                <w:szCs w:val="21"/>
              </w:rPr>
            </w:pPr>
            <w:r>
              <w:rPr>
                <w:rFonts w:hint="eastAsia" w:ascii="宋体" w:hAnsi="宋体" w:eastAsia="宋体" w:cs="宋体"/>
                <w:b/>
                <w:sz w:val="21"/>
                <w:szCs w:val="21"/>
              </w:rPr>
              <w:t>较重要项</w:t>
            </w:r>
          </w:p>
        </w:tc>
        <w:tc>
          <w:tcPr>
            <w:tcW w:w="874"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eastAsia="宋体" w:cs="宋体"/>
                <w:b/>
                <w:sz w:val="21"/>
                <w:szCs w:val="21"/>
              </w:rPr>
            </w:pPr>
            <w:r>
              <w:rPr>
                <w:rFonts w:hint="eastAsia" w:ascii="宋体" w:hAnsi="宋体" w:eastAsia="宋体" w:cs="宋体"/>
                <w:b/>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 w:hRule="atLeast"/>
        </w:trPr>
        <w:tc>
          <w:tcPr>
            <w:tcW w:w="6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1297" w:type="dxa"/>
            <w:tcBorders>
              <w:top w:val="single" w:color="auto" w:sz="4" w:space="0"/>
              <w:left w:val="single" w:color="auto" w:sz="4" w:space="0"/>
              <w:bottom w:val="single" w:color="auto" w:sz="4" w:space="0"/>
              <w:right w:val="single" w:color="auto" w:sz="4" w:space="0"/>
            </w:tcBorders>
            <w:noWrap w:val="0"/>
            <w:vAlign w:val="bottom"/>
          </w:tcPr>
          <w:p>
            <w:pPr>
              <w:snapToGrid w:val="0"/>
              <w:spacing w:line="360" w:lineRule="auto"/>
              <w:jc w:val="center"/>
              <w:rPr>
                <w:rFonts w:hint="eastAsia" w:ascii="宋体" w:hAnsi="宋体" w:eastAsia="宋体" w:cs="宋体"/>
                <w:sz w:val="21"/>
                <w:szCs w:val="21"/>
                <w:lang w:eastAsia="zh-CN"/>
              </w:rPr>
            </w:pPr>
            <w:r>
              <w:rPr>
                <w:rFonts w:hint="eastAsia"/>
                <w:b w:val="0"/>
                <w:bCs w:val="0"/>
                <w:sz w:val="21"/>
                <w:szCs w:val="21"/>
              </w:rPr>
              <w:t>铅</w:t>
            </w:r>
          </w:p>
        </w:tc>
        <w:tc>
          <w:tcPr>
            <w:tcW w:w="214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2"/>
                <w:sz w:val="21"/>
                <w:szCs w:val="21"/>
                <w:u w:val="none"/>
                <w:lang w:val="en-US" w:eastAsia="zh-CN" w:bidi="ar-SA"/>
              </w:rPr>
              <w:t xml:space="preserve">GB/T 28020-2011 </w:t>
            </w:r>
          </w:p>
        </w:tc>
        <w:tc>
          <w:tcPr>
            <w:tcW w:w="94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88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p>
        </w:tc>
        <w:tc>
          <w:tcPr>
            <w:tcW w:w="87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 w:hRule="atLeast"/>
        </w:trPr>
        <w:tc>
          <w:tcPr>
            <w:tcW w:w="6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1297" w:type="dxa"/>
            <w:tcBorders>
              <w:top w:val="single" w:color="auto" w:sz="4" w:space="0"/>
              <w:left w:val="single" w:color="auto" w:sz="4" w:space="0"/>
              <w:bottom w:val="single" w:color="auto" w:sz="4" w:space="0"/>
              <w:right w:val="single" w:color="auto" w:sz="4" w:space="0"/>
            </w:tcBorders>
            <w:noWrap w:val="0"/>
            <w:vAlign w:val="bottom"/>
          </w:tcPr>
          <w:p>
            <w:pPr>
              <w:snapToGrid w:val="0"/>
              <w:spacing w:line="360" w:lineRule="auto"/>
              <w:jc w:val="center"/>
              <w:rPr>
                <w:rFonts w:hint="eastAsia" w:ascii="宋体" w:hAnsi="宋体" w:eastAsia="宋体" w:cs="宋体"/>
                <w:sz w:val="21"/>
                <w:szCs w:val="21"/>
                <w:lang w:eastAsia="zh-CN"/>
              </w:rPr>
            </w:pPr>
            <w:r>
              <w:rPr>
                <w:rFonts w:hint="eastAsia"/>
                <w:b w:val="0"/>
                <w:bCs w:val="0"/>
                <w:sz w:val="21"/>
                <w:szCs w:val="21"/>
              </w:rPr>
              <w:t>镉</w:t>
            </w:r>
          </w:p>
        </w:tc>
        <w:tc>
          <w:tcPr>
            <w:tcW w:w="214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2"/>
                <w:sz w:val="21"/>
                <w:szCs w:val="21"/>
                <w:u w:val="none"/>
                <w:lang w:val="en-US" w:eastAsia="zh-CN" w:bidi="ar-SA"/>
              </w:rPr>
              <w:t xml:space="preserve">GB/T 28020-2011 </w:t>
            </w:r>
          </w:p>
        </w:tc>
        <w:tc>
          <w:tcPr>
            <w:tcW w:w="94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88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p>
        </w:tc>
        <w:tc>
          <w:tcPr>
            <w:tcW w:w="87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 w:hRule="atLeast"/>
        </w:trPr>
        <w:tc>
          <w:tcPr>
            <w:tcW w:w="6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1297" w:type="dxa"/>
            <w:tcBorders>
              <w:top w:val="single" w:color="auto" w:sz="4" w:space="0"/>
              <w:left w:val="single" w:color="auto" w:sz="4" w:space="0"/>
              <w:bottom w:val="single" w:color="auto" w:sz="4" w:space="0"/>
              <w:right w:val="single" w:color="auto" w:sz="4" w:space="0"/>
            </w:tcBorders>
            <w:noWrap w:val="0"/>
            <w:vAlign w:val="bottom"/>
          </w:tcPr>
          <w:p>
            <w:pPr>
              <w:snapToGrid w:val="0"/>
              <w:spacing w:line="360" w:lineRule="auto"/>
              <w:jc w:val="center"/>
              <w:rPr>
                <w:rFonts w:hint="eastAsia" w:ascii="宋体" w:hAnsi="宋体" w:eastAsia="宋体" w:cs="宋体"/>
                <w:sz w:val="21"/>
                <w:szCs w:val="21"/>
                <w:lang w:eastAsia="zh-CN"/>
              </w:rPr>
            </w:pPr>
            <w:r>
              <w:rPr>
                <w:rFonts w:hint="eastAsia"/>
                <w:b w:val="0"/>
                <w:bCs w:val="0"/>
                <w:sz w:val="21"/>
                <w:szCs w:val="21"/>
              </w:rPr>
              <w:t>六价铬</w:t>
            </w:r>
          </w:p>
        </w:tc>
        <w:tc>
          <w:tcPr>
            <w:tcW w:w="214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2"/>
                <w:sz w:val="21"/>
                <w:szCs w:val="21"/>
                <w:u w:val="none"/>
                <w:lang w:val="en-US" w:eastAsia="zh-CN" w:bidi="ar-SA"/>
              </w:rPr>
              <w:t xml:space="preserve">GB/T 28020-2011 </w:t>
            </w:r>
          </w:p>
        </w:tc>
        <w:tc>
          <w:tcPr>
            <w:tcW w:w="94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88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p>
        </w:tc>
        <w:tc>
          <w:tcPr>
            <w:tcW w:w="87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 w:hRule="atLeast"/>
        </w:trPr>
        <w:tc>
          <w:tcPr>
            <w:tcW w:w="6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1297" w:type="dxa"/>
            <w:tcBorders>
              <w:top w:val="single" w:color="auto" w:sz="4" w:space="0"/>
              <w:left w:val="single" w:color="auto" w:sz="4" w:space="0"/>
              <w:bottom w:val="single" w:color="auto" w:sz="4" w:space="0"/>
              <w:right w:val="single" w:color="auto" w:sz="4" w:space="0"/>
            </w:tcBorders>
            <w:noWrap w:val="0"/>
            <w:vAlign w:val="bottom"/>
          </w:tcPr>
          <w:p>
            <w:pPr>
              <w:snapToGrid w:val="0"/>
              <w:spacing w:line="360" w:lineRule="auto"/>
              <w:jc w:val="center"/>
              <w:rPr>
                <w:rFonts w:hint="eastAsia" w:ascii="宋体" w:hAnsi="宋体" w:eastAsia="宋体" w:cs="宋体"/>
                <w:sz w:val="21"/>
                <w:szCs w:val="21"/>
                <w:lang w:eastAsia="zh-CN"/>
              </w:rPr>
            </w:pPr>
            <w:r>
              <w:rPr>
                <w:rFonts w:hint="eastAsia"/>
                <w:b w:val="0"/>
                <w:bCs w:val="0"/>
                <w:sz w:val="21"/>
                <w:szCs w:val="21"/>
              </w:rPr>
              <w:t>汞</w:t>
            </w:r>
          </w:p>
        </w:tc>
        <w:tc>
          <w:tcPr>
            <w:tcW w:w="214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2"/>
                <w:sz w:val="21"/>
                <w:szCs w:val="21"/>
                <w:u w:val="none"/>
                <w:lang w:val="en-US" w:eastAsia="zh-CN" w:bidi="ar-SA"/>
              </w:rPr>
              <w:t xml:space="preserve">GB/T 28020-2011 </w:t>
            </w:r>
          </w:p>
        </w:tc>
        <w:tc>
          <w:tcPr>
            <w:tcW w:w="94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88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p>
        </w:tc>
        <w:tc>
          <w:tcPr>
            <w:tcW w:w="87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 w:hRule="atLeast"/>
        </w:trPr>
        <w:tc>
          <w:tcPr>
            <w:tcW w:w="6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1297" w:type="dxa"/>
            <w:tcBorders>
              <w:top w:val="single" w:color="auto" w:sz="4" w:space="0"/>
              <w:left w:val="single" w:color="auto" w:sz="4" w:space="0"/>
              <w:bottom w:val="single" w:color="auto" w:sz="4" w:space="0"/>
              <w:right w:val="single" w:color="auto" w:sz="4" w:space="0"/>
            </w:tcBorders>
            <w:noWrap w:val="0"/>
            <w:vAlign w:val="bottom"/>
          </w:tcPr>
          <w:p>
            <w:pPr>
              <w:snapToGrid w:val="0"/>
              <w:spacing w:line="360" w:lineRule="auto"/>
              <w:jc w:val="center"/>
              <w:rPr>
                <w:rFonts w:hint="eastAsia" w:ascii="宋体" w:hAnsi="宋体" w:eastAsia="宋体" w:cs="宋体"/>
                <w:sz w:val="21"/>
                <w:szCs w:val="21"/>
                <w:lang w:eastAsia="zh-CN"/>
              </w:rPr>
            </w:pPr>
            <w:r>
              <w:rPr>
                <w:rFonts w:hint="eastAsia"/>
                <w:b w:val="0"/>
                <w:bCs w:val="0"/>
                <w:sz w:val="21"/>
                <w:szCs w:val="21"/>
              </w:rPr>
              <w:t>砷</w:t>
            </w:r>
          </w:p>
        </w:tc>
        <w:tc>
          <w:tcPr>
            <w:tcW w:w="214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2"/>
                <w:sz w:val="21"/>
                <w:szCs w:val="21"/>
                <w:u w:val="none"/>
                <w:lang w:val="en-US" w:eastAsia="zh-CN" w:bidi="ar-SA"/>
              </w:rPr>
              <w:t xml:space="preserve">GB/T 28020-2011 </w:t>
            </w:r>
          </w:p>
        </w:tc>
        <w:tc>
          <w:tcPr>
            <w:tcW w:w="94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88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p>
        </w:tc>
        <w:tc>
          <w:tcPr>
            <w:tcW w:w="87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p>
        </w:tc>
      </w:tr>
    </w:tbl>
    <w:p>
      <w:pPr>
        <w:spacing w:line="60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三、判定原则</w:t>
      </w:r>
    </w:p>
    <w:p>
      <w:pPr>
        <w:spacing w:line="600" w:lineRule="exact"/>
        <w:ind w:left="0" w:leftChars="0" w:firstLine="640" w:firstLineChars="200"/>
        <w:rPr>
          <w:rFonts w:hint="eastAsia" w:ascii="楷体_GB2312" w:hAnsi="楷体_GB2312" w:eastAsia="楷体_GB2312" w:cs="楷体_GB2312"/>
          <w:bCs/>
          <w:color w:val="auto"/>
          <w:sz w:val="32"/>
          <w:szCs w:val="32"/>
        </w:rPr>
      </w:pPr>
      <w:r>
        <w:rPr>
          <w:rFonts w:hint="eastAsia" w:ascii="楷体_GB2312" w:hAnsi="楷体_GB2312" w:eastAsia="楷体_GB2312" w:cs="楷体_GB2312"/>
          <w:bCs/>
          <w:color w:val="auto"/>
          <w:sz w:val="32"/>
          <w:szCs w:val="32"/>
        </w:rPr>
        <w:t>（一）</w:t>
      </w:r>
      <w:r>
        <w:rPr>
          <w:rFonts w:hint="eastAsia" w:ascii="楷体_GB2312" w:hAnsi="楷体_GB2312" w:eastAsia="楷体_GB2312" w:cs="楷体_GB2312"/>
          <w:bCs/>
          <w:color w:val="auto"/>
          <w:sz w:val="32"/>
          <w:szCs w:val="32"/>
          <w:lang w:eastAsia="zh-CN"/>
        </w:rPr>
        <w:t>依据</w:t>
      </w:r>
      <w:r>
        <w:rPr>
          <w:rFonts w:hint="eastAsia" w:ascii="楷体_GB2312" w:hAnsi="楷体_GB2312" w:eastAsia="楷体_GB2312" w:cs="楷体_GB2312"/>
          <w:bCs/>
          <w:color w:val="auto"/>
          <w:sz w:val="32"/>
          <w:szCs w:val="32"/>
        </w:rPr>
        <w:t>标准。</w:t>
      </w:r>
    </w:p>
    <w:p>
      <w:pPr>
        <w:spacing w:line="600" w:lineRule="exact"/>
        <w:ind w:left="0" w:leftChars="0" w:firstLine="640" w:firstLineChars="200"/>
        <w:rPr>
          <w:rFonts w:hint="default" w:ascii="仿宋_GB2312" w:hAnsi="仿宋_GB2312" w:eastAsia="仿宋_GB2312" w:cs="仿宋_GB2312"/>
          <w:kern w:val="0"/>
          <w:sz w:val="32"/>
          <w:szCs w:val="32"/>
          <w:lang w:val="en-US"/>
        </w:rPr>
      </w:pPr>
      <w:r>
        <w:rPr>
          <w:rFonts w:hint="eastAsia" w:ascii="仿宋_GB2312" w:hAnsi="仿宋_GB2312" w:eastAsia="仿宋_GB2312" w:cs="仿宋_GB2312"/>
          <w:kern w:val="0"/>
          <w:sz w:val="32"/>
          <w:szCs w:val="32"/>
          <w:lang w:val="en-US" w:eastAsia="zh-CN"/>
        </w:rPr>
        <w:t>GB/T 28480-2012 饰品 有害元素限量的规定</w:t>
      </w:r>
    </w:p>
    <w:p>
      <w:pPr>
        <w:spacing w:line="600" w:lineRule="exact"/>
        <w:ind w:left="0" w:leftChars="0"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GB/T 28020-2011 饰品 有害元素的测定 X射线荧光光谱法</w:t>
      </w:r>
    </w:p>
    <w:p>
      <w:pPr>
        <w:spacing w:line="600" w:lineRule="exact"/>
        <w:ind w:left="0" w:leftChars="0" w:firstLine="640" w:firstLineChars="200"/>
        <w:rPr>
          <w:rFonts w:hint="default" w:ascii="仿宋_GB2312" w:hAnsi="仿宋_GB2312" w:eastAsia="仿宋_GB2312" w:cs="仿宋_GB2312"/>
          <w:kern w:val="0"/>
          <w:sz w:val="32"/>
          <w:szCs w:val="32"/>
          <w:lang w:val="en-US" w:eastAsia="zh-CN"/>
        </w:rPr>
      </w:pPr>
      <w:r>
        <w:rPr>
          <w:rFonts w:hint="default" w:ascii="仿宋_GB2312" w:hAnsi="仿宋_GB2312" w:eastAsia="仿宋_GB2312" w:cs="仿宋_GB2312"/>
          <w:kern w:val="0"/>
          <w:sz w:val="32"/>
          <w:szCs w:val="32"/>
          <w:lang w:val="en-US" w:eastAsia="zh-CN"/>
        </w:rPr>
        <w:t>GB</w:t>
      </w:r>
      <w:r>
        <w:rPr>
          <w:rFonts w:hint="eastAsia" w:ascii="仿宋_GB2312" w:hAnsi="仿宋_GB2312" w:eastAsia="仿宋_GB2312" w:cs="仿宋_GB2312"/>
          <w:kern w:val="0"/>
          <w:sz w:val="32"/>
          <w:szCs w:val="32"/>
          <w:lang w:val="en-US" w:eastAsia="zh-CN"/>
        </w:rPr>
        <w:t>/T</w:t>
      </w:r>
      <w:r>
        <w:rPr>
          <w:rFonts w:hint="default" w:ascii="仿宋_GB2312" w:hAnsi="仿宋_GB2312" w:eastAsia="仿宋_GB2312" w:cs="仿宋_GB2312"/>
          <w:kern w:val="0"/>
          <w:sz w:val="32"/>
          <w:szCs w:val="32"/>
          <w:lang w:val="en-US" w:eastAsia="zh-CN"/>
        </w:rPr>
        <w:t xml:space="preserve"> 28021-2011 饰品 有害元素的测定 光谱法</w:t>
      </w:r>
    </w:p>
    <w:p>
      <w:pPr>
        <w:spacing w:line="600" w:lineRule="exact"/>
        <w:ind w:left="0" w:leftChars="0"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现行有效的企业标准、团体标准、地方标准及产品明示质量要求</w:t>
      </w:r>
      <w:r>
        <w:rPr>
          <w:rFonts w:hint="eastAsia" w:ascii="仿宋_GB2312" w:hAnsi="仿宋_GB2312" w:eastAsia="仿宋_GB2312" w:cs="仿宋_GB2312"/>
          <w:kern w:val="0"/>
          <w:sz w:val="32"/>
          <w:szCs w:val="32"/>
          <w:lang w:eastAsia="zh-CN"/>
        </w:rPr>
        <w:t>。</w:t>
      </w:r>
    </w:p>
    <w:p>
      <w:pPr>
        <w:spacing w:line="600" w:lineRule="exact"/>
        <w:ind w:left="0" w:leftChars="0" w:firstLine="640" w:firstLineChars="200"/>
        <w:rPr>
          <w:rFonts w:hint="eastAsia" w:ascii="楷体_GB2312" w:hAnsi="楷体_GB2312" w:eastAsia="楷体_GB2312" w:cs="楷体_GB2312"/>
          <w:bCs/>
          <w:color w:val="auto"/>
          <w:sz w:val="32"/>
          <w:szCs w:val="32"/>
        </w:rPr>
      </w:pPr>
      <w:r>
        <w:rPr>
          <w:rFonts w:hint="eastAsia" w:ascii="楷体_GB2312" w:hAnsi="楷体_GB2312" w:eastAsia="楷体_GB2312" w:cs="楷体_GB2312"/>
          <w:bCs/>
          <w:color w:val="auto"/>
          <w:sz w:val="32"/>
          <w:szCs w:val="32"/>
        </w:rPr>
        <w:t>（二）判定原则</w:t>
      </w:r>
    </w:p>
    <w:p>
      <w:pPr>
        <w:spacing w:line="600" w:lineRule="exact"/>
        <w:ind w:left="0" w:leftChars="0"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经检验，检验项目全部合格，判定为抽取的样本所检项目未检出不合格；检验项目中任一项或一项以上不合格，判定为被抽查产品不合格。</w:t>
      </w:r>
    </w:p>
    <w:p>
      <w:pPr>
        <w:spacing w:line="600" w:lineRule="exact"/>
        <w:ind w:left="0" w:leftChars="0"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当被检样品明示的质量要求优于监督抽查实施细则中依据的标准要求时，应按被检样品明示的质量要求判定；</w:t>
      </w:r>
    </w:p>
    <w:p>
      <w:pPr>
        <w:spacing w:line="600" w:lineRule="exact"/>
        <w:ind w:left="0" w:leftChars="0"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当被检样品明示的质量要求劣于或不包含监督抽查实施细则中依据的强制性标准要求时，应按照强制性标准要求判定；</w:t>
      </w:r>
    </w:p>
    <w:p>
      <w:pPr>
        <w:spacing w:line="600" w:lineRule="exact"/>
        <w:ind w:left="0" w:leftChars="0"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当被检样品明示的质量要求劣于或包含监督抽查实施细则中依据的推荐性标准要求时，应以被检样品明示的质量要求判定，如相应检验结果不符合相关推荐性标准要求时，应在检验报告中予以说明；</w:t>
      </w:r>
    </w:p>
    <w:p>
      <w:pPr>
        <w:spacing w:line="600" w:lineRule="exact"/>
        <w:ind w:left="0" w:leftChars="0"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当被检样品明示的质量要求不包含监督抽查实施细则中依据的推荐性标准要求时，该指标不参与判定，但应在检验报告中作出说明；</w:t>
      </w:r>
    </w:p>
    <w:p>
      <w:pPr>
        <w:spacing w:line="600" w:lineRule="exact"/>
        <w:ind w:left="0" w:leftChars="0"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当被检样品未能提供有效的企业标准时，按相关国家或行业标准进行判定；</w:t>
      </w:r>
    </w:p>
    <w:p>
      <w:pPr>
        <w:spacing w:line="600" w:lineRule="exact"/>
        <w:ind w:left="0" w:leftChars="0"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当被检样品标签标识中执行标准信息和产品类别信息不明或有误，影响检测和判定时，可根据相关强制性标准要求，同时结合产品特点等信息判断和选择相关标准进行检验，并应在检验报告中作出相关说明；</w:t>
      </w:r>
    </w:p>
    <w:p>
      <w:pPr>
        <w:spacing w:line="600" w:lineRule="exact"/>
        <w:ind w:left="0" w:leftChars="0"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按照产品质量相关法律法规的规定判定。</w:t>
      </w:r>
    </w:p>
    <w:p>
      <w:pPr>
        <w:spacing w:line="600" w:lineRule="exact"/>
        <w:ind w:left="0" w:leftChars="0"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检验中发现因样品失效或者其他原因致使检验无法进行的，检验人员应如实记录，并提供相关证明材料，报送组织监督抽查的市场监管部门。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055B85"/>
    <w:rsid w:val="1E4D3EB0"/>
    <w:rsid w:val="241F4EF3"/>
    <w:rsid w:val="25591E38"/>
    <w:rsid w:val="58055B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2022-04-19T07:18:00Z</dcterms:created>
  <dc:creator>李文湘</dc:creator>
  <cp:lastModifiedBy>李文湘</cp:lastModifiedBy>
  <dcterms:modified xsi:type="dcterms:W3CDTF">2022-05-18T06:36:53Z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